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19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13"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72" w:lineRule="exact"/>
        <w:rPr>
          <w:sz w:val="24"/>
          <w:szCs w:val="24"/>
          <w:color w:val="auto"/>
        </w:rPr>
      </w:pPr>
    </w:p>
    <w:tbl>
      <w:tblPr>
        <w:tblLayout w:type="fixed"/>
        <w:tblInd w:w="220" w:type="dxa"/>
        <w:tblCellMar>
          <w:top w:w="0" w:type="dxa"/>
          <w:left w:w="0" w:type="dxa"/>
          <w:bottom w:w="0" w:type="dxa"/>
          <w:right w:w="0" w:type="dxa"/>
        </w:tblCellMar>
      </w:tblPr>
      <w:tr>
        <w:trPr>
          <w:trHeight w:val="205"/>
        </w:trPr>
        <w:tc>
          <w:tcPr>
            <w:tcW w:w="7940" w:type="dxa"/>
            <w:vAlign w:val="bottom"/>
            <w:gridSpan w:val="3"/>
          </w:tcPr>
          <w:p>
            <w:pPr>
              <w:jc w:val="center"/>
              <w:ind w:left="2102"/>
              <w:spacing w:after="0"/>
              <w:rPr>
                <w:sz w:val="20"/>
                <w:szCs w:val="20"/>
                <w:color w:val="auto"/>
              </w:rPr>
            </w:pPr>
            <w:r>
              <w:rPr>
                <w:rFonts w:ascii="Times New Roman" w:cs="Times New Roman" w:eastAsia="Times New Roman" w:hAnsi="Times New Roman"/>
                <w:sz w:val="16"/>
                <w:szCs w:val="16"/>
                <w:b w:val="1"/>
                <w:bCs w:val="1"/>
                <w:color w:val="auto"/>
                <w:w w:val="97"/>
              </w:rPr>
              <w:t>FOR THE FISCAL YEAR ENDED SEPTEMBER 30, 2024</w:t>
            </w:r>
          </w:p>
        </w:tc>
      </w:tr>
      <w:tr>
        <w:trPr>
          <w:trHeight w:val="276"/>
        </w:trPr>
        <w:tc>
          <w:tcPr>
            <w:tcW w:w="6660" w:type="dxa"/>
            <w:vAlign w:val="bottom"/>
            <w:gridSpan w:val="2"/>
          </w:tcPr>
          <w:p>
            <w:pPr>
              <w:jc w:val="center"/>
              <w:ind w:left="3402"/>
              <w:spacing w:after="0"/>
              <w:rPr>
                <w:sz w:val="20"/>
                <w:szCs w:val="20"/>
                <w:color w:val="auto"/>
              </w:rPr>
            </w:pPr>
            <w:r>
              <w:rPr>
                <w:rFonts w:ascii="Times New Roman" w:cs="Times New Roman" w:eastAsia="Times New Roman" w:hAnsi="Times New Roman"/>
                <w:sz w:val="16"/>
                <w:szCs w:val="16"/>
                <w:b w:val="1"/>
                <w:bCs w:val="1"/>
                <w:color w:val="auto"/>
                <w:w w:val="91"/>
              </w:rPr>
              <w:t>OR</w:t>
            </w:r>
          </w:p>
        </w:tc>
        <w:tc>
          <w:tcPr>
            <w:tcW w:w="1280" w:type="dxa"/>
            <w:vAlign w:val="bottom"/>
          </w:tcPr>
          <w:p>
            <w:pPr>
              <w:spacing w:after="0"/>
              <w:rPr>
                <w:sz w:val="24"/>
                <w:szCs w:val="24"/>
                <w:color w:val="auto"/>
              </w:rPr>
            </w:pPr>
          </w:p>
        </w:tc>
      </w:tr>
      <w:tr>
        <w:trPr>
          <w:trHeight w:val="276"/>
        </w:trPr>
        <w:tc>
          <w:tcPr>
            <w:tcW w:w="7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w w:val="97"/>
              </w:rPr>
              <w:t>TRANSITION REPORT PURSUANT TO SECTION 13 OR 15(d) OF THE SECURITIES EXCHANGE ACT OF 1934</w:t>
            </w:r>
          </w:p>
        </w:tc>
      </w:tr>
      <w:tr>
        <w:trPr>
          <w:trHeight w:val="242"/>
        </w:trPr>
        <w:tc>
          <w:tcPr>
            <w:tcW w:w="6180" w:type="dxa"/>
            <w:vAlign w:val="bottom"/>
          </w:tcPr>
          <w:p>
            <w:pPr>
              <w:ind w:left="3260"/>
              <w:spacing w:after="0"/>
              <w:rPr>
                <w:sz w:val="20"/>
                <w:szCs w:val="20"/>
                <w:color w:val="auto"/>
              </w:rPr>
            </w:pPr>
            <w:r>
              <w:rPr>
                <w:rFonts w:ascii="Times New Roman" w:cs="Times New Roman" w:eastAsia="Times New Roman" w:hAnsi="Times New Roman"/>
                <w:sz w:val="16"/>
                <w:szCs w:val="16"/>
                <w:b w:val="1"/>
                <w:bCs w:val="1"/>
                <w:color w:val="auto"/>
                <w:w w:val="97"/>
              </w:rPr>
              <w:t>FOR THE TRANSITION PERIOD FROM</w:t>
            </w:r>
          </w:p>
        </w:tc>
        <w:tc>
          <w:tcPr>
            <w:tcW w:w="480" w:type="dxa"/>
            <w:vAlign w:val="bottom"/>
            <w:tcBorders>
              <w:bottom w:val="single" w:sz="8" w:color="auto"/>
            </w:tcBorders>
          </w:tcPr>
          <w:p>
            <w:pPr>
              <w:spacing w:after="0"/>
              <w:rPr>
                <w:sz w:val="21"/>
                <w:szCs w:val="21"/>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290"/>
        </w:trPr>
        <w:tc>
          <w:tcPr>
            <w:tcW w:w="6660" w:type="dxa"/>
            <w:vAlign w:val="bottom"/>
            <w:gridSpan w:val="2"/>
          </w:tcPr>
          <w:p>
            <w:pPr>
              <w:jc w:val="center"/>
              <w:ind w:left="3402"/>
              <w:spacing w:after="0"/>
              <w:rPr>
                <w:sz w:val="20"/>
                <w:szCs w:val="20"/>
                <w:color w:val="auto"/>
              </w:rPr>
            </w:pPr>
            <w:r>
              <w:rPr>
                <w:rFonts w:ascii="Times New Roman" w:cs="Times New Roman" w:eastAsia="Times New Roman" w:hAnsi="Times New Roman"/>
                <w:sz w:val="16"/>
                <w:szCs w:val="16"/>
                <w:b w:val="1"/>
                <w:bCs w:val="1"/>
                <w:color w:val="auto"/>
                <w:w w:val="96"/>
              </w:rPr>
              <w:t>COMMISSION FILE NUMBER: 814-00736</w:t>
            </w:r>
          </w:p>
        </w:tc>
        <w:tc>
          <w:tcPr>
            <w:tcW w:w="1280" w:type="dxa"/>
            <w:vAlign w:val="bottom"/>
          </w:tcPr>
          <w:p>
            <w:pPr>
              <w:spacing w:after="0"/>
              <w:rPr>
                <w:sz w:val="24"/>
                <w:szCs w:val="24"/>
                <w:color w:val="auto"/>
              </w:rPr>
            </w:pPr>
          </w:p>
        </w:tc>
      </w:tr>
    </w:tbl>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PENNANTPARK INVESTMENT CORPORATION</w:t>
      </w:r>
    </w:p>
    <w:p>
      <w:pPr>
        <w:sectPr>
          <w:pgSz w:w="11900" w:h="16840" w:orient="portrait"/>
          <w:cols w:equalWidth="0" w:num="1">
            <w:col w:w="10520"/>
          </w:cols>
          <w:pgMar w:left="660" w:top="1393" w:right="720" w:bottom="1440" w:gutter="0" w:footer="0" w:header="0"/>
        </w:sectPr>
      </w:pPr>
    </w:p>
    <w:p>
      <w:pPr>
        <w:spacing w:after="0" w:line="3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7"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3"/>
          <w:szCs w:val="13"/>
          <w:b w:val="1"/>
          <w:bCs w:val="1"/>
          <w:color w:val="auto"/>
        </w:rPr>
        <w:t>MARYLAND</w:t>
      </w:r>
    </w:p>
    <w:p>
      <w:pPr>
        <w:spacing w:after="0" w:line="66"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1"/>
          <w:szCs w:val="11"/>
          <w:b w:val="1"/>
          <w:bCs w:val="1"/>
          <w:color w:val="auto"/>
        </w:rPr>
        <w:t>(State or other jurisdiction of incorporation or organization)</w:t>
      </w:r>
    </w:p>
    <w:p>
      <w:pPr>
        <w:spacing w:after="0" w:line="150"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3"/>
          <w:szCs w:val="13"/>
          <w:b w:val="1"/>
          <w:bCs w:val="1"/>
          <w:color w:val="auto"/>
        </w:rPr>
        <w:t>1691 Michigan Avenue</w:t>
      </w:r>
    </w:p>
    <w:p>
      <w:pPr>
        <w:spacing w:after="0" w:line="23"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3"/>
          <w:szCs w:val="13"/>
          <w:b w:val="1"/>
          <w:bCs w:val="1"/>
          <w:color w:val="auto"/>
        </w:rPr>
        <w:t>Miami Beach, Florida.</w:t>
      </w:r>
    </w:p>
    <w:p>
      <w:pPr>
        <w:spacing w:after="0" w:line="8"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145" w:lineRule="exact"/>
        <w:rPr>
          <w:sz w:val="24"/>
          <w:szCs w:val="24"/>
          <w:color w:val="auto"/>
        </w:rPr>
      </w:pPr>
    </w:p>
    <w:p>
      <w:pPr>
        <w:jc w:val="center"/>
        <w:ind w:left="3840"/>
        <w:spacing w:after="0"/>
        <w:rPr>
          <w:sz w:val="20"/>
          <w:szCs w:val="20"/>
          <w:color w:val="auto"/>
        </w:rPr>
      </w:pPr>
      <w:r>
        <w:rPr>
          <w:rFonts w:ascii="Times New Roman" w:cs="Times New Roman" w:eastAsia="Times New Roman" w:hAnsi="Times New Roman"/>
          <w:sz w:val="13"/>
          <w:szCs w:val="13"/>
          <w:b w:val="1"/>
          <w:bCs w:val="1"/>
          <w:color w:val="auto"/>
        </w:rPr>
        <w:t>(786) 297-9500</w:t>
      </w:r>
    </w:p>
    <w:p>
      <w:pPr>
        <w:spacing w:after="0" w:line="24"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3"/>
          <w:szCs w:val="13"/>
          <w:b w:val="1"/>
          <w:bCs w:val="1"/>
          <w:color w:val="auto"/>
        </w:rPr>
        <w:t>20-8250744</w:t>
      </w:r>
    </w:p>
    <w:p>
      <w:pPr>
        <w:spacing w:after="0" w:line="43"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3"/>
          <w:szCs w:val="13"/>
          <w:b w:val="1"/>
          <w:bCs w:val="1"/>
          <w:color w:val="auto"/>
        </w:rPr>
        <w:t>(I.R.S. Employer Identification No.)</w:t>
      </w:r>
    </w:p>
    <w:p>
      <w:pPr>
        <w:spacing w:after="0" w:line="223"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3"/>
          <w:szCs w:val="13"/>
          <w:b w:val="1"/>
          <w:bCs w:val="1"/>
          <w:color w:val="auto"/>
        </w:rPr>
        <w:t>33319</w:t>
      </w:r>
    </w:p>
    <w:p>
      <w:pPr>
        <w:spacing w:after="0" w:line="103"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3"/>
          <w:szCs w:val="13"/>
          <w:b w:val="1"/>
          <w:bCs w:val="1"/>
          <w:color w:val="auto"/>
        </w:rPr>
        <w:t>(Zip Code)</w:t>
      </w:r>
    </w:p>
    <w:p>
      <w:pPr>
        <w:spacing w:after="0" w:line="907" w:lineRule="exact"/>
        <w:rPr>
          <w:sz w:val="24"/>
          <w:szCs w:val="24"/>
          <w:color w:val="auto"/>
        </w:rPr>
      </w:pPr>
    </w:p>
    <w:p>
      <w:pPr>
        <w:sectPr>
          <w:pgSz w:w="11900" w:h="16840" w:orient="portrait"/>
          <w:cols w:equalWidth="0" w:num="2">
            <w:col w:w="6740" w:space="240"/>
            <w:col w:w="3540"/>
          </w:cols>
          <w:pgMar w:left="660" w:top="1393" w:right="720" w:bottom="1440" w:gutter="0" w:footer="0" w:header="0"/>
          <w:type w:val="continuous"/>
        </w:sectPr>
      </w:pPr>
    </w:p>
    <w:p>
      <w:pPr>
        <w:ind w:left="1600"/>
        <w:spacing w:after="0"/>
        <w:tabs>
          <w:tab w:leader="none" w:pos="4740" w:val="left"/>
          <w:tab w:leader="none" w:pos="7140" w:val="left"/>
        </w:tabs>
        <w:rPr>
          <w:sz w:val="20"/>
          <w:szCs w:val="20"/>
          <w:color w:val="auto"/>
        </w:rPr>
      </w:pPr>
      <w:r>
        <w:rPr>
          <w:rFonts w:ascii="Times New Roman" w:cs="Times New Roman" w:eastAsia="Times New Roman" w:hAnsi="Times New Roman"/>
          <w:sz w:val="13"/>
          <w:szCs w:val="13"/>
          <w:b w:val="1"/>
          <w:bCs w:val="1"/>
          <w:color w:val="auto"/>
        </w:rPr>
        <w:t>Title of Each Class</w:t>
      </w:r>
      <w:r>
        <w:rPr>
          <w:sz w:val="20"/>
          <w:szCs w:val="20"/>
          <w:color w:val="auto"/>
        </w:rPr>
        <w:tab/>
      </w:r>
      <w:r>
        <w:rPr>
          <w:rFonts w:ascii="Times New Roman" w:cs="Times New Roman" w:eastAsia="Times New Roman" w:hAnsi="Times New Roman"/>
          <w:sz w:val="13"/>
          <w:szCs w:val="13"/>
          <w:b w:val="1"/>
          <w:bCs w:val="1"/>
          <w:color w:val="auto"/>
        </w:rPr>
        <w:t>Trading Symbol(s)</w:t>
      </w:r>
      <w:r>
        <w:rPr>
          <w:sz w:val="20"/>
          <w:szCs w:val="20"/>
          <w:color w:val="auto"/>
        </w:rPr>
        <w:tab/>
      </w:r>
      <w:r>
        <w:rPr>
          <w:rFonts w:ascii="Times New Roman" w:cs="Times New Roman" w:eastAsia="Times New Roman" w:hAnsi="Times New Roman"/>
          <w:sz w:val="13"/>
          <w:szCs w:val="13"/>
          <w:b w:val="1"/>
          <w:bCs w:val="1"/>
          <w:color w:val="auto"/>
        </w:rPr>
        <w:t>Name of Each Exchange on Which Registered</w:t>
      </w:r>
    </w:p>
    <w:p>
      <w:pPr>
        <w:spacing w:after="0" w:line="23" w:lineRule="exact"/>
        <w:rPr>
          <w:sz w:val="24"/>
          <w:szCs w:val="24"/>
          <w:color w:val="auto"/>
        </w:rPr>
      </w:pPr>
    </w:p>
    <w:p>
      <w:pPr>
        <w:ind w:left="980"/>
        <w:spacing w:after="0"/>
        <w:tabs>
          <w:tab w:leader="none" w:pos="5100" w:val="left"/>
          <w:tab w:leader="none" w:pos="7600" w:val="left"/>
        </w:tabs>
        <w:rPr>
          <w:sz w:val="20"/>
          <w:szCs w:val="20"/>
          <w:color w:val="auto"/>
        </w:rPr>
      </w:pPr>
      <w:r>
        <w:rPr>
          <w:rFonts w:ascii="Times New Roman" w:cs="Times New Roman" w:eastAsia="Times New Roman" w:hAnsi="Times New Roman"/>
          <w:sz w:val="13"/>
          <w:szCs w:val="13"/>
          <w:color w:val="auto"/>
        </w:rPr>
        <w:t>Common Stock, par value $0.001 per share</w:t>
      </w:r>
      <w:r>
        <w:rPr>
          <w:sz w:val="20"/>
          <w:szCs w:val="20"/>
          <w:color w:val="auto"/>
        </w:rPr>
        <w:tab/>
      </w:r>
      <w:r>
        <w:rPr>
          <w:rFonts w:ascii="Times New Roman" w:cs="Times New Roman" w:eastAsia="Times New Roman" w:hAnsi="Times New Roman"/>
          <w:sz w:val="13"/>
          <w:szCs w:val="13"/>
          <w:color w:val="auto"/>
        </w:rPr>
        <w:t>PNNT</w:t>
      </w:r>
      <w:r>
        <w:rPr>
          <w:sz w:val="20"/>
          <w:szCs w:val="20"/>
          <w:color w:val="auto"/>
        </w:rPr>
        <w:tab/>
      </w:r>
      <w:r>
        <w:rPr>
          <w:rFonts w:ascii="Times New Roman" w:cs="Times New Roman" w:eastAsia="Times New Roman" w:hAnsi="Times New Roman"/>
          <w:sz w:val="13"/>
          <w:szCs w:val="13"/>
          <w:color w:val="auto"/>
        </w:rPr>
        <w:t>The New York Stock Exchange</w:t>
      </w:r>
    </w:p>
    <w:p>
      <w:pPr>
        <w:spacing w:after="0" w:line="135"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 None</w:t>
      </w:r>
    </w:p>
    <w:p>
      <w:pPr>
        <w:spacing w:after="0" w:line="69" w:lineRule="exact"/>
        <w:rPr>
          <w:sz w:val="24"/>
          <w:szCs w:val="24"/>
          <w:color w:val="auto"/>
        </w:rPr>
      </w:pPr>
    </w:p>
    <w:p>
      <w:pPr>
        <w:ind w:left="420"/>
        <w:spacing w:after="0"/>
        <w:tabs>
          <w:tab w:leader="none" w:pos="6740" w:val="left"/>
          <w:tab w:leader="none" w:pos="7180" w:val="left"/>
          <w:tab w:leader="none" w:pos="7440" w:val="left"/>
        </w:tabs>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tab/>
        <w:t>Yes</w:t>
      </w:r>
      <w:r>
        <w:rPr>
          <w:sz w:val="20"/>
          <w:szCs w:val="20"/>
          <w:color w:val="auto"/>
        </w:rPr>
        <w:tab/>
      </w:r>
      <w:r>
        <w:rPr>
          <w:rFonts w:ascii="Times New Roman" w:cs="Times New Roman" w:eastAsia="Times New Roman" w:hAnsi="Times New Roman"/>
          <w:sz w:val="13"/>
          <w:szCs w:val="13"/>
          <w:color w:val="auto"/>
        </w:rPr>
        <w:t>No</w:t>
        <w:tab/>
        <w:t>.</w:t>
      </w:r>
    </w:p>
    <w:p>
      <w:pPr>
        <w:spacing w:after="0" w:line="67" w:lineRule="exact"/>
        <w:rPr>
          <w:sz w:val="24"/>
          <w:szCs w:val="24"/>
          <w:color w:val="auto"/>
        </w:rPr>
      </w:pPr>
    </w:p>
    <w:p>
      <w:pPr>
        <w:ind w:left="420"/>
        <w:spacing w:after="0"/>
        <w:tabs>
          <w:tab w:leader="none" w:pos="6840" w:val="left"/>
          <w:tab w:leader="none" w:pos="7300" w:val="left"/>
          <w:tab w:leader="none" w:pos="7560" w:val="left"/>
        </w:tabs>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Section 15(d) of the Act.</w:t>
        <w:tab/>
        <w:t>Yes</w:t>
      </w:r>
      <w:r>
        <w:rPr>
          <w:sz w:val="20"/>
          <w:szCs w:val="20"/>
          <w:color w:val="auto"/>
        </w:rPr>
        <w:tab/>
      </w:r>
      <w:r>
        <w:rPr>
          <w:rFonts w:ascii="Times New Roman" w:cs="Times New Roman" w:eastAsia="Times New Roman" w:hAnsi="Times New Roman"/>
          <w:sz w:val="13"/>
          <w:szCs w:val="13"/>
          <w:color w:val="auto"/>
        </w:rPr>
        <w:t>No</w:t>
        <w:tab/>
        <w:t>.</w:t>
      </w:r>
    </w:p>
    <w:p>
      <w:pPr>
        <w:spacing w:after="0" w:line="67"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w:t>
      </w:r>
    </w:p>
    <w:p>
      <w:pPr>
        <w:spacing w:after="0" w:line="21" w:lineRule="exact"/>
        <w:rPr>
          <w:sz w:val="24"/>
          <w:szCs w:val="24"/>
          <w:color w:val="auto"/>
        </w:rPr>
      </w:pPr>
    </w:p>
    <w:p>
      <w:pPr>
        <w:spacing w:after="0"/>
        <w:tabs>
          <w:tab w:leader="none" w:pos="7760" w:val="left"/>
          <w:tab w:leader="none" w:pos="8220" w:val="left"/>
          <w:tab w:leader="none" w:pos="8500" w:val="left"/>
        </w:tabs>
        <w:rPr>
          <w:sz w:val="20"/>
          <w:szCs w:val="20"/>
          <w:color w:val="auto"/>
        </w:rPr>
      </w:pPr>
      <w:r>
        <w:rPr>
          <w:rFonts w:ascii="Times New Roman" w:cs="Times New Roman" w:eastAsia="Times New Roman" w:hAnsi="Times New Roman"/>
          <w:sz w:val="13"/>
          <w:szCs w:val="13"/>
          <w:color w:val="auto"/>
        </w:rPr>
        <w:t>such shorter period that the registrant was required to file such reports), and (2) has been subject to such filing requirements for the past 90 days.</w:t>
        <w:tab/>
        <w:t>Yes</w:t>
      </w:r>
      <w:r>
        <w:rPr>
          <w:sz w:val="20"/>
          <w:szCs w:val="20"/>
          <w:color w:val="auto"/>
        </w:rPr>
        <w:tab/>
      </w:r>
      <w:r>
        <w:rPr>
          <w:rFonts w:ascii="Times New Roman" w:cs="Times New Roman" w:eastAsia="Times New Roman" w:hAnsi="Times New Roman"/>
          <w:sz w:val="13"/>
          <w:szCs w:val="13"/>
          <w:color w:val="auto"/>
        </w:rPr>
        <w:t>No</w:t>
      </w:r>
      <w:r>
        <w:rPr>
          <w:sz w:val="20"/>
          <w:szCs w:val="20"/>
          <w:color w:val="auto"/>
        </w:rPr>
        <w:tab/>
      </w:r>
      <w:r>
        <w:rPr>
          <w:rFonts w:ascii="Times New Roman" w:cs="Times New Roman" w:eastAsia="Times New Roman" w:hAnsi="Times New Roman"/>
          <w:sz w:val="8"/>
          <w:szCs w:val="8"/>
          <w:color w:val="auto"/>
        </w:rPr>
        <w:t>.</w:t>
      </w:r>
    </w:p>
    <w:p>
      <w:pPr>
        <w:spacing w:after="0" w:line="53"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(§232.405 of this</w:t>
      </w:r>
    </w:p>
    <w:p>
      <w:pPr>
        <w:spacing w:after="0" w:line="21" w:lineRule="exact"/>
        <w:rPr>
          <w:sz w:val="24"/>
          <w:szCs w:val="24"/>
          <w:color w:val="auto"/>
        </w:rPr>
      </w:pPr>
    </w:p>
    <w:p>
      <w:pPr>
        <w:spacing w:after="0"/>
        <w:tabs>
          <w:tab w:leader="none" w:pos="6480" w:val="left"/>
          <w:tab w:leader="none" w:pos="6960" w:val="left"/>
        </w:tabs>
        <w:rPr>
          <w:sz w:val="20"/>
          <w:szCs w:val="20"/>
          <w:color w:val="auto"/>
        </w:rPr>
      </w:pPr>
      <w:r>
        <w:rPr>
          <w:rFonts w:ascii="Times New Roman" w:cs="Times New Roman" w:eastAsia="Times New Roman" w:hAnsi="Times New Roman"/>
          <w:sz w:val="13"/>
          <w:szCs w:val="13"/>
          <w:color w:val="auto"/>
        </w:rPr>
        <w:t>chapter) during the preceding 12 months (or for such shorter period that the registrant was required to submit such files).</w:t>
        <w:tab/>
        <w:t>Yes</w:t>
      </w:r>
      <w:r>
        <w:rPr>
          <w:sz w:val="20"/>
          <w:szCs w:val="20"/>
          <w:color w:val="auto"/>
        </w:rPr>
        <w:tab/>
      </w:r>
      <w:r>
        <w:rPr>
          <w:rFonts w:ascii="Times New Roman" w:cs="Times New Roman" w:eastAsia="Times New Roman" w:hAnsi="Times New Roman"/>
          <w:sz w:val="13"/>
          <w:szCs w:val="13"/>
          <w:color w:val="auto"/>
        </w:rPr>
        <w:t>No</w:t>
      </w:r>
    </w:p>
    <w:p>
      <w:pPr>
        <w:spacing w:after="0" w:line="53" w:lineRule="exact"/>
        <w:rPr>
          <w:sz w:val="24"/>
          <w:szCs w:val="24"/>
          <w:color w:val="auto"/>
        </w:rPr>
      </w:pPr>
    </w:p>
    <w:p>
      <w:pPr>
        <w:ind w:right="260" w:firstLine="420"/>
        <w:spacing w:after="0" w:line="269"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0"/>
        <w:spacing w:after="0"/>
        <w:tabs>
          <w:tab w:leader="none" w:pos="8140" w:val="left"/>
        </w:tabs>
        <w:rPr>
          <w:sz w:val="20"/>
          <w:szCs w:val="20"/>
          <w:color w:val="auto"/>
        </w:rPr>
      </w:pPr>
      <w:r>
        <w:rPr>
          <w:rFonts w:ascii="Times New Roman" w:cs="Times New Roman" w:eastAsia="Times New Roman" w:hAnsi="Times New Roman"/>
          <w:sz w:val="13"/>
          <w:szCs w:val="13"/>
          <w:color w:val="auto"/>
        </w:rPr>
        <w:t>Large accelerated filer</w:t>
      </w:r>
      <w:r>
        <w:rPr>
          <w:sz w:val="20"/>
          <w:szCs w:val="20"/>
          <w:color w:val="auto"/>
        </w:rPr>
        <w:tab/>
      </w:r>
      <w:r>
        <w:rPr>
          <w:rFonts w:ascii="Times New Roman" w:cs="Times New Roman" w:eastAsia="Times New Roman" w:hAnsi="Times New Roman"/>
          <w:sz w:val="13"/>
          <w:szCs w:val="13"/>
          <w:color w:val="auto"/>
        </w:rPr>
        <w:t>Accelerated filer</w:t>
      </w:r>
    </w:p>
    <w:p>
      <w:pPr>
        <w:spacing w:after="0" w:line="175" w:lineRule="exact"/>
        <w:rPr>
          <w:sz w:val="24"/>
          <w:szCs w:val="24"/>
          <w:color w:val="auto"/>
        </w:rPr>
      </w:pPr>
    </w:p>
    <w:p>
      <w:pPr>
        <w:ind w:left="20"/>
        <w:spacing w:after="0"/>
        <w:tabs>
          <w:tab w:leader="none" w:pos="8140" w:val="left"/>
        </w:tabs>
        <w:rPr>
          <w:sz w:val="20"/>
          <w:szCs w:val="20"/>
          <w:color w:val="auto"/>
        </w:rPr>
      </w:pPr>
      <w:r>
        <w:rPr>
          <w:rFonts w:ascii="Times New Roman" w:cs="Times New Roman" w:eastAsia="Times New Roman" w:hAnsi="Times New Roman"/>
          <w:sz w:val="13"/>
          <w:szCs w:val="13"/>
          <w:color w:val="auto"/>
        </w:rPr>
        <w:t>Non-accelerated filer</w:t>
      </w:r>
      <w:r>
        <w:rPr>
          <w:sz w:val="20"/>
          <w:szCs w:val="20"/>
          <w:color w:val="auto"/>
        </w:rPr>
        <w:tab/>
      </w:r>
      <w:r>
        <w:rPr>
          <w:rFonts w:ascii="Times New Roman" w:cs="Times New Roman" w:eastAsia="Times New Roman" w:hAnsi="Times New Roman"/>
          <w:sz w:val="13"/>
          <w:szCs w:val="13"/>
          <w:color w:val="auto"/>
        </w:rPr>
        <w:t>Smaller reporting company</w:t>
      </w:r>
    </w:p>
    <w:p>
      <w:pPr>
        <w:spacing w:after="0" w:line="9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color w:val="auto"/>
        </w:rPr>
        <w:t>Emerging growth company</w:t>
      </w:r>
    </w:p>
    <w:p>
      <w:pPr>
        <w:spacing w:after="0" w:line="91" w:lineRule="exact"/>
        <w:rPr>
          <w:sz w:val="24"/>
          <w:szCs w:val="24"/>
          <w:color w:val="auto"/>
        </w:rPr>
      </w:pPr>
    </w:p>
    <w:p>
      <w:pPr>
        <w:ind w:right="300" w:firstLine="420"/>
        <w:spacing w:after="0" w:line="286" w:lineRule="auto"/>
        <w:rPr>
          <w:sz w:val="20"/>
          <w:szCs w:val="20"/>
          <w:color w:val="auto"/>
        </w:rPr>
      </w:pPr>
      <w:r>
        <w:rPr>
          <w:rFonts w:ascii="Times New Roman" w:cs="Times New Roman" w:eastAsia="Times New Roman" w:hAnsi="Times New Roman"/>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40" w:lineRule="exact"/>
        <w:rPr>
          <w:sz w:val="24"/>
          <w:szCs w:val="24"/>
          <w:color w:val="auto"/>
        </w:rPr>
      </w:pPr>
    </w:p>
    <w:p>
      <w:pPr>
        <w:ind w:right="260" w:firstLine="420"/>
        <w:spacing w:after="0" w:line="286" w:lineRule="auto"/>
        <w:rPr>
          <w:sz w:val="20"/>
          <w:szCs w:val="20"/>
          <w:color w:val="auto"/>
        </w:rPr>
      </w:pPr>
      <w:r>
        <w:rPr>
          <w:rFonts w:ascii="Times New Roman" w:cs="Times New Roman" w:eastAsia="Times New Roman" w:hAnsi="Times New Roman"/>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40" w:lineRule="exact"/>
        <w:rPr>
          <w:sz w:val="24"/>
          <w:szCs w:val="24"/>
          <w:color w:val="auto"/>
        </w:rPr>
      </w:pPr>
    </w:p>
    <w:p>
      <w:pPr>
        <w:ind w:right="40" w:firstLine="420"/>
        <w:spacing w:after="0" w:line="286" w:lineRule="auto"/>
        <w:rPr>
          <w:sz w:val="20"/>
          <w:szCs w:val="20"/>
          <w:color w:val="auto"/>
        </w:rPr>
      </w:pPr>
      <w:r>
        <w:rPr>
          <w:rFonts w:ascii="Times New Roman" w:cs="Times New Roman" w:eastAsia="Times New Roman" w:hAnsi="Times New Roman"/>
          <w:sz w:val="13"/>
          <w:szCs w:val="13"/>
          <w:color w:val="auto"/>
        </w:rPr>
        <w:t>If securities are registered pursuant to Section (b) of the Act, indicate by check mark whether the financial statements of the registrant included in the filing reflect the correction of an error to previously issued financial statements.</w:t>
      </w:r>
    </w:p>
    <w:p>
      <w:pPr>
        <w:spacing w:after="0" w:line="40" w:lineRule="exact"/>
        <w:rPr>
          <w:sz w:val="24"/>
          <w:szCs w:val="24"/>
          <w:color w:val="auto"/>
        </w:rPr>
      </w:pPr>
    </w:p>
    <w:p>
      <w:pPr>
        <w:ind w:right="80" w:firstLine="420"/>
        <w:spacing w:after="0" w:line="286" w:lineRule="auto"/>
        <w:rPr>
          <w:sz w:val="20"/>
          <w:szCs w:val="20"/>
          <w:color w:val="auto"/>
        </w:rPr>
      </w:pPr>
      <w:r>
        <w:rPr>
          <w:rFonts w:ascii="Times New Roman" w:cs="Times New Roman" w:eastAsia="Times New Roman" w:hAnsi="Times New Roman"/>
          <w:sz w:val="13"/>
          <w:szCs w:val="13"/>
          <w:color w:val="auto"/>
        </w:rPr>
        <w:t>Indicate by check mark whether any of these error corrections are restatements that required a recovery analysis of incentive-based compensation received by any of the registrant's executive officers during the relevant recovery period pursuant to §240.10D-1(b).</w:t>
      </w:r>
    </w:p>
    <w:p>
      <w:pPr>
        <w:spacing w:after="0" w:line="16" w:lineRule="exact"/>
        <w:rPr>
          <w:sz w:val="24"/>
          <w:szCs w:val="24"/>
          <w:color w:val="auto"/>
        </w:rPr>
      </w:pPr>
    </w:p>
    <w:p>
      <w:pPr>
        <w:ind w:left="420"/>
        <w:spacing w:after="0"/>
        <w:tabs>
          <w:tab w:leader="none" w:pos="6540" w:val="left"/>
          <w:tab w:leader="none" w:pos="6980" w:val="left"/>
          <w:tab w:leader="none" w:pos="724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Yes</w:t>
      </w:r>
      <w:r>
        <w:rPr>
          <w:sz w:val="20"/>
          <w:szCs w:val="20"/>
          <w:color w:val="auto"/>
        </w:rPr>
        <w:tab/>
      </w:r>
      <w:r>
        <w:rPr>
          <w:rFonts w:ascii="Times New Roman" w:cs="Times New Roman" w:eastAsia="Times New Roman" w:hAnsi="Times New Roman"/>
          <w:sz w:val="13"/>
          <w:szCs w:val="13"/>
          <w:color w:val="auto"/>
        </w:rPr>
        <w:t>No</w:t>
      </w:r>
      <w:r>
        <w:rPr>
          <w:sz w:val="20"/>
          <w:szCs w:val="20"/>
          <w:color w:val="auto"/>
        </w:rPr>
        <w:tab/>
      </w:r>
      <w:r>
        <w:rPr>
          <w:rFonts w:ascii="Times New Roman" w:cs="Times New Roman" w:eastAsia="Times New Roman" w:hAnsi="Times New Roman"/>
          <w:sz w:val="8"/>
          <w:szCs w:val="8"/>
          <w:color w:val="auto"/>
        </w:rPr>
        <w:t>.</w:t>
      </w:r>
    </w:p>
    <w:p>
      <w:pPr>
        <w:spacing w:after="0" w:line="67" w:lineRule="exact"/>
        <w:rPr>
          <w:sz w:val="24"/>
          <w:szCs w:val="24"/>
          <w:color w:val="auto"/>
        </w:rPr>
      </w:pPr>
    </w:p>
    <w:p>
      <w:pPr>
        <w:ind w:right="60" w:firstLine="420"/>
        <w:spacing w:after="0" w:line="268" w:lineRule="auto"/>
        <w:rPr>
          <w:sz w:val="20"/>
          <w:szCs w:val="20"/>
          <w:color w:val="auto"/>
        </w:rPr>
      </w:pPr>
      <w:r>
        <w:rPr>
          <w:rFonts w:ascii="Times New Roman" w:cs="Times New Roman" w:eastAsia="Times New Roman" w:hAnsi="Times New Roman"/>
          <w:sz w:val="13"/>
          <w:szCs w:val="13"/>
          <w:color w:val="auto"/>
        </w:rPr>
        <w:t>The aggregate market value of common stock held by non- affiliates of the Registrant on March 31, 2024 based on the closing price on that date of $6.88 on The New York Stock Exchange was approximately $433.6 million. For the purposes of calculating the aggregate market value of common stock held by non-affiliates, all directors and executive officers of the Registrant have been treated as affiliates. There were 65,296,094 shares of the Registrant’s common stock outstanding as of November 25, 2024.</w:t>
      </w:r>
    </w:p>
    <w:p>
      <w:pPr>
        <w:spacing w:after="0" w:line="27" w:lineRule="exact"/>
        <w:rPr>
          <w:sz w:val="24"/>
          <w:szCs w:val="24"/>
          <w:color w:val="auto"/>
        </w:rPr>
      </w:pPr>
    </w:p>
    <w:p>
      <w:pPr>
        <w:ind w:right="60" w:firstLine="420"/>
        <w:spacing w:after="0" w:line="286" w:lineRule="auto"/>
        <w:rPr>
          <w:sz w:val="20"/>
          <w:szCs w:val="20"/>
          <w:color w:val="auto"/>
        </w:rPr>
      </w:pPr>
      <w:r>
        <w:rPr>
          <w:rFonts w:ascii="Times New Roman" w:cs="Times New Roman" w:eastAsia="Times New Roman" w:hAnsi="Times New Roman"/>
          <w:sz w:val="13"/>
          <w:szCs w:val="13"/>
          <w:color w:val="auto"/>
        </w:rPr>
        <w:t>Documents Incorporated by Reference: Portions of the Registrant’s Proxy Statement relating to the Registrant’s 2025 Annual Meeting of Stockholders to be filed not later than 120 days after the end of the fiscal year covered by this Annual Report on Form 10-K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508000</wp:posOffset>
            </wp:positionV>
            <wp:extent cx="673290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393" w:right="72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60" w:type="dxa"/>
            <w:vAlign w:val="bottom"/>
            <w:gridSpan w:val="14"/>
          </w:tcPr>
          <w:p>
            <w:pPr>
              <w:jc w:val="center"/>
              <w:ind w:left="174"/>
              <w:spacing w:after="0"/>
              <w:rPr>
                <w:sz w:val="20"/>
                <w:szCs w:val="20"/>
                <w:color w:val="auto"/>
              </w:rPr>
            </w:pPr>
            <w:r>
              <w:rPr>
                <w:rFonts w:ascii="Times New Roman" w:cs="Times New Roman" w:eastAsia="Times New Roman" w:hAnsi="Times New Roman"/>
                <w:sz w:val="13"/>
                <w:szCs w:val="13"/>
                <w:b w:val="1"/>
                <w:bCs w:val="1"/>
                <w:color w:val="auto"/>
              </w:rPr>
              <w:t>PENNANTPARK INVESTMENT CORPORATION</w:t>
            </w:r>
          </w:p>
        </w:tc>
        <w:tc>
          <w:tcPr>
            <w:tcW w:w="3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60" w:type="dxa"/>
            <w:vAlign w:val="bottom"/>
            <w:gridSpan w:val="7"/>
          </w:tcPr>
          <w:p>
            <w:pPr>
              <w:jc w:val="center"/>
              <w:ind w:right="1280"/>
              <w:spacing w:after="0"/>
              <w:rPr>
                <w:sz w:val="20"/>
                <w:szCs w:val="20"/>
                <w:color w:val="auto"/>
              </w:rPr>
            </w:pPr>
            <w:r>
              <w:rPr>
                <w:rFonts w:ascii="Times New Roman" w:cs="Times New Roman" w:eastAsia="Times New Roman" w:hAnsi="Times New Roman"/>
                <w:sz w:val="13"/>
                <w:szCs w:val="13"/>
                <w:b w:val="1"/>
                <w:bCs w:val="1"/>
                <w:color w:val="auto"/>
              </w:rPr>
              <w:t>FORM 10-K</w:t>
            </w:r>
          </w:p>
        </w:tc>
        <w:tc>
          <w:tcPr>
            <w:tcW w:w="3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60" w:type="dxa"/>
            <w:vAlign w:val="bottom"/>
            <w:gridSpan w:val="14"/>
          </w:tcPr>
          <w:p>
            <w:pPr>
              <w:jc w:val="center"/>
              <w:ind w:left="174"/>
              <w:spacing w:after="0"/>
              <w:rPr>
                <w:sz w:val="20"/>
                <w:szCs w:val="20"/>
                <w:color w:val="auto"/>
              </w:rPr>
            </w:pPr>
            <w:r>
              <w:rPr>
                <w:rFonts w:ascii="Times New Roman" w:cs="Times New Roman" w:eastAsia="Times New Roman" w:hAnsi="Times New Roman"/>
                <w:sz w:val="13"/>
                <w:szCs w:val="13"/>
                <w:b w:val="1"/>
                <w:bCs w:val="1"/>
                <w:color w:val="auto"/>
              </w:rPr>
              <w:t>FOR THE FISCAL YEAR ENDED SEPTEMBER 30, 2024</w:t>
            </w:r>
          </w:p>
        </w:tc>
        <w:tc>
          <w:tcPr>
            <w:tcW w:w="3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40" w:type="dxa"/>
            <w:vAlign w:val="bottom"/>
            <w:gridSpan w:val="10"/>
          </w:tcPr>
          <w:p>
            <w:pPr>
              <w:jc w:val="center"/>
              <w:ind w:right="98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3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gridSpan w:val="7"/>
          </w:tcPr>
          <w:p>
            <w:pPr>
              <w:jc w:val="center"/>
              <w:ind w:right="1720"/>
              <w:spacing w:after="0"/>
              <w:rPr>
                <w:rFonts w:ascii="Times New Roman" w:cs="Times New Roman" w:eastAsia="Times New Roman" w:hAnsi="Times New Roman"/>
                <w:sz w:val="13"/>
                <w:szCs w:val="13"/>
                <w:b w:val="1"/>
                <w:bCs w:val="1"/>
                <w:color w:val="0000FF"/>
              </w:rPr>
            </w:pPr>
            <w:hyperlink w:anchor="page3">
              <w:r>
                <w:rPr>
                  <w:rFonts w:ascii="Times New Roman" w:cs="Times New Roman" w:eastAsia="Times New Roman" w:hAnsi="Times New Roman"/>
                  <w:sz w:val="13"/>
                  <w:szCs w:val="13"/>
                  <w:b w:val="1"/>
                  <w:bCs w:val="1"/>
                  <w:color w:val="0000FF"/>
                </w:rPr>
                <w:t xml:space="preserve">PART </w:t>
              </w:r>
            </w:hyperlink>
            <w:r>
              <w:rPr>
                <w:rFonts w:ascii="Times New Roman" w:cs="Times New Roman" w:eastAsia="Times New Roman" w:hAnsi="Times New Roman"/>
                <w:sz w:val="13"/>
                <w:szCs w:val="13"/>
                <w:b w:val="1"/>
                <w:bCs w:val="1"/>
                <w:color w:val="0000FF"/>
              </w:rPr>
              <w:t>I</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0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Item 1.</w:t>
            </w:r>
          </w:p>
        </w:tc>
        <w:tc>
          <w:tcPr>
            <w:tcW w:w="540" w:type="dxa"/>
            <w:vAlign w:val="bottom"/>
            <w:tcBorders>
              <w:bottom w:val="single" w:sz="8" w:color="0000FF"/>
            </w:tcBorders>
          </w:tcPr>
          <w:p>
            <w:pPr>
              <w:spacing w:after="0"/>
              <w:rPr>
                <w:rFonts w:ascii="Times New Roman" w:cs="Times New Roman" w:eastAsia="Times New Roman" w:hAnsi="Times New Roman"/>
                <w:sz w:val="13"/>
                <w:szCs w:val="13"/>
                <w:color w:val="0000FF"/>
              </w:rPr>
            </w:pPr>
            <w:hyperlink w:anchor="page4">
              <w:r>
                <w:rPr>
                  <w:rFonts w:ascii="Times New Roman" w:cs="Times New Roman" w:eastAsia="Times New Roman" w:hAnsi="Times New Roman"/>
                  <w:sz w:val="13"/>
                  <w:szCs w:val="13"/>
                  <w:color w:val="0000FF"/>
                </w:rPr>
                <w:t>Business</w:t>
              </w:r>
            </w:hyperlink>
          </w:p>
        </w:tc>
        <w:tc>
          <w:tcPr>
            <w:tcW w:w="3280" w:type="dxa"/>
            <w:vAlign w:val="bottom"/>
            <w:gridSpan w:val="17"/>
          </w:tcPr>
          <w:p>
            <w:pPr>
              <w:spacing w:after="0"/>
              <w:rPr>
                <w:sz w:val="24"/>
                <w:szCs w:val="24"/>
                <w:color w:val="auto"/>
              </w:rPr>
            </w:pPr>
          </w:p>
        </w:tc>
        <w:tc>
          <w:tcPr>
            <w:tcW w:w="440" w:type="dxa"/>
            <w:vAlign w:val="bottom"/>
            <w:tcBorders>
              <w:top w:val="single" w:sz="8" w:color="0000FF"/>
            </w:tcBorders>
            <w:gridSpan w:val="2"/>
          </w:tcPr>
          <w:p>
            <w:pPr>
              <w:spacing w:after="0"/>
              <w:rPr>
                <w:sz w:val="24"/>
                <w:szCs w:val="24"/>
                <w:color w:val="auto"/>
              </w:rPr>
            </w:pPr>
          </w:p>
        </w:tc>
        <w:tc>
          <w:tcPr>
            <w:tcW w:w="1720" w:type="dxa"/>
            <w:vAlign w:val="bottom"/>
            <w:gridSpan w:val="5"/>
          </w:tcPr>
          <w:p>
            <w:pPr>
              <w:spacing w:after="0"/>
              <w:rPr>
                <w:sz w:val="24"/>
                <w:szCs w:val="24"/>
                <w:color w:val="auto"/>
              </w:rPr>
            </w:pPr>
          </w:p>
        </w:tc>
        <w:tc>
          <w:tcPr>
            <w:tcW w:w="356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4</w:t>
            </w:r>
          </w:p>
        </w:tc>
        <w:tc>
          <w:tcPr>
            <w:tcW w:w="0" w:type="dxa"/>
            <w:vAlign w:val="bottom"/>
          </w:tcPr>
          <w:p>
            <w:pPr>
              <w:spacing w:after="0"/>
              <w:rPr>
                <w:sz w:val="1"/>
                <w:szCs w:val="1"/>
                <w:color w:val="auto"/>
              </w:rPr>
            </w:pPr>
          </w:p>
        </w:tc>
      </w:tr>
      <w:tr>
        <w:trPr>
          <w:trHeight w:val="292"/>
        </w:trPr>
        <w:tc>
          <w:tcPr>
            <w:tcW w:w="10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Item 1A.</w:t>
            </w:r>
          </w:p>
        </w:tc>
        <w:tc>
          <w:tcPr>
            <w:tcW w:w="5980" w:type="dxa"/>
            <w:vAlign w:val="bottom"/>
            <w:gridSpan w:val="25"/>
          </w:tcPr>
          <w:p>
            <w:pPr>
              <w:spacing w:after="0"/>
              <w:rPr>
                <w:rFonts w:ascii="Times New Roman" w:cs="Times New Roman" w:eastAsia="Times New Roman" w:hAnsi="Times New Roman"/>
                <w:sz w:val="13"/>
                <w:szCs w:val="13"/>
                <w:color w:val="0000FF"/>
              </w:rPr>
            </w:pPr>
            <w:hyperlink w:anchor="page21">
              <w:r>
                <w:rPr>
                  <w:rFonts w:ascii="Times New Roman" w:cs="Times New Roman" w:eastAsia="Times New Roman" w:hAnsi="Times New Roman"/>
                  <w:sz w:val="13"/>
                  <w:szCs w:val="13"/>
                  <w:color w:val="0000FF"/>
                </w:rPr>
                <w:t>Risk Factors</w:t>
              </w:r>
            </w:hyperlink>
          </w:p>
        </w:tc>
        <w:tc>
          <w:tcPr>
            <w:tcW w:w="356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21</w:t>
            </w:r>
          </w:p>
        </w:tc>
        <w:tc>
          <w:tcPr>
            <w:tcW w:w="0" w:type="dxa"/>
            <w:vAlign w:val="bottom"/>
          </w:tcPr>
          <w:p>
            <w:pPr>
              <w:spacing w:after="0"/>
              <w:rPr>
                <w:sz w:val="1"/>
                <w:szCs w:val="1"/>
                <w:color w:val="auto"/>
              </w:rPr>
            </w:pPr>
          </w:p>
        </w:tc>
      </w:tr>
      <w:tr>
        <w:trPr>
          <w:trHeight w:val="20"/>
        </w:trPr>
        <w:tc>
          <w:tcPr>
            <w:tcW w:w="10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Item 1B.</w:t>
            </w: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60" w:type="dxa"/>
            <w:vAlign w:val="bottom"/>
            <w:vMerge w:val="restart"/>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38</w:t>
            </w:r>
          </w:p>
        </w:tc>
        <w:tc>
          <w:tcPr>
            <w:tcW w:w="0" w:type="dxa"/>
            <w:vAlign w:val="bottom"/>
          </w:tcPr>
          <w:p>
            <w:pPr>
              <w:spacing w:after="0" w:line="20" w:lineRule="exact"/>
              <w:rPr>
                <w:sz w:val="1"/>
                <w:szCs w:val="1"/>
                <w:color w:val="auto"/>
              </w:rPr>
            </w:pPr>
          </w:p>
        </w:tc>
      </w:tr>
      <w:tr>
        <w:trPr>
          <w:trHeight w:val="292"/>
        </w:trPr>
        <w:tc>
          <w:tcPr>
            <w:tcW w:w="1020" w:type="dxa"/>
            <w:vAlign w:val="bottom"/>
            <w:vMerge w:val="continue"/>
          </w:tcPr>
          <w:p>
            <w:pPr>
              <w:spacing w:after="0"/>
              <w:rPr>
                <w:sz w:val="24"/>
                <w:szCs w:val="24"/>
                <w:color w:val="auto"/>
              </w:rPr>
            </w:pPr>
          </w:p>
        </w:tc>
        <w:tc>
          <w:tcPr>
            <w:tcW w:w="5980" w:type="dxa"/>
            <w:vAlign w:val="bottom"/>
            <w:gridSpan w:val="25"/>
          </w:tcPr>
          <w:p>
            <w:pPr>
              <w:spacing w:after="0"/>
              <w:rPr>
                <w:rFonts w:ascii="Times New Roman" w:cs="Times New Roman" w:eastAsia="Times New Roman" w:hAnsi="Times New Roman"/>
                <w:sz w:val="13"/>
                <w:szCs w:val="13"/>
                <w:color w:val="0000FF"/>
              </w:rPr>
            </w:pPr>
            <w:hyperlink w:anchor="page38">
              <w:r>
                <w:rPr>
                  <w:rFonts w:ascii="Times New Roman" w:cs="Times New Roman" w:eastAsia="Times New Roman" w:hAnsi="Times New Roman"/>
                  <w:sz w:val="13"/>
                  <w:szCs w:val="13"/>
                  <w:color w:val="0000FF"/>
                </w:rPr>
                <w:t>Unresolved Staff Comments</w:t>
              </w:r>
            </w:hyperlink>
          </w:p>
        </w:tc>
        <w:tc>
          <w:tcPr>
            <w:tcW w:w="3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0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Item 1C.</w:t>
            </w:r>
          </w:p>
        </w:tc>
        <w:tc>
          <w:tcPr>
            <w:tcW w:w="76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3"/>
                <w:szCs w:val="13"/>
                <w:color w:val="0000FF"/>
              </w:rPr>
            </w:pPr>
            <w:hyperlink w:anchor="page38">
              <w:r>
                <w:rPr>
                  <w:rFonts w:ascii="Times New Roman" w:cs="Times New Roman" w:eastAsia="Times New Roman" w:hAnsi="Times New Roman"/>
                  <w:sz w:val="13"/>
                  <w:szCs w:val="13"/>
                  <w:color w:val="0000FF"/>
                </w:rPr>
                <w:t>Cybersecurity</w:t>
              </w:r>
            </w:hyperlink>
          </w:p>
        </w:tc>
        <w:tc>
          <w:tcPr>
            <w:tcW w:w="740" w:type="dxa"/>
            <w:vAlign w:val="bottom"/>
            <w:tcBorders>
              <w:top w:val="single" w:sz="8" w:color="0000FF"/>
            </w:tcBorders>
            <w:gridSpan w:val="5"/>
          </w:tcPr>
          <w:p>
            <w:pPr>
              <w:spacing w:after="0"/>
              <w:rPr>
                <w:sz w:val="24"/>
                <w:szCs w:val="24"/>
                <w:color w:val="auto"/>
              </w:rPr>
            </w:pPr>
          </w:p>
        </w:tc>
        <w:tc>
          <w:tcPr>
            <w:tcW w:w="4480" w:type="dxa"/>
            <w:vAlign w:val="bottom"/>
            <w:gridSpan w:val="16"/>
          </w:tcPr>
          <w:p>
            <w:pPr>
              <w:spacing w:after="0"/>
              <w:rPr>
                <w:sz w:val="24"/>
                <w:szCs w:val="24"/>
                <w:color w:val="auto"/>
              </w:rPr>
            </w:pPr>
          </w:p>
        </w:tc>
        <w:tc>
          <w:tcPr>
            <w:tcW w:w="356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38</w:t>
            </w:r>
          </w:p>
        </w:tc>
        <w:tc>
          <w:tcPr>
            <w:tcW w:w="0" w:type="dxa"/>
            <w:vAlign w:val="bottom"/>
          </w:tcPr>
          <w:p>
            <w:pPr>
              <w:spacing w:after="0"/>
              <w:rPr>
                <w:sz w:val="1"/>
                <w:szCs w:val="1"/>
                <w:color w:val="auto"/>
              </w:rPr>
            </w:pPr>
          </w:p>
        </w:tc>
      </w:tr>
      <w:tr>
        <w:trPr>
          <w:trHeight w:val="292"/>
        </w:trPr>
        <w:tc>
          <w:tcPr>
            <w:tcW w:w="10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Item 2.</w:t>
            </w:r>
          </w:p>
        </w:tc>
        <w:tc>
          <w:tcPr>
            <w:tcW w:w="5980" w:type="dxa"/>
            <w:vAlign w:val="bottom"/>
            <w:gridSpan w:val="25"/>
          </w:tcPr>
          <w:p>
            <w:pPr>
              <w:spacing w:after="0"/>
              <w:rPr>
                <w:rFonts w:ascii="Times New Roman" w:cs="Times New Roman" w:eastAsia="Times New Roman" w:hAnsi="Times New Roman"/>
                <w:sz w:val="13"/>
                <w:szCs w:val="13"/>
                <w:color w:val="0000FF"/>
              </w:rPr>
            </w:pPr>
            <w:hyperlink w:anchor="page39">
              <w:r>
                <w:rPr>
                  <w:rFonts w:ascii="Times New Roman" w:cs="Times New Roman" w:eastAsia="Times New Roman" w:hAnsi="Times New Roman"/>
                  <w:sz w:val="13"/>
                  <w:szCs w:val="13"/>
                  <w:color w:val="0000FF"/>
                </w:rPr>
                <w:t>Properties</w:t>
              </w:r>
            </w:hyperlink>
          </w:p>
        </w:tc>
        <w:tc>
          <w:tcPr>
            <w:tcW w:w="356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39</w:t>
            </w:r>
          </w:p>
        </w:tc>
        <w:tc>
          <w:tcPr>
            <w:tcW w:w="0" w:type="dxa"/>
            <w:vAlign w:val="bottom"/>
          </w:tcPr>
          <w:p>
            <w:pPr>
              <w:spacing w:after="0"/>
              <w:rPr>
                <w:sz w:val="1"/>
                <w:szCs w:val="1"/>
                <w:color w:val="auto"/>
              </w:rPr>
            </w:pPr>
          </w:p>
        </w:tc>
      </w:tr>
      <w:tr>
        <w:trPr>
          <w:trHeight w:val="20"/>
        </w:trPr>
        <w:tc>
          <w:tcPr>
            <w:tcW w:w="10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Item 3.</w:t>
            </w: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60" w:type="dxa"/>
            <w:vAlign w:val="bottom"/>
            <w:vMerge w:val="restart"/>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39</w:t>
            </w:r>
          </w:p>
        </w:tc>
        <w:tc>
          <w:tcPr>
            <w:tcW w:w="0" w:type="dxa"/>
            <w:vAlign w:val="bottom"/>
          </w:tcPr>
          <w:p>
            <w:pPr>
              <w:spacing w:after="0" w:line="20" w:lineRule="exact"/>
              <w:rPr>
                <w:sz w:val="1"/>
                <w:szCs w:val="1"/>
                <w:color w:val="auto"/>
              </w:rPr>
            </w:pPr>
          </w:p>
        </w:tc>
      </w:tr>
      <w:tr>
        <w:trPr>
          <w:trHeight w:val="320"/>
        </w:trPr>
        <w:tc>
          <w:tcPr>
            <w:tcW w:w="1020" w:type="dxa"/>
            <w:vAlign w:val="bottom"/>
            <w:vMerge w:val="continue"/>
          </w:tcPr>
          <w:p>
            <w:pPr>
              <w:spacing w:after="0"/>
              <w:rPr>
                <w:sz w:val="24"/>
                <w:szCs w:val="24"/>
                <w:color w:val="auto"/>
              </w:rPr>
            </w:pPr>
          </w:p>
        </w:tc>
        <w:tc>
          <w:tcPr>
            <w:tcW w:w="5980" w:type="dxa"/>
            <w:vAlign w:val="bottom"/>
            <w:gridSpan w:val="25"/>
            <w:vMerge w:val="restart"/>
          </w:tcPr>
          <w:p>
            <w:pPr>
              <w:spacing w:after="0"/>
              <w:rPr>
                <w:rFonts w:ascii="Times New Roman" w:cs="Times New Roman" w:eastAsia="Times New Roman" w:hAnsi="Times New Roman"/>
                <w:sz w:val="13"/>
                <w:szCs w:val="13"/>
                <w:color w:val="0000FF"/>
              </w:rPr>
            </w:pPr>
            <w:hyperlink w:anchor="page39">
              <w:r>
                <w:rPr>
                  <w:rFonts w:ascii="Times New Roman" w:cs="Times New Roman" w:eastAsia="Times New Roman" w:hAnsi="Times New Roman"/>
                  <w:sz w:val="13"/>
                  <w:szCs w:val="13"/>
                  <w:color w:val="0000FF"/>
                </w:rPr>
                <w:t>Legal Proceedings</w:t>
              </w:r>
            </w:hyperlink>
          </w:p>
        </w:tc>
        <w:tc>
          <w:tcPr>
            <w:tcW w:w="3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20" w:type="dxa"/>
            <w:vAlign w:val="bottom"/>
            <w:vMerge w:val="continue"/>
          </w:tcPr>
          <w:p>
            <w:pPr>
              <w:spacing w:after="0"/>
              <w:rPr>
                <w:sz w:val="5"/>
                <w:szCs w:val="5"/>
                <w:color w:val="auto"/>
              </w:rPr>
            </w:pPr>
          </w:p>
        </w:tc>
        <w:tc>
          <w:tcPr>
            <w:tcW w:w="5980" w:type="dxa"/>
            <w:vAlign w:val="bottom"/>
            <w:gridSpan w:val="25"/>
            <w:vMerge w:val="continue"/>
          </w:tcPr>
          <w:p>
            <w:pPr>
              <w:spacing w:after="0"/>
              <w:rPr>
                <w:sz w:val="5"/>
                <w:szCs w:val="5"/>
                <w:color w:val="auto"/>
              </w:rPr>
            </w:pPr>
          </w:p>
        </w:tc>
        <w:tc>
          <w:tcPr>
            <w:tcW w:w="3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Item 4.</w:t>
            </w:r>
          </w:p>
        </w:tc>
        <w:tc>
          <w:tcPr>
            <w:tcW w:w="56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60" w:type="dxa"/>
            <w:vAlign w:val="bottom"/>
            <w:vMerge w:val="restart"/>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39</w:t>
            </w:r>
          </w:p>
        </w:tc>
        <w:tc>
          <w:tcPr>
            <w:tcW w:w="0" w:type="dxa"/>
            <w:vAlign w:val="bottom"/>
          </w:tcPr>
          <w:p>
            <w:pPr>
              <w:spacing w:after="0" w:line="20" w:lineRule="exact"/>
              <w:rPr>
                <w:sz w:val="1"/>
                <w:szCs w:val="1"/>
                <w:color w:val="auto"/>
              </w:rPr>
            </w:pPr>
          </w:p>
        </w:tc>
      </w:tr>
      <w:tr>
        <w:trPr>
          <w:trHeight w:val="292"/>
        </w:trPr>
        <w:tc>
          <w:tcPr>
            <w:tcW w:w="1020" w:type="dxa"/>
            <w:vAlign w:val="bottom"/>
            <w:vMerge w:val="continue"/>
          </w:tcPr>
          <w:p>
            <w:pPr>
              <w:spacing w:after="0"/>
              <w:rPr>
                <w:sz w:val="24"/>
                <w:szCs w:val="24"/>
                <w:color w:val="auto"/>
              </w:rPr>
            </w:pPr>
          </w:p>
        </w:tc>
        <w:tc>
          <w:tcPr>
            <w:tcW w:w="5980" w:type="dxa"/>
            <w:vAlign w:val="bottom"/>
            <w:gridSpan w:val="25"/>
          </w:tcPr>
          <w:p>
            <w:pPr>
              <w:spacing w:after="0"/>
              <w:rPr>
                <w:rFonts w:ascii="Times New Roman" w:cs="Times New Roman" w:eastAsia="Times New Roman" w:hAnsi="Times New Roman"/>
                <w:sz w:val="13"/>
                <w:szCs w:val="13"/>
                <w:color w:val="0000FF"/>
              </w:rPr>
            </w:pPr>
            <w:hyperlink w:anchor="page39">
              <w:r>
                <w:rPr>
                  <w:rFonts w:ascii="Times New Roman" w:cs="Times New Roman" w:eastAsia="Times New Roman" w:hAnsi="Times New Roman"/>
                  <w:sz w:val="13"/>
                  <w:szCs w:val="13"/>
                  <w:color w:val="0000FF"/>
                </w:rPr>
                <w:t>Mine Safety Disclosures</w:t>
              </w:r>
            </w:hyperlink>
          </w:p>
        </w:tc>
        <w:tc>
          <w:tcPr>
            <w:tcW w:w="3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02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Borders>
              <w:bottom w:val="single" w:sz="8" w:color="0000FF"/>
            </w:tcBorders>
            <w:gridSpan w:val="4"/>
          </w:tcPr>
          <w:p>
            <w:pPr>
              <w:jc w:val="center"/>
              <w:spacing w:after="0"/>
              <w:rPr>
                <w:rFonts w:ascii="Times New Roman" w:cs="Times New Roman" w:eastAsia="Times New Roman" w:hAnsi="Times New Roman"/>
                <w:sz w:val="13"/>
                <w:szCs w:val="13"/>
                <w:b w:val="1"/>
                <w:bCs w:val="1"/>
                <w:color w:val="0000FF"/>
              </w:rPr>
            </w:pPr>
            <w:hyperlink w:anchor="page40">
              <w:r>
                <w:rPr>
                  <w:rFonts w:ascii="Times New Roman" w:cs="Times New Roman" w:eastAsia="Times New Roman" w:hAnsi="Times New Roman"/>
                  <w:sz w:val="13"/>
                  <w:szCs w:val="13"/>
                  <w:b w:val="1"/>
                  <w:bCs w:val="1"/>
                  <w:color w:val="0000FF"/>
                </w:rPr>
                <w:t>PART II</w:t>
              </w:r>
            </w:hyperlink>
          </w:p>
        </w:tc>
        <w:tc>
          <w:tcPr>
            <w:tcW w:w="1680" w:type="dxa"/>
            <w:vAlign w:val="bottom"/>
            <w:gridSpan w:val="4"/>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0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Item 5.</w:t>
            </w:r>
          </w:p>
        </w:tc>
        <w:tc>
          <w:tcPr>
            <w:tcW w:w="5980" w:type="dxa"/>
            <w:vAlign w:val="bottom"/>
            <w:tcBorders>
              <w:bottom w:val="single" w:sz="8" w:color="0000FF"/>
            </w:tcBorders>
            <w:gridSpan w:val="25"/>
          </w:tcPr>
          <w:p>
            <w:pPr>
              <w:spacing w:after="0"/>
              <w:rPr>
                <w:rFonts w:ascii="Times New Roman" w:cs="Times New Roman" w:eastAsia="Times New Roman" w:hAnsi="Times New Roman"/>
                <w:sz w:val="13"/>
                <w:szCs w:val="13"/>
                <w:color w:val="0000FF"/>
              </w:rPr>
            </w:pPr>
            <w:hyperlink w:anchor="page40">
              <w:r>
                <w:rPr>
                  <w:rFonts w:ascii="Times New Roman" w:cs="Times New Roman" w:eastAsia="Times New Roman" w:hAnsi="Times New Roman"/>
                  <w:sz w:val="13"/>
                  <w:szCs w:val="13"/>
                  <w:color w:val="0000FF"/>
                </w:rPr>
                <w:t>Market For Registrant’s Common Equity, Related Stockholder Matters and Issuer Purchases of Equity Securities</w:t>
              </w:r>
            </w:hyperlink>
          </w:p>
        </w:tc>
        <w:tc>
          <w:tcPr>
            <w:tcW w:w="356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40</w:t>
            </w:r>
          </w:p>
        </w:tc>
        <w:tc>
          <w:tcPr>
            <w:tcW w:w="0" w:type="dxa"/>
            <w:vAlign w:val="bottom"/>
          </w:tcPr>
          <w:p>
            <w:pPr>
              <w:spacing w:after="0"/>
              <w:rPr>
                <w:sz w:val="1"/>
                <w:szCs w:val="1"/>
                <w:color w:val="auto"/>
              </w:rPr>
            </w:pPr>
          </w:p>
        </w:tc>
      </w:tr>
      <w:tr>
        <w:trPr>
          <w:trHeight w:val="292"/>
        </w:trPr>
        <w:tc>
          <w:tcPr>
            <w:tcW w:w="10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Item 6.</w:t>
            </w:r>
          </w:p>
        </w:tc>
        <w:tc>
          <w:tcPr>
            <w:tcW w:w="1260" w:type="dxa"/>
            <w:vAlign w:val="bottom"/>
            <w:tcBorders>
              <w:bottom w:val="single" w:sz="8" w:color="0000FF"/>
            </w:tcBorders>
            <w:gridSpan w:val="6"/>
          </w:tcPr>
          <w:p>
            <w:pPr>
              <w:spacing w:after="0"/>
              <w:rPr>
                <w:rFonts w:ascii="Times New Roman" w:cs="Times New Roman" w:eastAsia="Times New Roman" w:hAnsi="Times New Roman"/>
                <w:sz w:val="13"/>
                <w:szCs w:val="13"/>
                <w:color w:val="0000FF"/>
              </w:rPr>
            </w:pPr>
            <w:hyperlink w:anchor="page44">
              <w:r>
                <w:rPr>
                  <w:rFonts w:ascii="Times New Roman" w:cs="Times New Roman" w:eastAsia="Times New Roman" w:hAnsi="Times New Roman"/>
                  <w:sz w:val="13"/>
                  <w:szCs w:val="13"/>
                  <w:color w:val="0000FF"/>
                </w:rPr>
                <w:t>Selected Financial Data</w:t>
              </w:r>
            </w:hyperlink>
          </w:p>
        </w:tc>
        <w:tc>
          <w:tcPr>
            <w:tcW w:w="4720" w:type="dxa"/>
            <w:vAlign w:val="bottom"/>
            <w:gridSpan w:val="19"/>
          </w:tcPr>
          <w:p>
            <w:pPr>
              <w:spacing w:after="0"/>
              <w:rPr>
                <w:sz w:val="24"/>
                <w:szCs w:val="24"/>
                <w:color w:val="auto"/>
              </w:rPr>
            </w:pPr>
          </w:p>
        </w:tc>
        <w:tc>
          <w:tcPr>
            <w:tcW w:w="356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44</w:t>
            </w:r>
          </w:p>
        </w:tc>
        <w:tc>
          <w:tcPr>
            <w:tcW w:w="0" w:type="dxa"/>
            <w:vAlign w:val="bottom"/>
          </w:tcPr>
          <w:p>
            <w:pPr>
              <w:spacing w:after="0"/>
              <w:rPr>
                <w:sz w:val="1"/>
                <w:szCs w:val="1"/>
                <w:color w:val="auto"/>
              </w:rPr>
            </w:pPr>
          </w:p>
        </w:tc>
      </w:tr>
      <w:tr>
        <w:trPr>
          <w:trHeight w:val="292"/>
        </w:trPr>
        <w:tc>
          <w:tcPr>
            <w:tcW w:w="10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Item 7.</w:t>
            </w:r>
          </w:p>
        </w:tc>
        <w:tc>
          <w:tcPr>
            <w:tcW w:w="5980" w:type="dxa"/>
            <w:vAlign w:val="bottom"/>
            <w:gridSpan w:val="25"/>
          </w:tcPr>
          <w:p>
            <w:pPr>
              <w:spacing w:after="0"/>
              <w:rPr>
                <w:rFonts w:ascii="Times New Roman" w:cs="Times New Roman" w:eastAsia="Times New Roman" w:hAnsi="Times New Roman"/>
                <w:sz w:val="13"/>
                <w:szCs w:val="13"/>
                <w:color w:val="0000FF"/>
              </w:rPr>
            </w:pPr>
            <w:hyperlink w:anchor="page45">
              <w:r>
                <w:rPr>
                  <w:rFonts w:ascii="Times New Roman" w:cs="Times New Roman" w:eastAsia="Times New Roman" w:hAnsi="Times New Roman"/>
                  <w:sz w:val="13"/>
                  <w:szCs w:val="13"/>
                  <w:color w:val="0000FF"/>
                </w:rPr>
                <w:t>Management’s Discussion and Analysis of Financial Condition and Results of Operations</w:t>
              </w:r>
            </w:hyperlink>
          </w:p>
        </w:tc>
        <w:tc>
          <w:tcPr>
            <w:tcW w:w="356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45</w:t>
            </w:r>
          </w:p>
        </w:tc>
        <w:tc>
          <w:tcPr>
            <w:tcW w:w="0" w:type="dxa"/>
            <w:vAlign w:val="bottom"/>
          </w:tcPr>
          <w:p>
            <w:pPr>
              <w:spacing w:after="0"/>
              <w:rPr>
                <w:sz w:val="1"/>
                <w:szCs w:val="1"/>
                <w:color w:val="auto"/>
              </w:rPr>
            </w:pPr>
          </w:p>
        </w:tc>
      </w:tr>
      <w:tr>
        <w:trPr>
          <w:trHeight w:val="292"/>
        </w:trPr>
        <w:tc>
          <w:tcPr>
            <w:tcW w:w="10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Item 7A.</w:t>
            </w:r>
          </w:p>
        </w:tc>
        <w:tc>
          <w:tcPr>
            <w:tcW w:w="3200" w:type="dxa"/>
            <w:vAlign w:val="bottom"/>
            <w:tcBorders>
              <w:top w:val="single" w:sz="8" w:color="0000FF"/>
              <w:bottom w:val="single" w:sz="8" w:color="0000FF"/>
            </w:tcBorders>
            <w:gridSpan w:val="14"/>
          </w:tcPr>
          <w:p>
            <w:pPr>
              <w:spacing w:after="0"/>
              <w:rPr>
                <w:rFonts w:ascii="Times New Roman" w:cs="Times New Roman" w:eastAsia="Times New Roman" w:hAnsi="Times New Roman"/>
                <w:sz w:val="13"/>
                <w:szCs w:val="13"/>
                <w:color w:val="0000FF"/>
              </w:rPr>
            </w:pPr>
            <w:hyperlink w:anchor="page59">
              <w:r>
                <w:rPr>
                  <w:rFonts w:ascii="Times New Roman" w:cs="Times New Roman" w:eastAsia="Times New Roman" w:hAnsi="Times New Roman"/>
                  <w:sz w:val="13"/>
                  <w:szCs w:val="13"/>
                  <w:color w:val="0000FF"/>
                </w:rPr>
                <w:t>Quantitative and Qualitative Disclosures About Market Risk</w:t>
              </w:r>
            </w:hyperlink>
          </w:p>
        </w:tc>
        <w:tc>
          <w:tcPr>
            <w:tcW w:w="1540" w:type="dxa"/>
            <w:vAlign w:val="bottom"/>
            <w:tcBorders>
              <w:top w:val="single" w:sz="8" w:color="0000FF"/>
            </w:tcBorders>
            <w:gridSpan w:val="9"/>
          </w:tcPr>
          <w:p>
            <w:pPr>
              <w:spacing w:after="0"/>
              <w:rPr>
                <w:sz w:val="24"/>
                <w:szCs w:val="24"/>
                <w:color w:val="auto"/>
              </w:rPr>
            </w:pPr>
          </w:p>
        </w:tc>
        <w:tc>
          <w:tcPr>
            <w:tcW w:w="1240" w:type="dxa"/>
            <w:vAlign w:val="bottom"/>
            <w:gridSpan w:val="2"/>
          </w:tcPr>
          <w:p>
            <w:pPr>
              <w:spacing w:after="0"/>
              <w:rPr>
                <w:sz w:val="24"/>
                <w:szCs w:val="24"/>
                <w:color w:val="auto"/>
              </w:rPr>
            </w:pPr>
          </w:p>
        </w:tc>
        <w:tc>
          <w:tcPr>
            <w:tcW w:w="356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59</w:t>
            </w:r>
          </w:p>
        </w:tc>
        <w:tc>
          <w:tcPr>
            <w:tcW w:w="0" w:type="dxa"/>
            <w:vAlign w:val="bottom"/>
          </w:tcPr>
          <w:p>
            <w:pPr>
              <w:spacing w:after="0"/>
              <w:rPr>
                <w:sz w:val="1"/>
                <w:szCs w:val="1"/>
                <w:color w:val="auto"/>
              </w:rPr>
            </w:pPr>
          </w:p>
        </w:tc>
      </w:tr>
      <w:tr>
        <w:trPr>
          <w:trHeight w:val="292"/>
        </w:trPr>
        <w:tc>
          <w:tcPr>
            <w:tcW w:w="10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Item 8.</w:t>
            </w:r>
          </w:p>
        </w:tc>
        <w:tc>
          <w:tcPr>
            <w:tcW w:w="3180" w:type="dxa"/>
            <w:vAlign w:val="bottom"/>
            <w:tcBorders>
              <w:bottom w:val="single" w:sz="8" w:color="0000FF"/>
            </w:tcBorders>
            <w:gridSpan w:val="13"/>
          </w:tcPr>
          <w:p>
            <w:pPr>
              <w:spacing w:after="0"/>
              <w:rPr>
                <w:rFonts w:ascii="Times New Roman" w:cs="Times New Roman" w:eastAsia="Times New Roman" w:hAnsi="Times New Roman"/>
                <w:sz w:val="13"/>
                <w:szCs w:val="13"/>
                <w:color w:val="0000FF"/>
              </w:rPr>
            </w:pPr>
            <w:hyperlink w:anchor="page60">
              <w:r>
                <w:rPr>
                  <w:rFonts w:ascii="Times New Roman" w:cs="Times New Roman" w:eastAsia="Times New Roman" w:hAnsi="Times New Roman"/>
                  <w:sz w:val="13"/>
                  <w:szCs w:val="13"/>
                  <w:color w:val="0000FF"/>
                </w:rPr>
                <w:t>Consolidated Financial Statements and Supplementary Data</w:t>
              </w:r>
            </w:hyperlink>
          </w:p>
        </w:tc>
        <w:tc>
          <w:tcPr>
            <w:tcW w:w="2800" w:type="dxa"/>
            <w:vAlign w:val="bottom"/>
            <w:gridSpan w:val="12"/>
          </w:tcPr>
          <w:p>
            <w:pPr>
              <w:spacing w:after="0"/>
              <w:rPr>
                <w:sz w:val="24"/>
                <w:szCs w:val="24"/>
                <w:color w:val="auto"/>
              </w:rPr>
            </w:pPr>
          </w:p>
        </w:tc>
        <w:tc>
          <w:tcPr>
            <w:tcW w:w="356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60</w:t>
            </w:r>
          </w:p>
        </w:tc>
        <w:tc>
          <w:tcPr>
            <w:tcW w:w="0" w:type="dxa"/>
            <w:vAlign w:val="bottom"/>
          </w:tcPr>
          <w:p>
            <w:pPr>
              <w:spacing w:after="0"/>
              <w:rPr>
                <w:sz w:val="1"/>
                <w:szCs w:val="1"/>
                <w:color w:val="auto"/>
              </w:rPr>
            </w:pPr>
          </w:p>
        </w:tc>
      </w:tr>
      <w:tr>
        <w:trPr>
          <w:trHeight w:val="304"/>
        </w:trPr>
        <w:tc>
          <w:tcPr>
            <w:tcW w:w="10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Item 9.</w:t>
            </w:r>
          </w:p>
        </w:tc>
        <w:tc>
          <w:tcPr>
            <w:tcW w:w="5980" w:type="dxa"/>
            <w:vAlign w:val="bottom"/>
            <w:gridSpan w:val="25"/>
          </w:tcPr>
          <w:p>
            <w:pPr>
              <w:spacing w:after="0"/>
              <w:rPr>
                <w:rFonts w:ascii="Times New Roman" w:cs="Times New Roman" w:eastAsia="Times New Roman" w:hAnsi="Times New Roman"/>
                <w:sz w:val="13"/>
                <w:szCs w:val="13"/>
                <w:color w:val="0000FF"/>
              </w:rPr>
            </w:pPr>
            <w:hyperlink w:anchor="page104">
              <w:r>
                <w:rPr>
                  <w:rFonts w:ascii="Times New Roman" w:cs="Times New Roman" w:eastAsia="Times New Roman" w:hAnsi="Times New Roman"/>
                  <w:sz w:val="13"/>
                  <w:szCs w:val="13"/>
                  <w:color w:val="0000FF"/>
                </w:rPr>
                <w:t>Changes in and Disagreements with Accountants on Accounting and Financial Disclosure</w:t>
              </w:r>
            </w:hyperlink>
          </w:p>
        </w:tc>
        <w:tc>
          <w:tcPr>
            <w:tcW w:w="356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104</w:t>
            </w:r>
          </w:p>
        </w:tc>
        <w:tc>
          <w:tcPr>
            <w:tcW w:w="0" w:type="dxa"/>
            <w:vAlign w:val="bottom"/>
          </w:tcPr>
          <w:p>
            <w:pPr>
              <w:spacing w:after="0"/>
              <w:rPr>
                <w:sz w:val="1"/>
                <w:szCs w:val="1"/>
                <w:color w:val="auto"/>
              </w:rPr>
            </w:pPr>
          </w:p>
        </w:tc>
      </w:tr>
      <w:tr>
        <w:trPr>
          <w:trHeight w:val="292"/>
        </w:trPr>
        <w:tc>
          <w:tcPr>
            <w:tcW w:w="10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Item 9A.</w:t>
            </w:r>
          </w:p>
        </w:tc>
        <w:tc>
          <w:tcPr>
            <w:tcW w:w="4740" w:type="dxa"/>
            <w:vAlign w:val="bottom"/>
            <w:tcBorders>
              <w:top w:val="single" w:sz="8" w:color="0000FF"/>
            </w:tcBorders>
            <w:gridSpan w:val="23"/>
          </w:tcPr>
          <w:p>
            <w:pPr>
              <w:spacing w:after="0"/>
              <w:rPr>
                <w:rFonts w:ascii="Times New Roman" w:cs="Times New Roman" w:eastAsia="Times New Roman" w:hAnsi="Times New Roman"/>
                <w:sz w:val="13"/>
                <w:szCs w:val="13"/>
                <w:color w:val="0000FF"/>
              </w:rPr>
            </w:pPr>
            <w:hyperlink w:anchor="page104">
              <w:r>
                <w:rPr>
                  <w:rFonts w:ascii="Times New Roman" w:cs="Times New Roman" w:eastAsia="Times New Roman" w:hAnsi="Times New Roman"/>
                  <w:sz w:val="13"/>
                  <w:szCs w:val="13"/>
                  <w:color w:val="0000FF"/>
                </w:rPr>
                <w:t>Controls and Procedures</w:t>
              </w:r>
            </w:hyperlink>
          </w:p>
        </w:tc>
        <w:tc>
          <w:tcPr>
            <w:tcW w:w="1240" w:type="dxa"/>
            <w:vAlign w:val="bottom"/>
            <w:gridSpan w:val="2"/>
          </w:tcPr>
          <w:p>
            <w:pPr>
              <w:spacing w:after="0"/>
              <w:rPr>
                <w:sz w:val="24"/>
                <w:szCs w:val="24"/>
                <w:color w:val="auto"/>
              </w:rPr>
            </w:pPr>
          </w:p>
        </w:tc>
        <w:tc>
          <w:tcPr>
            <w:tcW w:w="356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104</w:t>
            </w:r>
          </w:p>
        </w:tc>
        <w:tc>
          <w:tcPr>
            <w:tcW w:w="0" w:type="dxa"/>
            <w:vAlign w:val="bottom"/>
          </w:tcPr>
          <w:p>
            <w:pPr>
              <w:spacing w:after="0"/>
              <w:rPr>
                <w:sz w:val="1"/>
                <w:szCs w:val="1"/>
                <w:color w:val="auto"/>
              </w:rPr>
            </w:pPr>
          </w:p>
        </w:tc>
      </w:tr>
      <w:tr>
        <w:trPr>
          <w:trHeight w:val="292"/>
        </w:trPr>
        <w:tc>
          <w:tcPr>
            <w:tcW w:w="10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Item 9B.</w:t>
            </w:r>
          </w:p>
        </w:tc>
        <w:tc>
          <w:tcPr>
            <w:tcW w:w="1300" w:type="dxa"/>
            <w:vAlign w:val="bottom"/>
            <w:tcBorders>
              <w:top w:val="single" w:sz="8" w:color="0000FF"/>
            </w:tcBorders>
            <w:gridSpan w:val="7"/>
          </w:tcPr>
          <w:p>
            <w:pPr>
              <w:spacing w:after="0"/>
              <w:rPr>
                <w:rFonts w:ascii="Times New Roman" w:cs="Times New Roman" w:eastAsia="Times New Roman" w:hAnsi="Times New Roman"/>
                <w:sz w:val="13"/>
                <w:szCs w:val="13"/>
                <w:color w:val="0000FF"/>
              </w:rPr>
            </w:pPr>
            <w:hyperlink w:anchor="page105">
              <w:r>
                <w:rPr>
                  <w:rFonts w:ascii="Times New Roman" w:cs="Times New Roman" w:eastAsia="Times New Roman" w:hAnsi="Times New Roman"/>
                  <w:sz w:val="13"/>
                  <w:szCs w:val="13"/>
                  <w:color w:val="0000FF"/>
                </w:rPr>
                <w:t>Other Information</w:t>
              </w:r>
            </w:hyperlink>
          </w:p>
        </w:tc>
        <w:tc>
          <w:tcPr>
            <w:tcW w:w="4680" w:type="dxa"/>
            <w:vAlign w:val="bottom"/>
            <w:gridSpan w:val="18"/>
          </w:tcPr>
          <w:p>
            <w:pPr>
              <w:spacing w:after="0"/>
              <w:rPr>
                <w:sz w:val="24"/>
                <w:szCs w:val="24"/>
                <w:color w:val="auto"/>
              </w:rPr>
            </w:pPr>
          </w:p>
        </w:tc>
        <w:tc>
          <w:tcPr>
            <w:tcW w:w="356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105</w:t>
            </w:r>
          </w:p>
        </w:tc>
        <w:tc>
          <w:tcPr>
            <w:tcW w:w="0" w:type="dxa"/>
            <w:vAlign w:val="bottom"/>
          </w:tcPr>
          <w:p>
            <w:pPr>
              <w:spacing w:after="0"/>
              <w:rPr>
                <w:sz w:val="1"/>
                <w:szCs w:val="1"/>
                <w:color w:val="auto"/>
              </w:rPr>
            </w:pPr>
          </w:p>
        </w:tc>
      </w:tr>
      <w:tr>
        <w:trPr>
          <w:trHeight w:val="20"/>
        </w:trPr>
        <w:tc>
          <w:tcPr>
            <w:tcW w:w="10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Item 9C.</w:t>
            </w:r>
          </w:p>
        </w:tc>
        <w:tc>
          <w:tcPr>
            <w:tcW w:w="56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60" w:type="dxa"/>
            <w:vAlign w:val="bottom"/>
            <w:vMerge w:val="restart"/>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105</w:t>
            </w:r>
          </w:p>
        </w:tc>
        <w:tc>
          <w:tcPr>
            <w:tcW w:w="0" w:type="dxa"/>
            <w:vAlign w:val="bottom"/>
          </w:tcPr>
          <w:p>
            <w:pPr>
              <w:spacing w:after="0" w:line="20" w:lineRule="exact"/>
              <w:rPr>
                <w:sz w:val="1"/>
                <w:szCs w:val="1"/>
                <w:color w:val="auto"/>
              </w:rPr>
            </w:pPr>
          </w:p>
        </w:tc>
      </w:tr>
      <w:tr>
        <w:trPr>
          <w:trHeight w:val="400"/>
        </w:trPr>
        <w:tc>
          <w:tcPr>
            <w:tcW w:w="1020" w:type="dxa"/>
            <w:vAlign w:val="bottom"/>
            <w:vMerge w:val="continue"/>
          </w:tcPr>
          <w:p>
            <w:pPr>
              <w:spacing w:after="0"/>
              <w:rPr>
                <w:sz w:val="24"/>
                <w:szCs w:val="24"/>
                <w:color w:val="auto"/>
              </w:rPr>
            </w:pPr>
          </w:p>
        </w:tc>
        <w:tc>
          <w:tcPr>
            <w:tcW w:w="5980" w:type="dxa"/>
            <w:vAlign w:val="bottom"/>
            <w:gridSpan w:val="25"/>
          </w:tcPr>
          <w:p>
            <w:pPr>
              <w:spacing w:after="0"/>
              <w:rPr>
                <w:rFonts w:ascii="Times New Roman" w:cs="Times New Roman" w:eastAsia="Times New Roman" w:hAnsi="Times New Roman"/>
                <w:sz w:val="13"/>
                <w:szCs w:val="13"/>
                <w:color w:val="0000FF"/>
              </w:rPr>
            </w:pPr>
            <w:hyperlink w:anchor="page105">
              <w:r>
                <w:rPr>
                  <w:rFonts w:ascii="Times New Roman" w:cs="Times New Roman" w:eastAsia="Times New Roman" w:hAnsi="Times New Roman"/>
                  <w:sz w:val="13"/>
                  <w:szCs w:val="13"/>
                  <w:color w:val="0000FF"/>
                </w:rPr>
                <w:t>Disclosure Regarding Foreign Jurisdiction that Prevent Inspections</w:t>
              </w:r>
            </w:hyperlink>
          </w:p>
        </w:tc>
        <w:tc>
          <w:tcPr>
            <w:tcW w:w="3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02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9"/>
          </w:tcPr>
          <w:p>
            <w:pPr>
              <w:jc w:val="center"/>
              <w:ind w:right="1660"/>
              <w:spacing w:after="0"/>
              <w:rPr>
                <w:rFonts w:ascii="Times New Roman" w:cs="Times New Roman" w:eastAsia="Times New Roman" w:hAnsi="Times New Roman"/>
                <w:sz w:val="13"/>
                <w:szCs w:val="13"/>
                <w:b w:val="1"/>
                <w:bCs w:val="1"/>
                <w:color w:val="0000FF"/>
              </w:rPr>
            </w:pPr>
            <w:hyperlink w:anchor="page106">
              <w:r>
                <w:rPr>
                  <w:rFonts w:ascii="Times New Roman" w:cs="Times New Roman" w:eastAsia="Times New Roman" w:hAnsi="Times New Roman"/>
                  <w:sz w:val="13"/>
                  <w:szCs w:val="13"/>
                  <w:b w:val="1"/>
                  <w:bCs w:val="1"/>
                  <w:color w:val="0000FF"/>
                </w:rPr>
                <w:t>PART III</w:t>
              </w:r>
            </w:hyperlink>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0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Item 10.</w:t>
            </w:r>
          </w:p>
        </w:tc>
        <w:tc>
          <w:tcPr>
            <w:tcW w:w="3780" w:type="dxa"/>
            <w:vAlign w:val="bottom"/>
            <w:gridSpan w:val="16"/>
          </w:tcPr>
          <w:p>
            <w:pPr>
              <w:spacing w:after="0"/>
              <w:rPr>
                <w:rFonts w:ascii="Times New Roman" w:cs="Times New Roman" w:eastAsia="Times New Roman" w:hAnsi="Times New Roman"/>
                <w:sz w:val="13"/>
                <w:szCs w:val="13"/>
                <w:color w:val="0000FF"/>
              </w:rPr>
            </w:pPr>
            <w:hyperlink w:anchor="page106">
              <w:r>
                <w:rPr>
                  <w:rFonts w:ascii="Times New Roman" w:cs="Times New Roman" w:eastAsia="Times New Roman" w:hAnsi="Times New Roman"/>
                  <w:sz w:val="13"/>
                  <w:szCs w:val="13"/>
                  <w:color w:val="0000FF"/>
                </w:rPr>
                <w:t>Directors, Executive Officers and Corporate Governance</w:t>
              </w:r>
            </w:hyperlink>
          </w:p>
        </w:tc>
        <w:tc>
          <w:tcPr>
            <w:tcW w:w="540" w:type="dxa"/>
            <w:vAlign w:val="bottom"/>
            <w:tcBorders>
              <w:top w:val="single" w:sz="8" w:color="0000FF"/>
            </w:tcBorders>
            <w:gridSpan w:val="6"/>
          </w:tcPr>
          <w:p>
            <w:pPr>
              <w:spacing w:after="0"/>
              <w:rPr>
                <w:sz w:val="24"/>
                <w:szCs w:val="24"/>
                <w:color w:val="auto"/>
              </w:rPr>
            </w:pPr>
          </w:p>
        </w:tc>
        <w:tc>
          <w:tcPr>
            <w:tcW w:w="1660" w:type="dxa"/>
            <w:vAlign w:val="bottom"/>
            <w:gridSpan w:val="3"/>
          </w:tcPr>
          <w:p>
            <w:pPr>
              <w:spacing w:after="0"/>
              <w:rPr>
                <w:sz w:val="24"/>
                <w:szCs w:val="24"/>
                <w:color w:val="auto"/>
              </w:rPr>
            </w:pPr>
          </w:p>
        </w:tc>
        <w:tc>
          <w:tcPr>
            <w:tcW w:w="356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106</w:t>
            </w:r>
          </w:p>
        </w:tc>
        <w:tc>
          <w:tcPr>
            <w:tcW w:w="0" w:type="dxa"/>
            <w:vAlign w:val="bottom"/>
          </w:tcPr>
          <w:p>
            <w:pPr>
              <w:spacing w:after="0"/>
              <w:rPr>
                <w:sz w:val="1"/>
                <w:szCs w:val="1"/>
                <w:color w:val="auto"/>
              </w:rPr>
            </w:pPr>
          </w:p>
        </w:tc>
      </w:tr>
      <w:tr>
        <w:trPr>
          <w:trHeight w:val="292"/>
        </w:trPr>
        <w:tc>
          <w:tcPr>
            <w:tcW w:w="10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Item 11.</w:t>
            </w:r>
          </w:p>
        </w:tc>
        <w:tc>
          <w:tcPr>
            <w:tcW w:w="3000" w:type="dxa"/>
            <w:vAlign w:val="bottom"/>
            <w:tcBorders>
              <w:top w:val="single" w:sz="8" w:color="0000FF"/>
            </w:tcBorders>
            <w:gridSpan w:val="12"/>
          </w:tcPr>
          <w:p>
            <w:pPr>
              <w:spacing w:after="0"/>
              <w:rPr>
                <w:rFonts w:ascii="Times New Roman" w:cs="Times New Roman" w:eastAsia="Times New Roman" w:hAnsi="Times New Roman"/>
                <w:sz w:val="13"/>
                <w:szCs w:val="13"/>
                <w:color w:val="0000FF"/>
              </w:rPr>
            </w:pPr>
            <w:hyperlink w:anchor="page106">
              <w:r>
                <w:rPr>
                  <w:rFonts w:ascii="Times New Roman" w:cs="Times New Roman" w:eastAsia="Times New Roman" w:hAnsi="Times New Roman"/>
                  <w:sz w:val="13"/>
                  <w:szCs w:val="13"/>
                  <w:color w:val="0000FF"/>
                </w:rPr>
                <w:t>Executive Compensation</w:t>
              </w:r>
            </w:hyperlink>
          </w:p>
        </w:tc>
        <w:tc>
          <w:tcPr>
            <w:tcW w:w="2980" w:type="dxa"/>
            <w:vAlign w:val="bottom"/>
            <w:gridSpan w:val="13"/>
          </w:tcPr>
          <w:p>
            <w:pPr>
              <w:spacing w:after="0"/>
              <w:rPr>
                <w:sz w:val="24"/>
                <w:szCs w:val="24"/>
                <w:color w:val="auto"/>
              </w:rPr>
            </w:pPr>
          </w:p>
        </w:tc>
        <w:tc>
          <w:tcPr>
            <w:tcW w:w="356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106</w:t>
            </w:r>
          </w:p>
        </w:tc>
        <w:tc>
          <w:tcPr>
            <w:tcW w:w="0" w:type="dxa"/>
            <w:vAlign w:val="bottom"/>
          </w:tcPr>
          <w:p>
            <w:pPr>
              <w:spacing w:after="0"/>
              <w:rPr>
                <w:sz w:val="1"/>
                <w:szCs w:val="1"/>
                <w:color w:val="auto"/>
              </w:rPr>
            </w:pPr>
          </w:p>
        </w:tc>
      </w:tr>
      <w:tr>
        <w:trPr>
          <w:trHeight w:val="20"/>
        </w:trPr>
        <w:tc>
          <w:tcPr>
            <w:tcW w:w="10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Item 12.</w:t>
            </w:r>
          </w:p>
        </w:tc>
        <w:tc>
          <w:tcPr>
            <w:tcW w:w="560" w:type="dxa"/>
            <w:vAlign w:val="bottom"/>
            <w:gridSpan w:val="2"/>
            <w:shd w:val="clear" w:color="auto" w:fill="0000FF"/>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gridSpan w:val="8"/>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60" w:type="dxa"/>
            <w:vAlign w:val="bottom"/>
            <w:vMerge w:val="restart"/>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106</w:t>
            </w:r>
          </w:p>
        </w:tc>
        <w:tc>
          <w:tcPr>
            <w:tcW w:w="0" w:type="dxa"/>
            <w:vAlign w:val="bottom"/>
          </w:tcPr>
          <w:p>
            <w:pPr>
              <w:spacing w:after="0" w:line="20" w:lineRule="exact"/>
              <w:rPr>
                <w:sz w:val="1"/>
                <w:szCs w:val="1"/>
                <w:color w:val="auto"/>
              </w:rPr>
            </w:pPr>
          </w:p>
        </w:tc>
      </w:tr>
      <w:tr>
        <w:trPr>
          <w:trHeight w:val="292"/>
        </w:trPr>
        <w:tc>
          <w:tcPr>
            <w:tcW w:w="1020" w:type="dxa"/>
            <w:vAlign w:val="bottom"/>
            <w:vMerge w:val="continue"/>
          </w:tcPr>
          <w:p>
            <w:pPr>
              <w:spacing w:after="0"/>
              <w:rPr>
                <w:sz w:val="24"/>
                <w:szCs w:val="24"/>
                <w:color w:val="auto"/>
              </w:rPr>
            </w:pPr>
          </w:p>
        </w:tc>
        <w:tc>
          <w:tcPr>
            <w:tcW w:w="5980" w:type="dxa"/>
            <w:vAlign w:val="bottom"/>
            <w:gridSpan w:val="25"/>
          </w:tcPr>
          <w:p>
            <w:pPr>
              <w:spacing w:after="0"/>
              <w:rPr>
                <w:rFonts w:ascii="Times New Roman" w:cs="Times New Roman" w:eastAsia="Times New Roman" w:hAnsi="Times New Roman"/>
                <w:sz w:val="13"/>
                <w:szCs w:val="13"/>
                <w:color w:val="0000FF"/>
              </w:rPr>
            </w:pPr>
            <w:hyperlink w:anchor="page106">
              <w:r>
                <w:rPr>
                  <w:rFonts w:ascii="Times New Roman" w:cs="Times New Roman" w:eastAsia="Times New Roman" w:hAnsi="Times New Roman"/>
                  <w:sz w:val="13"/>
                  <w:szCs w:val="13"/>
                  <w:color w:val="0000FF"/>
                </w:rPr>
                <w:t>Security Ownership of Certain Beneficial Owners and Management and Related Stockholder Matters</w:t>
              </w:r>
            </w:hyperlink>
          </w:p>
        </w:tc>
        <w:tc>
          <w:tcPr>
            <w:tcW w:w="3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0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Item 13.</w:t>
            </w:r>
          </w:p>
        </w:tc>
        <w:tc>
          <w:tcPr>
            <w:tcW w:w="5340" w:type="dxa"/>
            <w:vAlign w:val="bottom"/>
            <w:tcBorders>
              <w:top w:val="single" w:sz="8" w:color="0000FF"/>
            </w:tcBorders>
            <w:gridSpan w:val="24"/>
          </w:tcPr>
          <w:p>
            <w:pPr>
              <w:spacing w:after="0"/>
              <w:rPr>
                <w:rFonts w:ascii="Times New Roman" w:cs="Times New Roman" w:eastAsia="Times New Roman" w:hAnsi="Times New Roman"/>
                <w:sz w:val="13"/>
                <w:szCs w:val="13"/>
                <w:color w:val="0000FF"/>
              </w:rPr>
            </w:pPr>
            <w:hyperlink w:anchor="page106">
              <w:r>
                <w:rPr>
                  <w:rFonts w:ascii="Times New Roman" w:cs="Times New Roman" w:eastAsia="Times New Roman" w:hAnsi="Times New Roman"/>
                  <w:sz w:val="13"/>
                  <w:szCs w:val="13"/>
                  <w:color w:val="0000FF"/>
                </w:rPr>
                <w:t>Certain Relationships and Related Transactions, and Director Independence</w:t>
              </w:r>
            </w:hyperlink>
          </w:p>
        </w:tc>
        <w:tc>
          <w:tcPr>
            <w:tcW w:w="640" w:type="dxa"/>
            <w:vAlign w:val="bottom"/>
          </w:tcPr>
          <w:p>
            <w:pPr>
              <w:spacing w:after="0"/>
              <w:rPr>
                <w:sz w:val="24"/>
                <w:szCs w:val="24"/>
                <w:color w:val="auto"/>
              </w:rPr>
            </w:pPr>
          </w:p>
        </w:tc>
        <w:tc>
          <w:tcPr>
            <w:tcW w:w="356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106</w:t>
            </w:r>
          </w:p>
        </w:tc>
        <w:tc>
          <w:tcPr>
            <w:tcW w:w="0" w:type="dxa"/>
            <w:vAlign w:val="bottom"/>
          </w:tcPr>
          <w:p>
            <w:pPr>
              <w:spacing w:after="0"/>
              <w:rPr>
                <w:sz w:val="1"/>
                <w:szCs w:val="1"/>
                <w:color w:val="auto"/>
              </w:rPr>
            </w:pPr>
          </w:p>
        </w:tc>
      </w:tr>
      <w:tr>
        <w:trPr>
          <w:trHeight w:val="292"/>
        </w:trPr>
        <w:tc>
          <w:tcPr>
            <w:tcW w:w="10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Item 14.</w:t>
            </w:r>
          </w:p>
        </w:tc>
        <w:tc>
          <w:tcPr>
            <w:tcW w:w="4000" w:type="dxa"/>
            <w:vAlign w:val="bottom"/>
            <w:tcBorders>
              <w:top w:val="single" w:sz="8" w:color="0000FF"/>
            </w:tcBorders>
            <w:gridSpan w:val="19"/>
          </w:tcPr>
          <w:p>
            <w:pPr>
              <w:spacing w:after="0"/>
              <w:rPr>
                <w:rFonts w:ascii="Times New Roman" w:cs="Times New Roman" w:eastAsia="Times New Roman" w:hAnsi="Times New Roman"/>
                <w:sz w:val="13"/>
                <w:szCs w:val="13"/>
                <w:color w:val="0000FF"/>
              </w:rPr>
            </w:pPr>
            <w:hyperlink w:anchor="page106">
              <w:r>
                <w:rPr>
                  <w:rFonts w:ascii="Times New Roman" w:cs="Times New Roman" w:eastAsia="Times New Roman" w:hAnsi="Times New Roman"/>
                  <w:sz w:val="13"/>
                  <w:szCs w:val="13"/>
                  <w:color w:val="0000FF"/>
                </w:rPr>
                <w:t>Principal Accountant Fees and Services</w:t>
              </w:r>
            </w:hyperlink>
          </w:p>
        </w:tc>
        <w:tc>
          <w:tcPr>
            <w:tcW w:w="1980" w:type="dxa"/>
            <w:vAlign w:val="bottom"/>
            <w:gridSpan w:val="6"/>
          </w:tcPr>
          <w:p>
            <w:pPr>
              <w:spacing w:after="0"/>
              <w:rPr>
                <w:sz w:val="24"/>
                <w:szCs w:val="24"/>
                <w:color w:val="auto"/>
              </w:rPr>
            </w:pPr>
          </w:p>
        </w:tc>
        <w:tc>
          <w:tcPr>
            <w:tcW w:w="356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106</w:t>
            </w:r>
          </w:p>
        </w:tc>
        <w:tc>
          <w:tcPr>
            <w:tcW w:w="0" w:type="dxa"/>
            <w:vAlign w:val="bottom"/>
          </w:tcPr>
          <w:p>
            <w:pPr>
              <w:spacing w:after="0"/>
              <w:rPr>
                <w:sz w:val="1"/>
                <w:szCs w:val="1"/>
                <w:color w:val="auto"/>
              </w:rPr>
            </w:pPr>
          </w:p>
        </w:tc>
      </w:tr>
      <w:tr>
        <w:trPr>
          <w:trHeight w:val="292"/>
        </w:trPr>
        <w:tc>
          <w:tcPr>
            <w:tcW w:w="102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Borders>
              <w:bottom w:val="single" w:sz="8" w:color="0000FF"/>
            </w:tcBorders>
            <w:gridSpan w:val="6"/>
          </w:tcPr>
          <w:p>
            <w:pPr>
              <w:jc w:val="center"/>
              <w:spacing w:after="0"/>
              <w:rPr>
                <w:rFonts w:ascii="Times New Roman" w:cs="Times New Roman" w:eastAsia="Times New Roman" w:hAnsi="Times New Roman"/>
                <w:sz w:val="13"/>
                <w:szCs w:val="13"/>
                <w:b w:val="1"/>
                <w:bCs w:val="1"/>
                <w:color w:val="0000FF"/>
              </w:rPr>
            </w:pPr>
            <w:hyperlink w:anchor="page107">
              <w:r>
                <w:rPr>
                  <w:rFonts w:ascii="Times New Roman" w:cs="Times New Roman" w:eastAsia="Times New Roman" w:hAnsi="Times New Roman"/>
                  <w:sz w:val="13"/>
                  <w:szCs w:val="13"/>
                  <w:b w:val="1"/>
                  <w:bCs w:val="1"/>
                  <w:color w:val="0000FF"/>
                </w:rPr>
                <w:t>PART IV</w:t>
              </w:r>
            </w:hyperlink>
          </w:p>
        </w:tc>
        <w:tc>
          <w:tcPr>
            <w:tcW w:w="1660" w:type="dxa"/>
            <w:vAlign w:val="bottom"/>
            <w:gridSpan w:val="3"/>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0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Item 15.</w:t>
            </w:r>
          </w:p>
        </w:tc>
        <w:tc>
          <w:tcPr>
            <w:tcW w:w="5980" w:type="dxa"/>
            <w:vAlign w:val="bottom"/>
            <w:gridSpan w:val="25"/>
          </w:tcPr>
          <w:p>
            <w:pPr>
              <w:spacing w:after="0"/>
              <w:rPr>
                <w:rFonts w:ascii="Times New Roman" w:cs="Times New Roman" w:eastAsia="Times New Roman" w:hAnsi="Times New Roman"/>
                <w:sz w:val="13"/>
                <w:szCs w:val="13"/>
                <w:color w:val="0000FF"/>
              </w:rPr>
            </w:pPr>
            <w:hyperlink w:anchor="page107">
              <w:r>
                <w:rPr>
                  <w:rFonts w:ascii="Times New Roman" w:cs="Times New Roman" w:eastAsia="Times New Roman" w:hAnsi="Times New Roman"/>
                  <w:sz w:val="13"/>
                  <w:szCs w:val="13"/>
                  <w:color w:val="0000FF"/>
                </w:rPr>
                <w:t>Exhibits and Financial Statement Schedules</w:t>
              </w:r>
            </w:hyperlink>
          </w:p>
        </w:tc>
        <w:tc>
          <w:tcPr>
            <w:tcW w:w="356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107</w:t>
            </w:r>
          </w:p>
        </w:tc>
        <w:tc>
          <w:tcPr>
            <w:tcW w:w="0" w:type="dxa"/>
            <w:vAlign w:val="bottom"/>
          </w:tcPr>
          <w:p>
            <w:pPr>
              <w:spacing w:after="0"/>
              <w:rPr>
                <w:sz w:val="1"/>
                <w:szCs w:val="1"/>
                <w:color w:val="auto"/>
              </w:rPr>
            </w:pPr>
          </w:p>
        </w:tc>
      </w:tr>
      <w:tr>
        <w:trPr>
          <w:trHeight w:val="292"/>
        </w:trPr>
        <w:tc>
          <w:tcPr>
            <w:tcW w:w="1020" w:type="dxa"/>
            <w:vAlign w:val="bottom"/>
          </w:tcPr>
          <w:p>
            <w:pPr>
              <w:spacing w:after="0"/>
              <w:rPr>
                <w:sz w:val="24"/>
                <w:szCs w:val="24"/>
                <w:color w:val="auto"/>
              </w:rPr>
            </w:pPr>
          </w:p>
        </w:tc>
        <w:tc>
          <w:tcPr>
            <w:tcW w:w="2320" w:type="dxa"/>
            <w:vAlign w:val="bottom"/>
            <w:tcBorders>
              <w:top w:val="single" w:sz="8" w:color="0000FF"/>
            </w:tcBorders>
            <w:gridSpan w:val="11"/>
          </w:tcPr>
          <w:p>
            <w:pPr>
              <w:spacing w:after="0"/>
              <w:rPr>
                <w:rFonts w:ascii="Times New Roman" w:cs="Times New Roman" w:eastAsia="Times New Roman" w:hAnsi="Times New Roman"/>
                <w:sz w:val="13"/>
                <w:szCs w:val="13"/>
                <w:color w:val="0000FF"/>
              </w:rPr>
            </w:pPr>
            <w:hyperlink w:anchor="page110">
              <w:r>
                <w:rPr>
                  <w:rFonts w:ascii="Times New Roman" w:cs="Times New Roman" w:eastAsia="Times New Roman" w:hAnsi="Times New Roman"/>
                  <w:sz w:val="13"/>
                  <w:szCs w:val="13"/>
                  <w:color w:val="0000FF"/>
                </w:rPr>
                <w:t>Signatures</w:t>
              </w:r>
            </w:hyperlink>
          </w:p>
        </w:tc>
        <w:tc>
          <w:tcPr>
            <w:tcW w:w="3660" w:type="dxa"/>
            <w:vAlign w:val="bottom"/>
            <w:gridSpan w:val="14"/>
          </w:tcPr>
          <w:p>
            <w:pPr>
              <w:spacing w:after="0"/>
              <w:rPr>
                <w:sz w:val="24"/>
                <w:szCs w:val="24"/>
                <w:color w:val="auto"/>
              </w:rPr>
            </w:pPr>
          </w:p>
        </w:tc>
        <w:tc>
          <w:tcPr>
            <w:tcW w:w="356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110</w:t>
            </w:r>
          </w:p>
        </w:tc>
        <w:tc>
          <w:tcPr>
            <w:tcW w:w="0" w:type="dxa"/>
            <w:vAlign w:val="bottom"/>
          </w:tcPr>
          <w:p>
            <w:pPr>
              <w:spacing w:after="0"/>
              <w:rPr>
                <w:sz w:val="1"/>
                <w:szCs w:val="1"/>
                <w:color w:val="auto"/>
              </w:rPr>
            </w:pPr>
          </w:p>
        </w:tc>
      </w:tr>
      <w:tr>
        <w:trPr>
          <w:trHeight w:val="1144"/>
        </w:trPr>
        <w:tc>
          <w:tcPr>
            <w:tcW w:w="1020" w:type="dxa"/>
            <w:vAlign w:val="bottom"/>
            <w:tcBorders>
              <w:bottom w:val="single" w:sz="8" w:color="EEEEEE"/>
            </w:tcBorders>
          </w:tcPr>
          <w:p>
            <w:pPr>
              <w:spacing w:after="0"/>
              <w:rPr>
                <w:sz w:val="24"/>
                <w:szCs w:val="24"/>
                <w:color w:val="auto"/>
              </w:rPr>
            </w:pPr>
          </w:p>
        </w:tc>
        <w:tc>
          <w:tcPr>
            <w:tcW w:w="540" w:type="dxa"/>
            <w:vAlign w:val="bottom"/>
            <w:tcBorders>
              <w:top w:val="single" w:sz="8" w:color="0000FF"/>
              <w:bottom w:val="single" w:sz="8" w:color="EEEEEE"/>
            </w:tcBorders>
          </w:tcPr>
          <w:p>
            <w:pPr>
              <w:spacing w:after="0"/>
              <w:rPr>
                <w:sz w:val="24"/>
                <w:szCs w:val="24"/>
                <w:color w:val="auto"/>
              </w:rPr>
            </w:pPr>
          </w:p>
        </w:tc>
        <w:tc>
          <w:tcPr>
            <w:tcW w:w="20" w:type="dxa"/>
            <w:vAlign w:val="bottom"/>
            <w:tcBorders>
              <w:top w:val="single" w:sz="8" w:color="0000FF"/>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356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PART I</w:t>
      </w:r>
    </w:p>
    <w:p>
      <w:pPr>
        <w:spacing w:after="0" w:line="125" w:lineRule="exact"/>
        <w:rPr>
          <w:sz w:val="20"/>
          <w:szCs w:val="20"/>
          <w:color w:val="auto"/>
        </w:rPr>
      </w:pPr>
    </w:p>
    <w:p>
      <w:pPr>
        <w:ind w:left="40" w:right="20" w:firstLine="420"/>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In this annual report on Form 10-K, or the Report, except where context suggest otherwise, the terms “Company,” “we,” “our” or “us” refers to PennantPark Investment Corporation and its consolidated subsidiaries; “2024 Notes” refers to our 5.50% Notes due 2024; “2026 Notes” refers to our 4.50% Notes due May 2026; “2026 Notes-2” refers to our 4.00% Notes due November 2026; “BDC” refers to a business development company under the Investment Company Act of 1940, as amended, or the “1940 Act”; “BNP Credit Facility” refers to our revolving credit facility with BNP Paribas prior to deconsolidation of Funding I; “Code” refers to the Internal Revenue Code of 1986, as amended; “Funding I” refers to PennantPark Investment Funding I, LLC, a wholly-owned subsidiary prior to deconsolidation on July 31, 2020; “PennantPark Investment” refers to only PennantPark Investment Corporation; “PennantPark Investment Administration” or “Administrator” refers to PennantPark Investment Administration, LLC; “PennantPark Investment Advisers” or “Investment Adviser” refers to PennantPark Investment Advisers, LLC; “PSLF” refers to PennantPark Senior Loan Fund, LLC, an unconsolidated joint venture; “PTSF II” refers to PennantPark-TSO Senior Loan Fund II, LP, an unconsolidated limited partnership; “RIC” refers to a regulated investment company under the Code. References to our portfolio, our investments and our business include investments we made through SBIC</w:t>
      </w:r>
    </w:p>
    <w:p>
      <w:pPr>
        <w:spacing w:after="0" w:line="1" w:lineRule="exact"/>
        <w:rPr>
          <w:sz w:val="20"/>
          <w:szCs w:val="20"/>
          <w:color w:val="auto"/>
        </w:rPr>
      </w:pPr>
    </w:p>
    <w:p>
      <w:pPr>
        <w:ind w:left="40" w:right="60" w:firstLine="6"/>
        <w:spacing w:after="0" w:line="252" w:lineRule="auto"/>
        <w:tabs>
          <w:tab w:leader="none" w:pos="175" w:val="left"/>
        </w:tabs>
        <w:numPr>
          <w:ilvl w:val="0"/>
          <w:numId w:val="1"/>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and other consolidated subsidiaries; “SBA” refers to the Small Business Administration; “SBCAA” refers to the Small Business Credit Availability Act; “SBIC” refers to a small business investment company under the Small Business Investment Act of 1958, as amended, or the “1958 Act”; “SBIC Fund” refers collectively to our consolidated subsidiaries, PennantPark SBIC II LP, or SBIC II, and its general partner, PennantPark SBIC GP II, LLC;“Taxable Subsidiary” refers collectively to our consolidated subsidiaries, PNNT Investment Holdings II, LLC and PNNT Investment Holdings, LLC; and “Truist Credit Facility” refers to our multi-currency, amended and restated senior secured revolving credit facility with Truist Bank (formerly SunTrust Bank); Some of the statements in this annual report constitute forward-looking statements, which apply to us and relate to future events, future performance or future financial condition. The forward-looking statements involve risks and uncertainties for us and actual results could differ materially from those projected in the forward-looking statements for any reason, including those factors discussed in “Risk Factors” and elsewhere in this Report.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Summary of Risk Factors</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Investing in our common stock involves a high degree of risk. Some, but not all, of the risks and uncertainties that we face are related to:</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•our ability to remain in compliance with the financial and operational covenants of our Truist Credit Facility;</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•our ability to operate in a highly competitive market for investment opportunities;</w:t>
      </w:r>
    </w:p>
    <w:p>
      <w:pPr>
        <w:spacing w:after="0" w:line="163" w:lineRule="exact"/>
        <w:rPr>
          <w:sz w:val="20"/>
          <w:szCs w:val="20"/>
          <w:color w:val="auto"/>
        </w:rPr>
      </w:pPr>
    </w:p>
    <w:p>
      <w:pPr>
        <w:ind w:left="400" w:right="240"/>
        <w:spacing w:after="0" w:line="286" w:lineRule="auto"/>
        <w:rPr>
          <w:sz w:val="20"/>
          <w:szCs w:val="20"/>
          <w:color w:val="auto"/>
        </w:rPr>
      </w:pPr>
      <w:r>
        <w:rPr>
          <w:rFonts w:ascii="Times New Roman" w:cs="Times New Roman" w:eastAsia="Times New Roman" w:hAnsi="Times New Roman"/>
          <w:sz w:val="13"/>
          <w:szCs w:val="13"/>
          <w:color w:val="auto"/>
        </w:rPr>
        <w:t>•the prospects of our portfolio companies and the ability of our portfolio companies to achieve their objectives, the decline or failure of which may result in our borrowers defaulting on their payments to us;</w:t>
      </w:r>
    </w:p>
    <w:p>
      <w:pPr>
        <w:spacing w:after="0" w:line="112" w:lineRule="exact"/>
        <w:rPr>
          <w:sz w:val="20"/>
          <w:szCs w:val="20"/>
          <w:color w:val="auto"/>
        </w:rPr>
      </w:pPr>
    </w:p>
    <w:p>
      <w:pPr>
        <w:ind w:left="400" w:right="1540"/>
        <w:spacing w:after="0" w:line="440" w:lineRule="auto"/>
        <w:rPr>
          <w:sz w:val="20"/>
          <w:szCs w:val="20"/>
          <w:color w:val="auto"/>
        </w:rPr>
      </w:pPr>
      <w:r>
        <w:rPr>
          <w:rFonts w:ascii="Times New Roman" w:cs="Times New Roman" w:eastAsia="Times New Roman" w:hAnsi="Times New Roman"/>
          <w:sz w:val="13"/>
          <w:szCs w:val="13"/>
          <w:color w:val="auto"/>
        </w:rPr>
        <w:t>•the ability of our Investment Adviser to hire and retain qualified personnel, to monitor and administer our investments and to manage our future growth effectively; •the impact of alternative reference rates on our business and certain of our investments;</w:t>
      </w:r>
    </w:p>
    <w:p>
      <w:pPr>
        <w:spacing w:after="0" w:line="16" w:lineRule="exact"/>
        <w:rPr>
          <w:sz w:val="20"/>
          <w:szCs w:val="20"/>
          <w:color w:val="auto"/>
        </w:rPr>
      </w:pPr>
    </w:p>
    <w:p>
      <w:pPr>
        <w:ind w:left="400" w:right="240"/>
        <w:spacing w:after="0" w:line="520" w:lineRule="auto"/>
        <w:rPr>
          <w:sz w:val="20"/>
          <w:szCs w:val="20"/>
          <w:color w:val="auto"/>
        </w:rPr>
      </w:pPr>
      <w:r>
        <w:rPr>
          <w:rFonts w:ascii="Times New Roman" w:cs="Times New Roman" w:eastAsia="Times New Roman" w:hAnsi="Times New Roman"/>
          <w:sz w:val="13"/>
          <w:szCs w:val="13"/>
          <w:color w:val="auto"/>
        </w:rPr>
        <w:t>•our reliance on information systems, the failure of which could result in delays or other problems with our business activities, and the susceptibility of such systems to cybersecurity threats; •our ability to replicate historical performance of other investment companies and funds with which our professionals have been affiliated;</w:t>
      </w:r>
    </w:p>
    <w:p>
      <w:pPr>
        <w:ind w:left="400"/>
        <w:spacing w:after="0" w:line="286" w:lineRule="auto"/>
        <w:rPr>
          <w:sz w:val="20"/>
          <w:szCs w:val="20"/>
          <w:color w:val="auto"/>
        </w:rPr>
      </w:pPr>
      <w:r>
        <w:rPr>
          <w:rFonts w:ascii="Times New Roman" w:cs="Times New Roman" w:eastAsia="Times New Roman" w:hAnsi="Times New Roman"/>
          <w:sz w:val="13"/>
          <w:szCs w:val="13"/>
          <w:color w:val="auto"/>
        </w:rPr>
        <w:t>•our ability to raise additional capital while remaining in compliance with certain annual distribution, asset coverage, asset composition and other regulatory requirements needed to maintain our status as a BDC and a RIC;</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•our ability to comply with applicable SBA requirements;</w:t>
      </w:r>
    </w:p>
    <w:p>
      <w:pPr>
        <w:spacing w:after="0" w:line="163" w:lineRule="exact"/>
        <w:rPr>
          <w:sz w:val="20"/>
          <w:szCs w:val="20"/>
          <w:color w:val="auto"/>
        </w:rPr>
      </w:pPr>
    </w:p>
    <w:p>
      <w:pPr>
        <w:ind w:left="400" w:right="20"/>
        <w:spacing w:after="0" w:line="286" w:lineRule="auto"/>
        <w:rPr>
          <w:sz w:val="20"/>
          <w:szCs w:val="20"/>
          <w:color w:val="auto"/>
        </w:rPr>
      </w:pPr>
      <w:r>
        <w:rPr>
          <w:rFonts w:ascii="Times New Roman" w:cs="Times New Roman" w:eastAsia="Times New Roman" w:hAnsi="Times New Roman"/>
          <w:sz w:val="13"/>
          <w:szCs w:val="13"/>
          <w:color w:val="auto"/>
        </w:rPr>
        <w:t>•the use of leverage to fund our investments, including the indebtedness resulting from our Truist Credit Facility, 2026 Notes, and 2026 Notes-2, and the risk that we may fail to comply with the terms governing such indebtedness or maintain certain asset coverage ratio requirements;</w:t>
      </w:r>
    </w:p>
    <w:p>
      <w:pPr>
        <w:spacing w:after="0" w:line="112" w:lineRule="exact"/>
        <w:rPr>
          <w:sz w:val="20"/>
          <w:szCs w:val="20"/>
          <w:color w:val="auto"/>
        </w:rPr>
      </w:pPr>
    </w:p>
    <w:p>
      <w:pPr>
        <w:ind w:left="400" w:right="3300"/>
        <w:spacing w:after="0" w:line="501" w:lineRule="auto"/>
        <w:rPr>
          <w:sz w:val="20"/>
          <w:szCs w:val="20"/>
          <w:color w:val="auto"/>
        </w:rPr>
      </w:pPr>
      <w:r>
        <w:rPr>
          <w:rFonts w:ascii="Times New Roman" w:cs="Times New Roman" w:eastAsia="Times New Roman" w:hAnsi="Times New Roman"/>
          <w:sz w:val="13"/>
          <w:szCs w:val="13"/>
          <w:color w:val="auto"/>
        </w:rPr>
        <w:t>•our issuance of debt securities and/or preferred stock and the impact of such issuances on the value of our common stock or NAV; •market conditions that may make it difficult for us to refinance or extend the maturity of our existing indebtedness; •potential conflicts of interest of our Investment Adviser and Administrator;</w:t>
      </w:r>
    </w:p>
    <w:p>
      <w:pPr>
        <w:ind w:left="400"/>
        <w:spacing w:after="0"/>
        <w:rPr>
          <w:sz w:val="20"/>
          <w:szCs w:val="20"/>
          <w:color w:val="auto"/>
        </w:rPr>
      </w:pPr>
      <w:r>
        <w:rPr>
          <w:rFonts w:ascii="Times New Roman" w:cs="Times New Roman" w:eastAsia="Times New Roman" w:hAnsi="Times New Roman"/>
          <w:sz w:val="13"/>
          <w:szCs w:val="13"/>
          <w:color w:val="auto"/>
        </w:rPr>
        <w:t>•the potential dilution caused by any future issuances of subscription rights or warrants;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•the impact of recent financial reform legislation, and uncertainty about any future laws and regulations on our business and our portfolio companies;</w:t>
      </w:r>
    </w:p>
    <w:p>
      <w:pPr>
        <w:spacing w:after="0" w:line="163" w:lineRule="exact"/>
        <w:rPr>
          <w:sz w:val="20"/>
          <w:szCs w:val="20"/>
          <w:color w:val="auto"/>
        </w:rPr>
      </w:pPr>
    </w:p>
    <w:p>
      <w:pPr>
        <w:ind w:left="400" w:right="80"/>
        <w:spacing w:after="0" w:line="501" w:lineRule="auto"/>
        <w:rPr>
          <w:sz w:val="20"/>
          <w:szCs w:val="20"/>
          <w:color w:val="auto"/>
        </w:rPr>
      </w:pPr>
      <w:r>
        <w:rPr>
          <w:rFonts w:ascii="Times New Roman" w:cs="Times New Roman" w:eastAsia="Times New Roman" w:hAnsi="Times New Roman"/>
          <w:sz w:val="13"/>
          <w:szCs w:val="13"/>
          <w:color w:val="auto"/>
        </w:rPr>
        <w:t>•the investment objectives and decisions advanced by the board of directors or the Investment Adviser which are not subject to stockholder approval and potential activism by our shareholders; •the illiquid nature of the assets in which we invest and our valuation procedures with respect to such assets;</w:t>
      </w:r>
    </w:p>
    <w:p>
      <w:pPr>
        <w:ind w:left="400" w:right="160"/>
        <w:spacing w:after="0" w:line="286" w:lineRule="auto"/>
        <w:rPr>
          <w:sz w:val="20"/>
          <w:szCs w:val="20"/>
          <w:color w:val="auto"/>
        </w:rPr>
      </w:pPr>
      <w:r>
        <w:rPr>
          <w:rFonts w:ascii="Times New Roman" w:cs="Times New Roman" w:eastAsia="Times New Roman" w:hAnsi="Times New Roman"/>
          <w:sz w:val="13"/>
          <w:szCs w:val="13"/>
          <w:color w:val="auto"/>
        </w:rPr>
        <w:t>•making investments in first lien secured debt, second lien secured debt, subordinated debt and the equity of certain portfolio companies, and the risks of making such investments in privately held middle-market companies;</w:t>
      </w:r>
    </w:p>
    <w:p>
      <w:pPr>
        <w:spacing w:after="0" w:line="112" w:lineRule="exact"/>
        <w:rPr>
          <w:sz w:val="20"/>
          <w:szCs w:val="20"/>
          <w:color w:val="auto"/>
        </w:rPr>
      </w:pPr>
    </w:p>
    <w:p>
      <w:pPr>
        <w:ind w:left="400" w:right="360"/>
        <w:spacing w:after="0" w:line="286" w:lineRule="auto"/>
        <w:rPr>
          <w:sz w:val="20"/>
          <w:szCs w:val="20"/>
          <w:color w:val="auto"/>
        </w:rPr>
      </w:pPr>
      <w:r>
        <w:rPr>
          <w:rFonts w:ascii="Times New Roman" w:cs="Times New Roman" w:eastAsia="Times New Roman" w:hAnsi="Times New Roman"/>
          <w:sz w:val="13"/>
          <w:szCs w:val="13"/>
          <w:color w:val="auto"/>
        </w:rPr>
        <w:t>•the Investment Adviser’s incentive to make speculative investments to earn a greater incentive fee and, in some instances, our obligation to pay incentive compensation to our Investment Adviser even after we incur a loss;</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•our investment in derivatives and the use of leverage</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•the potential dilution of our common stock which may result from issuances of our common stock below the then current NAV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753110</wp:posOffset>
            </wp:positionV>
            <wp:extent cx="67329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20" w:top="1312" w:right="660" w:bottom="1440" w:gutter="0" w:footer="0" w:header="0"/>
        </w:sectPr>
      </w:pPr>
    </w:p>
    <w:bookmarkStart w:id="3" w:name="page4"/>
    <w:bookmarkEnd w:id="3"/>
    <w:p>
      <w:pPr>
        <w:ind w:left="360"/>
        <w:spacing w:after="0" w:line="286" w:lineRule="auto"/>
        <w:rPr>
          <w:sz w:val="20"/>
          <w:szCs w:val="20"/>
          <w:color w:val="auto"/>
        </w:rPr>
      </w:pPr>
      <w:r>
        <w:rPr>
          <w:rFonts w:ascii="Times New Roman" w:cs="Times New Roman" w:eastAsia="Times New Roman" w:hAnsi="Times New Roman"/>
          <w:sz w:val="13"/>
          <w:szCs w:val="13"/>
          <w:color w:val="auto"/>
        </w:rPr>
        <w:t>•our allocation of net proceeds from offering in ways which you may not agree and our inability to invest proceeds from offerings in new investment opportunities, which could negatively affect our financial performance;</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•tax liabilities resulting from reinvestments in our common stock or from receiving our stock as a distribution;</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measures we have taken to deter takeover attempts, which may adversely impact the price of our common stock;</w:t>
      </w:r>
    </w:p>
    <w:p>
      <w:pPr>
        <w:spacing w:after="0" w:line="163" w:lineRule="exact"/>
        <w:rPr>
          <w:sz w:val="20"/>
          <w:szCs w:val="20"/>
          <w:color w:val="auto"/>
        </w:rPr>
      </w:pPr>
    </w:p>
    <w:p>
      <w:pPr>
        <w:ind w:left="360" w:right="340"/>
        <w:spacing w:after="0" w:line="286" w:lineRule="auto"/>
        <w:rPr>
          <w:sz w:val="20"/>
          <w:szCs w:val="20"/>
          <w:color w:val="auto"/>
        </w:rPr>
      </w:pPr>
      <w:r>
        <w:rPr>
          <w:rFonts w:ascii="Times New Roman" w:cs="Times New Roman" w:eastAsia="Times New Roman" w:hAnsi="Times New Roman"/>
          <w:sz w:val="13"/>
          <w:szCs w:val="13"/>
          <w:color w:val="auto"/>
        </w:rPr>
        <w:t>•changes to political, economic or industry conditions or conditions affecting the financial and capital markets that could cause volatility or prolonged disruption of the capital markets and impact the value of our assets;</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•our cash balances at financial institutions that exceeds federally insured limits and the impact of adverse developments affecting the financial services industry;</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impact of economic sanction laws in the United States and other jurisdictions which may prohibit us and our affiliates from transacting with certain countries, individuals and companies;</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•potential litigation, whether initiated by shareholders or other parties; and</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impact of global climate change on the operations of our portfolio companies.</w:t>
      </w:r>
    </w:p>
    <w:p>
      <w:pPr>
        <w:spacing w:after="0" w:line="163" w:lineRule="exact"/>
        <w:rPr>
          <w:sz w:val="20"/>
          <w:szCs w:val="20"/>
          <w:color w:val="auto"/>
        </w:rPr>
      </w:pPr>
    </w:p>
    <w:p>
      <w:pPr>
        <w:jc w:val="both"/>
        <w:ind w:left="360" w:right="120"/>
        <w:spacing w:after="0" w:line="268" w:lineRule="auto"/>
        <w:rPr>
          <w:sz w:val="20"/>
          <w:szCs w:val="20"/>
          <w:color w:val="auto"/>
        </w:rPr>
      </w:pPr>
      <w:r>
        <w:rPr>
          <w:rFonts w:ascii="Times New Roman" w:cs="Times New Roman" w:eastAsia="Times New Roman" w:hAnsi="Times New Roman"/>
          <w:sz w:val="13"/>
          <w:szCs w:val="13"/>
          <w:color w:val="auto"/>
        </w:rPr>
        <w:t>•we have in the past, and may in the future, identify material weaknesses in our internal controls over financial reporting or otherwise fail to maintain effective internal controls over financial reporting, which may result in future financial statements containing errors that will be undetected and could impact the operations of our business including our ability to obtain financing, the cost of any financing we obtain or require additional expenditures of resources to comply with applicable requirements.</w:t>
      </w:r>
    </w:p>
    <w:p>
      <w:pPr>
        <w:spacing w:after="0" w:line="123" w:lineRule="exact"/>
        <w:rPr>
          <w:sz w:val="20"/>
          <w:szCs w:val="20"/>
          <w:color w:val="auto"/>
        </w:rPr>
      </w:pPr>
    </w:p>
    <w:p>
      <w:pPr>
        <w:ind w:right="300" w:firstLine="420"/>
        <w:spacing w:after="0" w:line="286" w:lineRule="auto"/>
        <w:rPr>
          <w:sz w:val="20"/>
          <w:szCs w:val="20"/>
          <w:color w:val="auto"/>
        </w:rPr>
      </w:pPr>
      <w:r>
        <w:rPr>
          <w:rFonts w:ascii="Times New Roman" w:cs="Times New Roman" w:eastAsia="Times New Roman" w:hAnsi="Times New Roman"/>
          <w:sz w:val="13"/>
          <w:szCs w:val="13"/>
          <w:color w:val="auto"/>
        </w:rPr>
        <w:t>Additional risks and uncertainties not currently known to us or that we currently deem to be immaterial may also have a material adverse effect on our business, financial condition and/or operating results. For a more detailed discussion of the risks that you should consider prior to investing in our securities, see Item “1A. Risk Factors” below.</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General Business of PennantPark Investment Corporation</w:t>
      </w:r>
    </w:p>
    <w:p>
      <w:pPr>
        <w:spacing w:after="0" w:line="131" w:lineRule="exact"/>
        <w:rPr>
          <w:sz w:val="20"/>
          <w:szCs w:val="20"/>
          <w:color w:val="auto"/>
        </w:rPr>
      </w:pPr>
    </w:p>
    <w:p>
      <w:pPr>
        <w:ind w:right="500" w:firstLine="420"/>
        <w:spacing w:after="0" w:line="286" w:lineRule="auto"/>
        <w:rPr>
          <w:sz w:val="20"/>
          <w:szCs w:val="20"/>
          <w:color w:val="auto"/>
        </w:rPr>
      </w:pPr>
      <w:r>
        <w:rPr>
          <w:rFonts w:ascii="Times New Roman" w:cs="Times New Roman" w:eastAsia="Times New Roman" w:hAnsi="Times New Roman"/>
          <w:sz w:val="13"/>
          <w:szCs w:val="13"/>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76" w:lineRule="exact"/>
        <w:rPr>
          <w:sz w:val="20"/>
          <w:szCs w:val="20"/>
          <w:color w:val="auto"/>
        </w:rPr>
      </w:pPr>
    </w:p>
    <w:p>
      <w:pPr>
        <w:ind w:right="20" w:firstLine="420"/>
        <w:spacing w:after="0" w:line="255" w:lineRule="auto"/>
        <w:rPr>
          <w:sz w:val="20"/>
          <w:szCs w:val="20"/>
          <w:color w:val="auto"/>
        </w:rPr>
      </w:pPr>
      <w:r>
        <w:rPr>
          <w:rFonts w:ascii="Times New Roman" w:cs="Times New Roman" w:eastAsia="Times New Roman" w:hAnsi="Times New Roman"/>
          <w:sz w:val="13"/>
          <w:szCs w:val="13"/>
          <w:color w:val="auto"/>
        </w:rPr>
        <w:t>We believe U.S.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98" w:lineRule="exact"/>
        <w:rPr>
          <w:sz w:val="20"/>
          <w:szCs w:val="20"/>
          <w:color w:val="auto"/>
        </w:rPr>
      </w:pPr>
    </w:p>
    <w:p>
      <w:pPr>
        <w:ind w:right="20" w:firstLine="420"/>
        <w:spacing w:after="0" w:line="268" w:lineRule="auto"/>
        <w:rPr>
          <w:sz w:val="20"/>
          <w:szCs w:val="20"/>
          <w:color w:val="auto"/>
        </w:rPr>
      </w:pPr>
      <w:r>
        <w:rPr>
          <w:rFonts w:ascii="Times New Roman" w:cs="Times New Roman" w:eastAsia="Times New Roman" w:hAnsi="Times New Roman"/>
          <w:sz w:val="13"/>
          <w:szCs w:val="13"/>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Organization and Structure of PennantPark Investment Corporation</w:t>
      </w:r>
    </w:p>
    <w:p>
      <w:pPr>
        <w:spacing w:after="0" w:line="131" w:lineRule="exact"/>
        <w:rPr>
          <w:sz w:val="20"/>
          <w:szCs w:val="20"/>
          <w:color w:val="auto"/>
        </w:rPr>
      </w:pPr>
    </w:p>
    <w:p>
      <w:pPr>
        <w:ind w:right="360" w:firstLine="420"/>
        <w:spacing w:after="0" w:line="286" w:lineRule="auto"/>
        <w:rPr>
          <w:sz w:val="20"/>
          <w:szCs w:val="20"/>
          <w:color w:val="auto"/>
        </w:rPr>
      </w:pPr>
      <w:r>
        <w:rPr>
          <w:rFonts w:ascii="Times New Roman" w:cs="Times New Roman" w:eastAsia="Times New Roman" w:hAnsi="Times New Roman"/>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12"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We execute our investment strategy directly and through our wholly owned subsidiaries, our unconsolidated joint venture and unconsolidated limited partnership. The term “subsidiary” means entities that primarily engage in investment activities in securities or other assets and are wholly owned by us. The Company does not intend to create or acquire primary control of any entity which primarily engages in investment activities of securities or other assets other than entities wholly owned by the Company. We comply with the provisions of Section 18 of the 1940 Act governing capital structure and leverage on an aggregate basis with our subsidiaries. Our subsidiaries comply with the provisions of Section 17 of the 1940 Act related to affiliated transactions and custody. To the extent that the Company forms a subsidiary advised by an investment adviser other than the Investment Adviser, the investment adviser to such subsidiaries will comply with the provisions of the 1940 Act relating to investment advisory contracts, including but not limited to, Section 15, as if it were an investment adviser to the Company under Section 2(a)(20) of the 1940 Act.</w:t>
      </w: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58" w:right="660" w:bottom="1440" w:gutter="0" w:footer="0" w:header="0"/>
        </w:sectPr>
      </w:pPr>
    </w:p>
    <w:bookmarkStart w:id="4" w:name="page5"/>
    <w:bookmarkEnd w:id="4"/>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Funding I, a wholly-owned subsidiary and a special purpose entity of the Company prior to July 31, 2020, was organized in Delaware as a limited liability company in February 2019. We formed Funding I in order to establish the BNP Credit Facility. The Investment Adviser serves as the servicer to Funding I and has irrevocably directed that the management fee owed to it with respect to such services be paid to us so long as the Investment Adviser remains the servicer. This arrangement did not increase our consolidated management fee. The BNP Credit Facility allowed Funding I to borrow up to $250 million at LIBOR (or an alternative risk-free floating interest rate index) plus 260 basis points during the reinvestment period. The BNP Credit Facility was secured by all of the assets held by Funding I. Funding I is no longer a subsidiary of PennantPark Investment as a result of the joint venture described below.</w:t>
      </w:r>
    </w:p>
    <w:p>
      <w:pPr>
        <w:spacing w:after="0" w:line="130" w:lineRule="exact"/>
        <w:rPr>
          <w:sz w:val="20"/>
          <w:szCs w:val="20"/>
          <w:color w:val="auto"/>
        </w:rPr>
      </w:pPr>
    </w:p>
    <w:p>
      <w:pPr>
        <w:ind w:right="140" w:firstLine="420"/>
        <w:spacing w:after="0" w:line="262" w:lineRule="auto"/>
        <w:rPr>
          <w:sz w:val="20"/>
          <w:szCs w:val="20"/>
          <w:color w:val="auto"/>
        </w:rPr>
      </w:pPr>
      <w:r>
        <w:rPr>
          <w:rFonts w:ascii="Times New Roman" w:cs="Times New Roman" w:eastAsia="Times New Roman" w:hAnsi="Times New Roman"/>
          <w:sz w:val="13"/>
          <w:szCs w:val="13"/>
          <w:color w:val="auto"/>
        </w:rPr>
        <w:t>On July 31, 2020, we and certain entities and managed accounts of the private credit investment manager of Pantheon Ventures (UK) LLP (“Pantheon”) entered into a limited liability company agreement to co-manage PSLF, a newly- formed unconsolidated joint venture. In connection with this transaction, we contributed in-kind our formerly wholly-owned subsidiary, Funding I. As a result of this transaction, Funding I became a wholly-owned subsidiary of PSLF and has been deconsolidated from our financial statements. PSLF invests primarily in middle-market and other corporate debt securities consistent with our strategy. PSLF was formed as a Delaware limited liability company.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Investment Adviser and Administrator</w:t>
      </w:r>
    </w:p>
    <w:p>
      <w:pPr>
        <w:spacing w:after="0" w:line="131" w:lineRule="exact"/>
        <w:rPr>
          <w:sz w:val="20"/>
          <w:szCs w:val="20"/>
          <w:color w:val="auto"/>
        </w:rPr>
      </w:pPr>
    </w:p>
    <w:p>
      <w:pPr>
        <w:ind w:right="80" w:firstLine="420"/>
        <w:spacing w:after="0" w:line="255" w:lineRule="auto"/>
        <w:rPr>
          <w:sz w:val="20"/>
          <w:szCs w:val="20"/>
          <w:color w:val="auto"/>
        </w:rPr>
      </w:pPr>
      <w:r>
        <w:rPr>
          <w:rFonts w:ascii="Times New Roman" w:cs="Times New Roman" w:eastAsia="Times New Roman" w:hAnsi="Times New Roman"/>
          <w:sz w:val="13"/>
          <w:szCs w:val="13"/>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middle- market companies across changing economic and market cycles. We believe this experience and history have resulted in a reputation as a respected partner to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through its managed funds $22.4 billion in 704 companies with more than 200 different financial sponsors through its managed funds, which includes investments by the Company totaling $8.2 billion in 374 companies.</w:t>
      </w:r>
    </w:p>
    <w:p>
      <w:pPr>
        <w:spacing w:after="0" w:line="98" w:lineRule="exact"/>
        <w:rPr>
          <w:sz w:val="20"/>
          <w:szCs w:val="20"/>
          <w:color w:val="auto"/>
        </w:rPr>
      </w:pPr>
    </w:p>
    <w:p>
      <w:pPr>
        <w:ind w:right="100" w:firstLine="420"/>
        <w:spacing w:after="0" w:line="257" w:lineRule="auto"/>
        <w:rPr>
          <w:sz w:val="20"/>
          <w:szCs w:val="20"/>
          <w:color w:val="auto"/>
        </w:rPr>
      </w:pPr>
      <w:r>
        <w:rPr>
          <w:rFonts w:ascii="Times New Roman" w:cs="Times New Roman" w:eastAsia="Times New Roman" w:hAnsi="Times New Roman"/>
          <w:sz w:val="13"/>
          <w:szCs w:val="13"/>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Securities and Exchange Commission, or the SEC, and the SBA.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Market Opportunity</w:t>
      </w:r>
    </w:p>
    <w:p>
      <w:pPr>
        <w:spacing w:after="0" w:line="131" w:lineRule="exact"/>
        <w:rPr>
          <w:sz w:val="20"/>
          <w:szCs w:val="20"/>
          <w:color w:val="auto"/>
        </w:rPr>
      </w:pPr>
    </w:p>
    <w:p>
      <w:pPr>
        <w:ind w:right="80" w:firstLine="420"/>
        <w:spacing w:after="0" w:line="286" w:lineRule="auto"/>
        <w:rPr>
          <w:sz w:val="20"/>
          <w:szCs w:val="20"/>
          <w:color w:val="auto"/>
        </w:rPr>
      </w:pPr>
      <w:r>
        <w:rPr>
          <w:rFonts w:ascii="Times New Roman" w:cs="Times New Roman" w:eastAsia="Times New Roman" w:hAnsi="Times New Roman"/>
          <w:sz w:val="13"/>
          <w:szCs w:val="13"/>
          <w:color w:val="auto"/>
        </w:rPr>
        <w:t>We believe that the limited amount of capital available to middle-market companies, coupled with the desire of these companies for flexible sources of capital, creates an attractive investment environment for us.</w:t>
      </w:r>
    </w:p>
    <w:p>
      <w:pPr>
        <w:spacing w:after="0" w:line="74" w:lineRule="exact"/>
        <w:rPr>
          <w:sz w:val="20"/>
          <w:szCs w:val="20"/>
          <w:color w:val="auto"/>
        </w:rPr>
      </w:pPr>
    </w:p>
    <w:p>
      <w:pPr>
        <w:ind w:left="540" w:right="540"/>
        <w:spacing w:after="0" w:line="28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We believe middle-market companies have faced difficulty raising debt in private markets.</w:t>
      </w:r>
      <w:r>
        <w:rPr>
          <w:rFonts w:ascii="Times New Roman" w:cs="Times New Roman" w:eastAsia="Times New Roman" w:hAnsi="Times New Roman"/>
          <w:sz w:val="13"/>
          <w:szCs w:val="13"/>
          <w:color w:val="auto"/>
        </w:rPr>
        <w:t xml:space="preserve"> From time to time, banks, finance companies, hedge funds and collateralized loan obligation, or CLO, funds have withdrawn, and may again withdraw, capital from the middle-market, resulting in opportunities for alternative funding sources.</w:t>
      </w:r>
    </w:p>
    <w:p>
      <w:pPr>
        <w:spacing w:after="0" w:line="72" w:lineRule="exact"/>
        <w:rPr>
          <w:sz w:val="20"/>
          <w:szCs w:val="20"/>
          <w:color w:val="auto"/>
        </w:rPr>
      </w:pPr>
    </w:p>
    <w:p>
      <w:pPr>
        <w:ind w:left="540" w:right="120"/>
        <w:spacing w:after="0" w:line="26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We believe middle-market companies have faced difficulty in raising debt through the capital markets.</w:t>
      </w:r>
      <w:r>
        <w:rPr>
          <w:rFonts w:ascii="Times New Roman" w:cs="Times New Roman" w:eastAsia="Times New Roman" w:hAnsi="Times New Roman"/>
          <w:sz w:val="13"/>
          <w:szCs w:val="13"/>
          <w:color w:val="auto"/>
        </w:rPr>
        <w:t xml:space="preserve"> Many middle-market companies look to raise funds by issuing high-yield bonds and broadly syndicated loans.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86" w:lineRule="exact"/>
        <w:rPr>
          <w:sz w:val="20"/>
          <w:szCs w:val="20"/>
          <w:color w:val="auto"/>
        </w:rPr>
      </w:pPr>
    </w:p>
    <w:p>
      <w:pPr>
        <w:ind w:left="540"/>
        <w:spacing w:after="0" w:line="27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We believe that credit market dislocation for middle -market companies improves the risk-reward on our investments.</w:t>
      </w:r>
      <w:r>
        <w:rPr>
          <w:rFonts w:ascii="Times New Roman" w:cs="Times New Roman" w:eastAsia="Times New Roman" w:hAnsi="Times New Roman"/>
          <w:sz w:val="13"/>
          <w:szCs w:val="13"/>
          <w:color w:val="auto"/>
        </w:rPr>
        <w:t xml:space="preserve"> From time to time, market participants have reduced lending to middle-market and non-investment grade borrowers. As a result, we believe there is less competition in our market, more conservative capital structures, higher yields and stronger covenants.</w:t>
      </w:r>
    </w:p>
    <w:p>
      <w:pPr>
        <w:spacing w:after="0" w:line="241" w:lineRule="exact"/>
        <w:rPr>
          <w:sz w:val="20"/>
          <w:szCs w:val="20"/>
          <w:color w:val="auto"/>
        </w:rPr>
      </w:pPr>
    </w:p>
    <w:p>
      <w:pPr>
        <w:jc w:val="both"/>
        <w:ind w:left="540" w:right="100"/>
        <w:spacing w:after="0" w:line="26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We believe there is a large pool of uninvested private equity capital likely to seek to combine their capital with sources of debt capital to complete private investments.</w:t>
      </w:r>
      <w:r>
        <w:rPr>
          <w:rFonts w:ascii="Times New Roman" w:cs="Times New Roman" w:eastAsia="Times New Roman" w:hAnsi="Times New Roman"/>
          <w:sz w:val="13"/>
          <w:szCs w:val="13"/>
          <w:color w:val="auto"/>
        </w:rPr>
        <w:t xml:space="preserve"> We expect that private equity firms will continue to be active investors in middle-market companies. These private equity funds generally seek to leverage their investments by combining their capital with loans provided by other sources, and we believe that we are well-positioned to partner with such equity investors.</w:t>
      </w:r>
    </w:p>
    <w:p>
      <w:pPr>
        <w:spacing w:after="0" w:line="86" w:lineRule="exact"/>
        <w:rPr>
          <w:sz w:val="20"/>
          <w:szCs w:val="20"/>
          <w:color w:val="auto"/>
        </w:rPr>
      </w:pPr>
    </w:p>
    <w:p>
      <w:pPr>
        <w:ind w:left="540" w:right="220"/>
        <w:spacing w:after="0" w:line="26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We believe there is substantial supply of opportunities resulting from maturing loans that seek refinancing.</w:t>
      </w:r>
      <w:r>
        <w:rPr>
          <w:rFonts w:ascii="Times New Roman" w:cs="Times New Roman" w:eastAsia="Times New Roman" w:hAnsi="Times New Roman"/>
          <w:sz w:val="13"/>
          <w:szCs w:val="13"/>
          <w:color w:val="auto"/>
        </w:rPr>
        <w:t xml:space="preserve">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 -market companies and, from time to time, the reduced supply of credit described above should increase lending opportunities for us. We believe this supply of opportunities coupled with a lack of demand offers attractive risk-reward to investors.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Competitive Advantages</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We believe that we have the following competitive advantages over other capital providers to middle-market companies:</w:t>
      </w:r>
    </w:p>
    <w:p>
      <w:pPr>
        <w:spacing w:after="0" w:line="1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b w:val="1"/>
          <w:bCs w:val="1"/>
          <w:i w:val="1"/>
          <w:iCs w:val="1"/>
          <w:color w:val="auto"/>
        </w:rPr>
        <w:t>a)Experienced Management Team</w:t>
      </w:r>
    </w:p>
    <w:p>
      <w:pPr>
        <w:spacing w:after="0" w:line="131" w:lineRule="exact"/>
        <w:rPr>
          <w:sz w:val="20"/>
          <w:szCs w:val="20"/>
          <w:color w:val="auto"/>
        </w:rPr>
      </w:pPr>
    </w:p>
    <w:p>
      <w:pPr>
        <w:ind w:right="120" w:firstLine="420"/>
        <w:spacing w:after="0" w:line="268" w:lineRule="auto"/>
        <w:rPr>
          <w:sz w:val="20"/>
          <w:szCs w:val="20"/>
          <w:color w:val="auto"/>
        </w:rPr>
      </w:pPr>
      <w:r>
        <w:rPr>
          <w:rFonts w:ascii="Times New Roman" w:cs="Times New Roman" w:eastAsia="Times New Roman" w:hAnsi="Times New Roman"/>
          <w:sz w:val="13"/>
          <w:szCs w:val="13"/>
          <w:color w:val="auto"/>
        </w:rPr>
        <w:t>The senior investment professionals of our Investment Adviser have worked together for many years and average over 25 years of experience in senior lending, mezzanine lending, leveraged finance, distressed debt and private equity businesses. These senior investment professionals have been involved in originating, structuring, negotiating, managing and monitoring investments in middle-market companies across changing economic and market cycles. We believe this extensive experience and history have resulted in a strong reputation across the capital markets.</w:t>
      </w: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58" w:right="660" w:bottom="1440" w:gutter="0" w:footer="0" w:header="0"/>
        </w:sectPr>
      </w:pPr>
    </w:p>
    <w:bookmarkStart w:id="5" w:name="page6"/>
    <w:bookmarkEnd w:id="5"/>
    <w:p>
      <w:pPr>
        <w:ind w:right="120" w:firstLine="420"/>
        <w:spacing w:after="0" w:line="262" w:lineRule="auto"/>
        <w:rPr>
          <w:sz w:val="20"/>
          <w:szCs w:val="20"/>
          <w:color w:val="auto"/>
        </w:rPr>
      </w:pPr>
      <w:r>
        <w:rPr>
          <w:rFonts w:ascii="Times New Roman" w:cs="Times New Roman" w:eastAsia="Times New Roman" w:hAnsi="Times New Roman"/>
          <w:sz w:val="13"/>
          <w:szCs w:val="13"/>
          <w:color w:val="auto"/>
        </w:rPr>
        <w:t>Lending to middle-market companies requires in-depth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We are able to provide value-added customized financial solutions to middle-market companies as a result of specialized due diligence, underwriting capabilities and more extensive ongoing monitoring required as lenders.</w:t>
      </w:r>
    </w:p>
    <w:p>
      <w:pPr>
        <w:spacing w:after="0" w:line="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b w:val="1"/>
          <w:bCs w:val="1"/>
          <w:i w:val="1"/>
          <w:iCs w:val="1"/>
          <w:color w:val="auto"/>
        </w:rPr>
        <w:t>b)Disciplined Investment Approach with Strong Value Orientation</w:t>
      </w:r>
    </w:p>
    <w:p>
      <w:pPr>
        <w:spacing w:after="0" w:line="131"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We employ a disciplined approach in selecting investments that meet the long-standing, consistent value-oriented investment selection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91" w:lineRule="exact"/>
        <w:rPr>
          <w:sz w:val="20"/>
          <w:szCs w:val="20"/>
          <w:color w:val="auto"/>
        </w:rPr>
      </w:pPr>
    </w:p>
    <w:p>
      <w:pPr>
        <w:jc w:val="both"/>
        <w:ind w:right="40" w:firstLine="420"/>
        <w:spacing w:after="0" w:line="268" w:lineRule="auto"/>
        <w:rPr>
          <w:sz w:val="20"/>
          <w:szCs w:val="20"/>
          <w:color w:val="auto"/>
        </w:rPr>
      </w:pPr>
      <w:r>
        <w:rPr>
          <w:rFonts w:ascii="Times New Roman" w:cs="Times New Roman" w:eastAsia="Times New Roman" w:hAnsi="Times New Roman"/>
          <w:sz w:val="13"/>
          <w:szCs w:val="13"/>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Selection Criteria” for more information.</w:t>
      </w:r>
    </w:p>
    <w:p>
      <w:pPr>
        <w:spacing w:after="0" w:line="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In addition to engaging in extensive due diligence, our Investment Adviser seeks to reduce risk by focusing on businesses with:</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•strong competitive positions;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•positive cash flow that is steady and stable;</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•experienced management teams with strong track records;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•potential for growth and viable exit strategies; and</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•capital structures offering appropriate risk-adjusted terms and covenants.</w:t>
      </w:r>
    </w:p>
    <w:p>
      <w:pPr>
        <w:spacing w:after="0" w:line="1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b w:val="1"/>
          <w:bCs w:val="1"/>
          <w:i w:val="1"/>
          <w:iCs w:val="1"/>
          <w:color w:val="auto"/>
        </w:rPr>
        <w:t>c)Ability to Source and Evaluate Transactions through our Investment Adviser’s Proactive, Research Capability and Established Network</w:t>
      </w:r>
    </w:p>
    <w:p>
      <w:pPr>
        <w:spacing w:after="0" w:line="131" w:lineRule="exact"/>
        <w:rPr>
          <w:sz w:val="20"/>
          <w:szCs w:val="20"/>
          <w:color w:val="auto"/>
        </w:rPr>
      </w:pPr>
    </w:p>
    <w:p>
      <w:pPr>
        <w:ind w:right="100" w:firstLine="420"/>
        <w:spacing w:after="0" w:line="262" w:lineRule="auto"/>
        <w:rPr>
          <w:sz w:val="20"/>
          <w:szCs w:val="20"/>
          <w:color w:val="auto"/>
        </w:rPr>
      </w:pPr>
      <w:r>
        <w:rPr>
          <w:rFonts w:ascii="Times New Roman" w:cs="Times New Roman" w:eastAsia="Times New Roman" w:hAnsi="Times New Roman"/>
          <w:sz w:val="13"/>
          <w:szCs w:val="13"/>
          <w:color w:val="auto"/>
        </w:rPr>
        <w:t>The management team of our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b w:val="1"/>
          <w:bCs w:val="1"/>
          <w:i w:val="1"/>
          <w:iCs w:val="1"/>
          <w:color w:val="auto"/>
        </w:rPr>
        <w:t>d)Flexible Transaction Structuring</w:t>
      </w:r>
    </w:p>
    <w:p>
      <w:pPr>
        <w:spacing w:after="0" w:line="131" w:lineRule="exact"/>
        <w:rPr>
          <w:sz w:val="20"/>
          <w:szCs w:val="20"/>
          <w:color w:val="auto"/>
        </w:rPr>
      </w:pPr>
    </w:p>
    <w:p>
      <w:pPr>
        <w:ind w:right="80" w:firstLine="420"/>
        <w:spacing w:after="0" w:line="286" w:lineRule="auto"/>
        <w:rPr>
          <w:sz w:val="20"/>
          <w:szCs w:val="20"/>
          <w:color w:val="auto"/>
        </w:rPr>
      </w:pPr>
      <w:r>
        <w:rPr>
          <w:rFonts w:ascii="Times New Roman" w:cs="Times New Roman" w:eastAsia="Times New Roman" w:hAnsi="Times New Roman"/>
          <w:sz w:val="13"/>
          <w:szCs w:val="13"/>
          <w:color w:val="auto"/>
        </w:rPr>
        <w:t>We are flexible in structuring investments and tailor investments to meet the needs of a portfolio company while also generating attractive risk-adjusted returns. We can invest in all parts of a capital structure and our Investment Adviser has extensive experience in a wide variety of securities for leveraged companies throughout economic and market cycles.</w:t>
      </w:r>
    </w:p>
    <w:p>
      <w:pPr>
        <w:spacing w:after="0" w:line="76" w:lineRule="exact"/>
        <w:rPr>
          <w:sz w:val="20"/>
          <w:szCs w:val="20"/>
          <w:color w:val="auto"/>
        </w:rPr>
      </w:pPr>
    </w:p>
    <w:p>
      <w:pPr>
        <w:ind w:right="100" w:firstLine="420"/>
        <w:spacing w:after="0" w:line="286" w:lineRule="auto"/>
        <w:rPr>
          <w:sz w:val="20"/>
          <w:szCs w:val="20"/>
          <w:color w:val="auto"/>
        </w:rPr>
      </w:pPr>
      <w:r>
        <w:rPr>
          <w:rFonts w:ascii="Times New Roman" w:cs="Times New Roman" w:eastAsia="Times New Roman" w:hAnsi="Times New Roman"/>
          <w:sz w:val="13"/>
          <w:szCs w:val="13"/>
          <w:color w:val="auto"/>
        </w:rPr>
        <w:t>Our Investment Adviser seeks to minimize the risk of capital loss without foregoing potential for capital appreciation. In making investment decisions, we seek to invest in companies that we believe can generate consistent positive risk-adjusted returns.</w:t>
      </w:r>
    </w:p>
    <w:p>
      <w:pPr>
        <w:spacing w:after="0" w:line="76" w:lineRule="exact"/>
        <w:rPr>
          <w:sz w:val="20"/>
          <w:szCs w:val="20"/>
          <w:color w:val="auto"/>
        </w:rPr>
      </w:pPr>
    </w:p>
    <w:p>
      <w:pPr>
        <w:ind w:right="40" w:firstLine="420"/>
        <w:spacing w:after="0" w:line="286" w:lineRule="auto"/>
        <w:rPr>
          <w:sz w:val="20"/>
          <w:szCs w:val="20"/>
          <w:color w:val="auto"/>
        </w:rPr>
      </w:pPr>
      <w:r>
        <w:rPr>
          <w:rFonts w:ascii="Times New Roman" w:cs="Times New Roman" w:eastAsia="Times New Roman" w:hAnsi="Times New Roman"/>
          <w:sz w:val="13"/>
          <w:szCs w:val="13"/>
          <w:color w:val="auto"/>
        </w:rPr>
        <w:t>We believe that the in-depth experience of our Investment Adviser will enable us to invest throughout various stages of the economic and market cycles and to provide us with ongoing market insights in addition to a significant investment opportunity.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Competition</w:t>
      </w:r>
    </w:p>
    <w:p>
      <w:pPr>
        <w:spacing w:after="0" w:line="131" w:lineRule="exact"/>
        <w:rPr>
          <w:sz w:val="20"/>
          <w:szCs w:val="20"/>
          <w:color w:val="auto"/>
        </w:rPr>
      </w:pPr>
    </w:p>
    <w:p>
      <w:pPr>
        <w:ind w:right="20" w:firstLine="420"/>
        <w:spacing w:after="0" w:line="262" w:lineRule="auto"/>
        <w:rPr>
          <w:sz w:val="20"/>
          <w:szCs w:val="20"/>
          <w:color w:val="auto"/>
        </w:rPr>
      </w:pPr>
      <w:r>
        <w:rPr>
          <w:rFonts w:ascii="Times New Roman" w:cs="Times New Roman" w:eastAsia="Times New Roman" w:hAnsi="Times New Roman"/>
          <w:sz w:val="13"/>
          <w:szCs w:val="13"/>
          <w:color w:val="auto"/>
        </w:rPr>
        <w:t>Our primary competitors provide financing to middle-market companies and include other BDCs, commercial and investment banks, commercial finance companies, CLO funds, private direct lending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91"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78" w:right="68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b w:val="1"/>
          <w:bCs w:val="1"/>
          <w:i w:val="1"/>
          <w:iCs w:val="1"/>
          <w:color w:val="auto"/>
        </w:rPr>
        <w:t>Leverage</w:t>
      </w:r>
    </w:p>
    <w:p>
      <w:pPr>
        <w:spacing w:after="0" w:line="167" w:lineRule="exact"/>
        <w:rPr>
          <w:sz w:val="20"/>
          <w:szCs w:val="20"/>
          <w:color w:val="auto"/>
        </w:rPr>
      </w:pPr>
    </w:p>
    <w:p>
      <w:pPr>
        <w:ind w:right="20" w:firstLine="420"/>
        <w:spacing w:after="0" w:line="256" w:lineRule="auto"/>
        <w:rPr>
          <w:sz w:val="20"/>
          <w:szCs w:val="20"/>
          <w:color w:val="auto"/>
        </w:rPr>
      </w:pPr>
      <w:r>
        <w:rPr>
          <w:rFonts w:ascii="Times New Roman" w:cs="Times New Roman" w:eastAsia="Times New Roman" w:hAnsi="Times New Roman"/>
          <w:sz w:val="13"/>
          <w:szCs w:val="13"/>
          <w:color w:val="auto"/>
        </w:rPr>
        <w:t>As of September 30, 2024, we had the multi- currency Truist Credit Facility for up to $475.0 million, which may be further increased up to $ 750.0 million in borrowings with certain lenders and Truist Bank (formerly SunTrust Bank), acting as administrative agent, Regions Bank, acting as additional multicurrency lenders, and JPMorgan Chase Bank, N.A., acting as syndication agent for the lenders. As of September 30, 2024 and 2023, we had $461.5 million and $212.4 million, respectively, in outstanding borrowings under the Truist Credit Facility. The Truist Credit Facility had a weighted average interest rate of 7.2% and 7.7%, respectively, exclusive of the fee on undrawn commitment, as of September 30, 2024 and 2023. The Truist Credit Facility is a revolving facility with a stated maturity date of July 29, 2027 for $475.0 million of the total commitment and the related obligations maturing on September 4, 2024 and pricing set at 235 basis points over SOFR.As of September 30, 2024 and 2023, we had $13.5 million and $262.6 million of unused borrowing capacity under the Truist Credit Facility, respectively, subject to leverage and borrowing base restrictions. The Truist Credit Facility is secured by substantially all of our assets. As of September 30, 2024, we were in compliance with the terms of the Truist Credit Facility.</w:t>
      </w:r>
    </w:p>
    <w:p>
      <w:pPr>
        <w:spacing w:after="0" w:line="96" w:lineRule="exact"/>
        <w:rPr>
          <w:sz w:val="20"/>
          <w:szCs w:val="20"/>
          <w:color w:val="auto"/>
        </w:rPr>
      </w:pPr>
    </w:p>
    <w:p>
      <w:pPr>
        <w:jc w:val="both"/>
        <w:ind w:right="20" w:firstLine="420"/>
        <w:spacing w:after="0" w:line="262" w:lineRule="auto"/>
        <w:rPr>
          <w:sz w:val="20"/>
          <w:szCs w:val="20"/>
          <w:color w:val="auto"/>
        </w:rPr>
      </w:pPr>
      <w:r>
        <w:rPr>
          <w:rFonts w:ascii="Times New Roman" w:cs="Times New Roman" w:eastAsia="Times New Roman" w:hAnsi="Times New Roman"/>
          <w:sz w:val="13"/>
          <w:szCs w:val="13"/>
          <w:color w:val="auto"/>
        </w:rPr>
        <w:t>As of September 30, 2024 and 2023, SBIC II had zero in debt commitments outstanding. We repaid the remaining $20 million SBA debentures during the nine months ended June 30, 2023. SBA debentures offer competitive terms such as being non-recourse to us, a 10-year maturity, semi-annual interest payments, not requiring principal payments prior to maturity and may be prepaid at any time without penalty. The SBA debentures were secured by all the investment portfolio assets of SBIC II and had a priority claim over such assets relative to all other creditors. See “Regulation” for more information.</w:t>
      </w:r>
    </w:p>
    <w:p>
      <w:pPr>
        <w:spacing w:after="0" w:line="368" w:lineRule="exact"/>
        <w:rPr>
          <w:sz w:val="20"/>
          <w:szCs w:val="20"/>
          <w:color w:val="auto"/>
        </w:rPr>
      </w:pPr>
    </w:p>
    <w:p>
      <w:pPr>
        <w:ind w:firstLine="420"/>
        <w:spacing w:after="0" w:line="257" w:lineRule="auto"/>
        <w:rPr>
          <w:sz w:val="20"/>
          <w:szCs w:val="20"/>
          <w:color w:val="auto"/>
        </w:rPr>
      </w:pPr>
      <w:r>
        <w:rPr>
          <w:rFonts w:ascii="Times New Roman" w:cs="Times New Roman" w:eastAsia="Times New Roman" w:hAnsi="Times New Roman"/>
          <w:sz w:val="13"/>
          <w:szCs w:val="13"/>
          <w:color w:val="auto"/>
        </w:rPr>
        <w:t>In April 2021, we issued $ 150.0 million in aggregate principal amount of our 2026 Notes at a public offering price per note of 99.4%. Interest on the 2026 Notes is paid semi- annually on May 1 and November 1 of each year, at a rate of 4.50% per year, commencing November 1, 2021. The 2026 Notes mature on May 1, 2026 and may be redeemed in whole or in part at our option 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96" w:lineRule="exact"/>
        <w:rPr>
          <w:sz w:val="20"/>
          <w:szCs w:val="20"/>
          <w:color w:val="auto"/>
        </w:rPr>
      </w:pPr>
    </w:p>
    <w:p>
      <w:pPr>
        <w:ind w:firstLine="420"/>
        <w:spacing w:after="0" w:line="257" w:lineRule="auto"/>
        <w:rPr>
          <w:sz w:val="20"/>
          <w:szCs w:val="20"/>
          <w:color w:val="auto"/>
        </w:rPr>
      </w:pPr>
      <w:r>
        <w:rPr>
          <w:rFonts w:ascii="Times New Roman" w:cs="Times New Roman" w:eastAsia="Times New Roman" w:hAnsi="Times New Roman"/>
          <w:sz w:val="13"/>
          <w:szCs w:val="13"/>
          <w:color w:val="auto"/>
        </w:rPr>
        <w:t>In October 2021, we issued $165.0 million in aggregate principal amount of our 2026 Notes-2 at a public offering price per note of 99.4%. Interest on the 2026 Notes-2 is paid semi-annually on May 1 and November 1 of each year, at a rate of 4.00% per year, commencing May 1, 2022. The 2026 Notes-2 mature on November 1, 2026 and may be redeemed in whole or in part at our option subject to a make-whole premium if redeemed more than three months prior to maturity. The 2026 Notes- 2 are general, unsecured obligations and rank equal in right of payment with all of our existing and future senior unsecured indebtedness. The 2026 Notes-2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Notes-2 on any securities exchange or automated dealer quotation system.</w:t>
      </w:r>
    </w:p>
    <w:p>
      <w:pPr>
        <w:spacing w:after="0" w:line="96" w:lineRule="exact"/>
        <w:rPr>
          <w:sz w:val="20"/>
          <w:szCs w:val="20"/>
          <w:color w:val="auto"/>
        </w:rPr>
      </w:pPr>
    </w:p>
    <w:p>
      <w:pPr>
        <w:ind w:right="220" w:firstLine="420"/>
        <w:spacing w:after="0" w:line="262" w:lineRule="auto"/>
        <w:rPr>
          <w:sz w:val="20"/>
          <w:szCs w:val="20"/>
          <w:color w:val="auto"/>
        </w:rPr>
      </w:pPr>
      <w:r>
        <w:rPr>
          <w:rFonts w:ascii="Times New Roman" w:cs="Times New Roman" w:eastAsia="Times New Roman" w:hAnsi="Times New Roman"/>
          <w:sz w:val="13"/>
          <w:szCs w:val="13"/>
          <w:color w:val="auto"/>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 See “Management’s Discussion and Analysis of Financial Condition and Results of Operations” for more information.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 Policy Overview</w:t>
      </w:r>
    </w:p>
    <w:p>
      <w:pPr>
        <w:spacing w:after="0" w:line="131" w:lineRule="exact"/>
        <w:rPr>
          <w:sz w:val="20"/>
          <w:szCs w:val="20"/>
          <w:color w:val="auto"/>
        </w:rPr>
      </w:pPr>
    </w:p>
    <w:p>
      <w:pPr>
        <w:ind w:right="120" w:firstLine="420"/>
        <w:spacing w:after="0" w:line="257" w:lineRule="auto"/>
        <w:rPr>
          <w:sz w:val="20"/>
          <w:szCs w:val="20"/>
          <w:color w:val="auto"/>
        </w:rPr>
      </w:pPr>
      <w:r>
        <w:rPr>
          <w:rFonts w:ascii="Times New Roman" w:cs="Times New Roman" w:eastAsia="Times New Roman" w:hAnsi="Times New Roman"/>
          <w:sz w:val="13"/>
          <w:szCs w:val="13"/>
          <w:color w:val="auto"/>
        </w:rPr>
        <w:t>We seek to create a diversified portfolio that includes first lien secured debt, second lien secured debt, subordinated debt and, to a lesser extent, equity by targeting an investment size of $10 million to $50 million in securities, on average, of middle-market companies. We expect this investment size to vary proportionately with the size of our capital base. The companies in which we invest are typically highly leveraged, and, in most cases, are not rated by national rating agencies. If such unrated companies were rated, we believe that they would typically receive a rating below investment grade (between BB and CCC under the Standard &amp; Poor’s system) from the national rating agencies. Securities rated below investment grade are often referred to as “leveraged loans,” “high yield” securities or “junk bonds” and are often higher risk compared to debt instruments that are rated above investment grade and have speculative characteristics. In addition, we expect our debt investments to range in maturity from three to ten years.</w:t>
      </w:r>
    </w:p>
    <w:p>
      <w:pPr>
        <w:spacing w:after="0" w:line="1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274" w:right="720" w:bottom="1440" w:gutter="0" w:footer="0" w:header="0"/>
        </w:sectPr>
      </w:pPr>
    </w:p>
    <w:bookmarkStart w:id="7" w:name="page8"/>
    <w:bookmarkEnd w:id="7"/>
    <w:p>
      <w:pPr>
        <w:ind w:right="120" w:firstLine="420"/>
        <w:spacing w:after="0" w:line="259" w:lineRule="auto"/>
        <w:rPr>
          <w:sz w:val="20"/>
          <w:szCs w:val="20"/>
          <w:color w:val="auto"/>
        </w:rPr>
      </w:pPr>
      <w:r>
        <w:rPr>
          <w:rFonts w:ascii="Times New Roman" w:cs="Times New Roman" w:eastAsia="Times New Roman" w:hAnsi="Times New Roman"/>
          <w:sz w:val="13"/>
          <w:szCs w:val="13"/>
          <w:color w:val="auto"/>
        </w:rPr>
        <w:t>Over time, we expect that our portfolio will continue to consist primarily of first lien secured debt, second lien secured debt, subordinated debt and, to a lesser extent, equity investments in qualifying assets such as private, or thinly traded or small market-capitalization, U.S. middle-market public companies. In addition, we may invest up to 30% of our portfolio in non-qualifying assets. These non-qualifying assets may include investments in public companies whose securities are not thinly traded or have a market capitalization of greater than $250 million, securities of middle-market companies located outside of the United States and investment companies as defined in the 1940 Act. We may acquire investments in the secondary markets. See “Regulation—Qualifying Assets” and “Investment Selection Criteria” for more information.</w:t>
      </w:r>
    </w:p>
    <w:p>
      <w:pPr>
        <w:spacing w:after="0" w:line="130" w:lineRule="exact"/>
        <w:rPr>
          <w:sz w:val="20"/>
          <w:szCs w:val="20"/>
          <w:color w:val="auto"/>
        </w:rPr>
      </w:pPr>
    </w:p>
    <w:p>
      <w:pPr>
        <w:ind w:right="160" w:firstLine="420"/>
        <w:spacing w:after="0" w:line="262" w:lineRule="auto"/>
        <w:rPr>
          <w:sz w:val="20"/>
          <w:szCs w:val="20"/>
          <w:color w:val="auto"/>
        </w:rPr>
      </w:pPr>
      <w:r>
        <w:rPr>
          <w:rFonts w:ascii="Times New Roman" w:cs="Times New Roman" w:eastAsia="Times New Roman" w:hAnsi="Times New Roman"/>
          <w:sz w:val="13"/>
          <w:szCs w:val="13"/>
          <w:color w:val="auto"/>
        </w:rPr>
        <w:t>Our board of directors has the authority to modify or waive certain of our operating policies and strategies without prior notice and without stockholder approval (except as required by the 1940 Act) .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common stock. Nevertheless, the effects of changes to our operating policies and strategies may adversely affect our business, our ability to make distributions and the value of our common stock.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First Lien Secured Debt</w:t>
      </w:r>
    </w:p>
    <w:p>
      <w:pPr>
        <w:spacing w:after="0" w:line="167"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Structurally, first lien secured debt ranks senior in priority of payment to second lien secured debt, subordinated debt and equity, and benefits from a senior security interest in the assets of the borrower. As such, other creditors rank junior to our investments in these securities in the event of insolvency. Due to its lower risk profile and often more restrictive covenants as compared to second lien secured debt and subordinated debt, first lien secured debt generally earns a lower return than second lien secured debt and subordinated debt. In some cases first lien secured debt lenders receive opportunities to invest directly in the equity securities of borrowers and from time to time may also receive warrants to purchase equity securities. We evaluate these investment opportunities on a case-by-case basis.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Second Lien Secured Debt</w:t>
      </w:r>
    </w:p>
    <w:p>
      <w:pPr>
        <w:spacing w:after="0" w:line="167" w:lineRule="exact"/>
        <w:rPr>
          <w:sz w:val="20"/>
          <w:szCs w:val="20"/>
          <w:color w:val="auto"/>
        </w:rPr>
      </w:pPr>
    </w:p>
    <w:p>
      <w:pPr>
        <w:ind w:firstLine="420"/>
        <w:spacing w:after="0" w:line="260" w:lineRule="auto"/>
        <w:rPr>
          <w:sz w:val="20"/>
          <w:szCs w:val="20"/>
          <w:color w:val="auto"/>
        </w:rPr>
      </w:pPr>
      <w:r>
        <w:rPr>
          <w:rFonts w:ascii="Times New Roman" w:cs="Times New Roman" w:eastAsia="Times New Roman" w:hAnsi="Times New Roman"/>
          <w:sz w:val="13"/>
          <w:szCs w:val="13"/>
          <w:color w:val="auto"/>
        </w:rPr>
        <w:t>Second lien secured debt usually ranks junior in priority of payment to first lien secured debt. Second lien secured debt holds a second priority with regard to right of payment in the event of insolvency. Second lien secured debt ranks senior to subordinated debt and common and preferred equity in borrowers’ capital structures. Due to its higher risk profile and often less restrictive covenants as compared to first lien secured debt, second lien secured debt generally earns a higher return than first lien secured debt. In many cases, second lien secured debt investors receive opportunities to invest directly in the equity securities of borrowers and from time to time may also receive warrants to purchase equity securities. We evaluate these investment opportunities on a case-by-case basis.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Subordinated Debt</w:t>
      </w:r>
    </w:p>
    <w:p>
      <w:pPr>
        <w:spacing w:after="0" w:line="167" w:lineRule="exact"/>
        <w:rPr>
          <w:sz w:val="20"/>
          <w:szCs w:val="20"/>
          <w:color w:val="auto"/>
        </w:rPr>
      </w:pPr>
    </w:p>
    <w:p>
      <w:pPr>
        <w:ind w:right="40" w:firstLine="420"/>
        <w:spacing w:after="0" w:line="259" w:lineRule="auto"/>
        <w:rPr>
          <w:sz w:val="20"/>
          <w:szCs w:val="20"/>
          <w:color w:val="auto"/>
        </w:rPr>
      </w:pPr>
      <w:r>
        <w:rPr>
          <w:rFonts w:ascii="Times New Roman" w:cs="Times New Roman" w:eastAsia="Times New Roman" w:hAnsi="Times New Roman"/>
          <w:sz w:val="13"/>
          <w:szCs w:val="13"/>
          <w:color w:val="auto"/>
        </w:rPr>
        <w:t>Structurally, subordinated debt usually ranks junior in priority of payment to first lien secured debt and second lien secured debt, and is often unsecured. As such, other creditors may rank senior to us in the event of insolvency. Subordinated debt ranks senior to common and preferred equity in borrowers’ capital structures. Due to its higher risk profile and often less restrictive covenants as compared to first lien secured debt and second lien secured debt, subordinated debt generally earns a higher return than first lien secured debt and second lien secured debt. In many cases, subordinated debt investors receive opportunities to invest directly in the equity securities of borrowers, and from time to time, may also receive warrants to purchase equity securities. We evaluate these investment opportunities on a case-by-case basis.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 Selection Criteria</w:t>
      </w:r>
    </w:p>
    <w:p>
      <w:pPr>
        <w:spacing w:after="0" w:line="131" w:lineRule="exact"/>
        <w:rPr>
          <w:sz w:val="20"/>
          <w:szCs w:val="20"/>
          <w:color w:val="auto"/>
        </w:rPr>
      </w:pPr>
    </w:p>
    <w:p>
      <w:pPr>
        <w:jc w:val="both"/>
        <w:ind w:right="60" w:firstLine="420"/>
        <w:spacing w:after="0" w:line="286" w:lineRule="auto"/>
        <w:rPr>
          <w:sz w:val="20"/>
          <w:szCs w:val="20"/>
          <w:color w:val="auto"/>
        </w:rPr>
      </w:pPr>
      <w:r>
        <w:rPr>
          <w:rFonts w:ascii="Times New Roman" w:cs="Times New Roman" w:eastAsia="Times New Roman" w:hAnsi="Times New Roman"/>
          <w:sz w:val="13"/>
          <w:szCs w:val="13"/>
          <w:color w:val="auto"/>
        </w:rPr>
        <w:t>We are committed to a value-oriented philosophy used by the senior investment professionals of our Investment Adviser who manage our portfolio and seek to minimize the risk of capital loss without foregoing potential for capital appreciation.</w:t>
      </w:r>
    </w:p>
    <w:p>
      <w:pPr>
        <w:spacing w:after="0" w:line="76" w:lineRule="exact"/>
        <w:rPr>
          <w:sz w:val="20"/>
          <w:szCs w:val="20"/>
          <w:color w:val="auto"/>
        </w:rPr>
      </w:pPr>
    </w:p>
    <w:p>
      <w:pPr>
        <w:jc w:val="both"/>
        <w:ind w:right="60" w:firstLine="420"/>
        <w:spacing w:after="0" w:line="268" w:lineRule="auto"/>
        <w:rPr>
          <w:sz w:val="20"/>
          <w:szCs w:val="20"/>
          <w:color w:val="auto"/>
        </w:rPr>
      </w:pPr>
      <w:r>
        <w:rPr>
          <w:rFonts w:ascii="Times New Roman" w:cs="Times New Roman" w:eastAsia="Times New Roman" w:hAnsi="Times New Roman"/>
          <w:sz w:val="13"/>
          <w:szCs w:val="13"/>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opportunities and to structure investments efficiently and effectively.</w:t>
      </w:r>
    </w:p>
    <w:p>
      <w:pPr>
        <w:spacing w:after="0" w:line="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b w:val="1"/>
          <w:bCs w:val="1"/>
          <w:i w:val="1"/>
          <w:iCs w:val="1"/>
          <w:color w:val="auto"/>
        </w:rPr>
        <w:t>a)Leading and defensible competitive market positions</w:t>
      </w:r>
    </w:p>
    <w:p>
      <w:pPr>
        <w:spacing w:after="0" w:line="131" w:lineRule="exact"/>
        <w:rPr>
          <w:sz w:val="20"/>
          <w:szCs w:val="20"/>
          <w:color w:val="auto"/>
        </w:rPr>
      </w:pPr>
    </w:p>
    <w:p>
      <w:pPr>
        <w:ind w:right="220" w:firstLine="420"/>
        <w:spacing w:after="0" w:line="268" w:lineRule="auto"/>
        <w:rPr>
          <w:sz w:val="20"/>
          <w:szCs w:val="20"/>
          <w:color w:val="auto"/>
        </w:rPr>
      </w:pPr>
      <w:r>
        <w:rPr>
          <w:rFonts w:ascii="Times New Roman" w:cs="Times New Roman" w:eastAsia="Times New Roman" w:hAnsi="Times New Roman"/>
          <w:sz w:val="13"/>
          <w:szCs w:val="13"/>
          <w:color w:val="auto"/>
        </w:rPr>
        <w:t>The Investment Adviser invests in portfolio companies that it believes have developed strong positions within their markets. The Investment Adviser also seeks to invest in portfolio companies that it believes possess competitive advantages, for example, in scale, scope, customer loyalty, product pricing or product quality as compared to their competitors to protect their market position.</w:t>
      </w:r>
    </w:p>
    <w:p>
      <w:pPr>
        <w:spacing w:after="0" w:line="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b w:val="1"/>
          <w:bCs w:val="1"/>
          <w:i w:val="1"/>
          <w:iCs w:val="1"/>
          <w:color w:val="auto"/>
        </w:rPr>
        <w:t>b)Investing in stable borrowers with positive cash flow</w:t>
      </w:r>
    </w:p>
    <w:p>
      <w:pPr>
        <w:spacing w:after="0" w:line="131"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Our investment philosophy places a premium on fundamental analysis and has a distinct value-orientation. The Investment Adviser invests in portfolio companies it believes to be stable and well-established, with strong cash flows and profitability. The Investment Adviser believes these attributes indicate portfolio companies that may be well- 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b w:val="1"/>
          <w:bCs w:val="1"/>
          <w:i w:val="1"/>
          <w:iCs w:val="1"/>
          <w:color w:val="auto"/>
        </w:rPr>
        <w:t>c)Management teams</w:t>
      </w:r>
    </w:p>
    <w:p>
      <w:pPr>
        <w:spacing w:after="0" w:line="131" w:lineRule="exact"/>
        <w:rPr>
          <w:sz w:val="20"/>
          <w:szCs w:val="20"/>
          <w:color w:val="auto"/>
        </w:rPr>
      </w:pPr>
    </w:p>
    <w:p>
      <w:pPr>
        <w:ind w:right="300" w:firstLine="420"/>
        <w:spacing w:after="0" w:line="286" w:lineRule="auto"/>
        <w:rPr>
          <w:sz w:val="20"/>
          <w:szCs w:val="20"/>
          <w:color w:val="auto"/>
        </w:rPr>
      </w:pPr>
      <w:r>
        <w:rPr>
          <w:rFonts w:ascii="Times New Roman" w:cs="Times New Roman" w:eastAsia="Times New Roman" w:hAnsi="Times New Roman"/>
          <w:sz w:val="13"/>
          <w:szCs w:val="13"/>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b w:val="1"/>
          <w:bCs w:val="1"/>
          <w:i w:val="1"/>
          <w:iCs w:val="1"/>
          <w:color w:val="auto"/>
        </w:rPr>
        <w:t>d)Financial sponsorship</w:t>
      </w:r>
    </w:p>
    <w:p>
      <w:pPr>
        <w:spacing w:after="0" w:line="131" w:lineRule="exact"/>
        <w:rPr>
          <w:sz w:val="20"/>
          <w:szCs w:val="20"/>
          <w:color w:val="auto"/>
        </w:rPr>
      </w:pPr>
    </w:p>
    <w:p>
      <w:pPr>
        <w:ind w:right="80" w:firstLine="420"/>
        <w:spacing w:after="0" w:line="262" w:lineRule="auto"/>
        <w:rPr>
          <w:sz w:val="20"/>
          <w:szCs w:val="20"/>
          <w:color w:val="auto"/>
        </w:rPr>
      </w:pPr>
      <w:r>
        <w:rPr>
          <w:rFonts w:ascii="Times New Roman" w:cs="Times New Roman" w:eastAsia="Times New Roman" w:hAnsi="Times New Roman"/>
          <w:sz w:val="13"/>
          <w:szCs w:val="13"/>
          <w:color w:val="auto"/>
        </w:rPr>
        <w:t>The Investment Adviser may seek to cause us to participate in transactions sponsored by what it believes to be trusted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the ability, and a strong incentive, to contribute additional capital in difficult economic times should financial or operational issues arise so as to maintain their ownership position.</w:t>
      </w:r>
    </w:p>
    <w:p>
      <w:pPr>
        <w:spacing w:after="0" w:line="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b w:val="1"/>
          <w:bCs w:val="1"/>
          <w:i w:val="1"/>
          <w:iCs w:val="1"/>
          <w:color w:val="auto"/>
        </w:rPr>
        <w:t>e)Investments in different borrowers, industries and geographies</w:t>
      </w:r>
    </w:p>
    <w:p>
      <w:pPr>
        <w:spacing w:after="0" w:line="131" w:lineRule="exact"/>
        <w:rPr>
          <w:sz w:val="20"/>
          <w:szCs w:val="20"/>
          <w:color w:val="auto"/>
        </w:rPr>
      </w:pPr>
    </w:p>
    <w:p>
      <w:pPr>
        <w:ind w:right="200" w:firstLine="420"/>
        <w:spacing w:after="0" w:line="268" w:lineRule="auto"/>
        <w:rPr>
          <w:sz w:val="20"/>
          <w:szCs w:val="20"/>
          <w:color w:val="auto"/>
        </w:rPr>
      </w:pPr>
      <w:r>
        <w:rPr>
          <w:rFonts w:ascii="Times New Roman" w:cs="Times New Roman" w:eastAsia="Times New Roman" w:hAnsi="Times New Roman"/>
          <w:sz w:val="13"/>
          <w:szCs w:val="13"/>
          <w:color w:val="auto"/>
        </w:rPr>
        <w:t>The Investment Adviser seeks to invest our assets broadly among portfolio companies, across industries and geographical regions. The Investment Adviser believes that this approach may reduce the risk that a downturn in any one portfolio company, industry or geographical region will have a disproportionate impact on the value of our portfolio, although we are permitted to be non-diversified under the 1940 Act.</w:t>
      </w:r>
    </w:p>
    <w:p>
      <w:pPr>
        <w:spacing w:after="0" w:line="1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278" w:right="640" w:bottom="1440" w:gutter="0" w:footer="0" w:header="0"/>
        </w:sectPr>
      </w:pPr>
    </w:p>
    <w:bookmarkStart w:id="8" w:name="page9"/>
    <w:bookmarkEnd w:id="8"/>
    <w:p>
      <w:pPr>
        <w:ind w:left="540"/>
        <w:spacing w:after="0"/>
        <w:rPr>
          <w:sz w:val="20"/>
          <w:szCs w:val="20"/>
          <w:color w:val="auto"/>
        </w:rPr>
      </w:pPr>
      <w:r>
        <w:rPr>
          <w:rFonts w:ascii="Times New Roman" w:cs="Times New Roman" w:eastAsia="Times New Roman" w:hAnsi="Times New Roman"/>
          <w:sz w:val="13"/>
          <w:szCs w:val="13"/>
          <w:b w:val="1"/>
          <w:bCs w:val="1"/>
          <w:i w:val="1"/>
          <w:iCs w:val="1"/>
          <w:color w:val="auto"/>
        </w:rPr>
        <w:t>f)Viable exit strategy</w:t>
      </w:r>
    </w:p>
    <w:p>
      <w:pPr>
        <w:spacing w:after="0" w:line="131"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The Investment Adviser seeks to invest in portfolio companies that it believes will provide a steady stream of cash flow to repay our loans while also reinvesting in their respective businesses. The Investment Adviser expects that such internally generated cash flow, leading to the payment of interest on, and the repayment of the principal of, our investments in portfolio companies to be a key means by which we will exit from our investments over time. In addition, the Investment Adviser also seeks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Due Diligence</w:t>
      </w:r>
    </w:p>
    <w:p>
      <w:pPr>
        <w:spacing w:after="0" w:line="131" w:lineRule="exact"/>
        <w:rPr>
          <w:sz w:val="20"/>
          <w:szCs w:val="20"/>
          <w:color w:val="auto"/>
        </w:rPr>
      </w:pPr>
    </w:p>
    <w:p>
      <w:pPr>
        <w:jc w:val="both"/>
        <w:ind w:right="520" w:firstLine="420"/>
        <w:spacing w:after="0" w:line="262" w:lineRule="auto"/>
        <w:rPr>
          <w:sz w:val="20"/>
          <w:szCs w:val="20"/>
          <w:color w:val="auto"/>
        </w:rPr>
      </w:pPr>
      <w:r>
        <w:rPr>
          <w:rFonts w:ascii="Times New Roman" w:cs="Times New Roman" w:eastAsia="Times New Roman" w:hAnsi="Times New Roman"/>
          <w:sz w:val="13"/>
          <w:szCs w:val="13"/>
          <w:color w:val="auto"/>
        </w:rPr>
        <w:t>We believe it is critical to conduct extensive due diligence in evaluating new investment targets.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due diligence may include:</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•review of historical and prospective financial information;</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•research relating to the portfolio company’s management, industry, markets, products and services and competitors;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•interviews with management, employees, customers and vendors of the potential portfolio company;</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•on-site visits;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•review of loan documents; and</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•background checks.</w:t>
      </w:r>
    </w:p>
    <w:p>
      <w:pPr>
        <w:spacing w:after="0" w:line="127" w:lineRule="exact"/>
        <w:rPr>
          <w:sz w:val="20"/>
          <w:szCs w:val="20"/>
          <w:color w:val="auto"/>
        </w:rPr>
      </w:pPr>
    </w:p>
    <w:p>
      <w:pPr>
        <w:ind w:right="80" w:firstLine="420"/>
        <w:spacing w:after="0" w:line="286" w:lineRule="auto"/>
        <w:rPr>
          <w:sz w:val="20"/>
          <w:szCs w:val="20"/>
          <w:color w:val="auto"/>
        </w:rPr>
      </w:pPr>
      <w:r>
        <w:rPr>
          <w:rFonts w:ascii="Times New Roman" w:cs="Times New Roman" w:eastAsia="Times New Roman" w:hAnsi="Times New Roman"/>
          <w:sz w:val="13"/>
          <w:szCs w:val="13"/>
          <w:color w:val="auto"/>
        </w:rPr>
        <w:t>Additional due diligence with respect to any investment may be conducted on our behalf by attorneys and accountants prior to the closing of the investment, as well as other outside advisers, as appropriate.</w:t>
      </w:r>
    </w:p>
    <w:p>
      <w:pPr>
        <w:spacing w:after="0" w:line="76" w:lineRule="exact"/>
        <w:rPr>
          <w:sz w:val="20"/>
          <w:szCs w:val="20"/>
          <w:color w:val="auto"/>
        </w:rPr>
      </w:pPr>
    </w:p>
    <w:p>
      <w:pPr>
        <w:ind w:right="160" w:firstLine="420"/>
        <w:spacing w:after="0" w:line="268" w:lineRule="auto"/>
        <w:rPr>
          <w:sz w:val="20"/>
          <w:szCs w:val="20"/>
          <w:color w:val="auto"/>
        </w:rPr>
      </w:pPr>
      <w:r>
        <w:rPr>
          <w:rFonts w:ascii="Times New Roman" w:cs="Times New Roman" w:eastAsia="Times New Roman" w:hAnsi="Times New Roman"/>
          <w:sz w:val="13"/>
          <w:szCs w:val="13"/>
          <w:color w:val="auto"/>
        </w:rPr>
        <w:t>Upon the completion of due diligence on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Rather, they are employees of and receive compensation from our Investment Adviser.</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 Structure</w:t>
      </w:r>
    </w:p>
    <w:p>
      <w:pPr>
        <w:spacing w:after="0" w:line="131" w:lineRule="exact"/>
        <w:rPr>
          <w:sz w:val="20"/>
          <w:szCs w:val="20"/>
          <w:color w:val="auto"/>
        </w:rPr>
      </w:pPr>
    </w:p>
    <w:p>
      <w:pPr>
        <w:ind w:right="100" w:firstLine="420"/>
        <w:spacing w:after="0" w:line="268" w:lineRule="auto"/>
        <w:rPr>
          <w:sz w:val="20"/>
          <w:szCs w:val="20"/>
          <w:color w:val="auto"/>
        </w:rPr>
      </w:pPr>
      <w:r>
        <w:rPr>
          <w:rFonts w:ascii="Times New Roman" w:cs="Times New Roman" w:eastAsia="Times New Roman" w:hAnsi="Times New Roman"/>
          <w:sz w:val="13"/>
          <w:szCs w:val="13"/>
          <w:color w:val="auto"/>
        </w:rPr>
        <w:t>Once we determine that a prospective portfolio company is suitable for investment, we work with the management of that portfolio company and its other capital providers, including senior, junior and equity capital providers, to structure an investment. We negotiate with these parties to agree on how our investment is structured relative to the other capital in the portfolio company’s capital structure.</w:t>
      </w:r>
    </w:p>
    <w:p>
      <w:pPr>
        <w:spacing w:after="0" w:line="87" w:lineRule="exact"/>
        <w:rPr>
          <w:sz w:val="20"/>
          <w:szCs w:val="20"/>
          <w:color w:val="auto"/>
        </w:rPr>
      </w:pPr>
    </w:p>
    <w:p>
      <w:pPr>
        <w:jc w:val="both"/>
        <w:ind w:firstLine="420"/>
        <w:spacing w:after="0" w:line="286" w:lineRule="auto"/>
        <w:rPr>
          <w:sz w:val="20"/>
          <w:szCs w:val="20"/>
          <w:color w:val="auto"/>
        </w:rPr>
      </w:pPr>
      <w:r>
        <w:rPr>
          <w:rFonts w:ascii="Times New Roman" w:cs="Times New Roman" w:eastAsia="Times New Roman" w:hAnsi="Times New Roman"/>
          <w:sz w:val="13"/>
          <w:szCs w:val="13"/>
          <w:color w:val="auto"/>
        </w:rPr>
        <w:t>We expect our first lien secured debt to have terms of three to ten years. We generally obtain security interests in the assets of our portfolio companies that will serve as collateral in support of the repayment of these loans. This collateral may take the form of first priority liens on the assets of a portfolio company.</w:t>
      </w:r>
    </w:p>
    <w:p>
      <w:pPr>
        <w:spacing w:after="0" w:line="76" w:lineRule="exact"/>
        <w:rPr>
          <w:sz w:val="20"/>
          <w:szCs w:val="20"/>
          <w:color w:val="auto"/>
        </w:rPr>
      </w:pPr>
    </w:p>
    <w:p>
      <w:pPr>
        <w:jc w:val="both"/>
        <w:ind w:firstLine="420"/>
        <w:spacing w:after="0" w:line="262" w:lineRule="auto"/>
        <w:rPr>
          <w:sz w:val="20"/>
          <w:szCs w:val="20"/>
          <w:color w:val="auto"/>
        </w:rPr>
      </w:pPr>
      <w:r>
        <w:rPr>
          <w:rFonts w:ascii="Times New Roman" w:cs="Times New Roman" w:eastAsia="Times New Roman" w:hAnsi="Times New Roman"/>
          <w:sz w:val="13"/>
          <w:szCs w:val="13"/>
          <w:color w:val="auto"/>
        </w:rPr>
        <w:t>Typically, our second lien secured debt and subordinated debt investments have maturities of three to ten years. Second lien secured debt and subordinated debt may take the form of a second priority lien on the assets of a portfolio company and have interest- only payments in the early years with cash or payment -in -kind, or PIK, payments with amortization of principal deferred to the later years. In some cases, we may invest in debt securities that, by their terms, convert into equity or additional debt securities or defer payments of interest for the first few years after our investment. Also, in some cases, our second lien secured debt and subordinated debt may be collateralized by a subordinated lien on some or all of the assets of the borrower.</w:t>
      </w:r>
    </w:p>
    <w:p>
      <w:pPr>
        <w:spacing w:after="0" w:line="91" w:lineRule="exact"/>
        <w:rPr>
          <w:sz w:val="20"/>
          <w:szCs w:val="20"/>
          <w:color w:val="auto"/>
        </w:rPr>
      </w:pPr>
    </w:p>
    <w:p>
      <w:pPr>
        <w:ind w:right="340" w:firstLine="420"/>
        <w:spacing w:after="0" w:line="268" w:lineRule="auto"/>
        <w:rPr>
          <w:sz w:val="20"/>
          <w:szCs w:val="20"/>
          <w:color w:val="auto"/>
        </w:rPr>
      </w:pPr>
      <w:r>
        <w:rPr>
          <w:rFonts w:ascii="Times New Roman" w:cs="Times New Roman" w:eastAsia="Times New Roman" w:hAnsi="Times New Roman"/>
          <w:sz w:val="13"/>
          <w:szCs w:val="13"/>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87" w:lineRule="exact"/>
        <w:rPr>
          <w:sz w:val="20"/>
          <w:szCs w:val="20"/>
          <w:color w:val="auto"/>
        </w:rPr>
      </w:pPr>
    </w:p>
    <w:p>
      <w:pPr>
        <w:ind w:left="540" w:right="1620"/>
        <w:spacing w:after="0" w:line="443" w:lineRule="auto"/>
        <w:rPr>
          <w:sz w:val="20"/>
          <w:szCs w:val="20"/>
          <w:color w:val="auto"/>
        </w:rPr>
      </w:pPr>
      <w:r>
        <w:rPr>
          <w:rFonts w:ascii="Times New Roman" w:cs="Times New Roman" w:eastAsia="Times New Roman" w:hAnsi="Times New Roman"/>
          <w:sz w:val="13"/>
          <w:szCs w:val="13"/>
          <w:color w:val="auto"/>
        </w:rPr>
        <w:t>•requiring a total return on our investments (including both interest in the form of a floor and potential equity appreciation) that compensates us for credit risk; •incorporating “put” rights and call protection into the investment structure; and</w:t>
      </w:r>
    </w:p>
    <w:p>
      <w:pPr>
        <w:ind w:left="540" w:right="300"/>
        <w:spacing w:after="0" w:line="268" w:lineRule="auto"/>
        <w:rPr>
          <w:sz w:val="20"/>
          <w:szCs w:val="20"/>
          <w:color w:val="auto"/>
        </w:rPr>
      </w:pPr>
      <w:r>
        <w:rPr>
          <w:rFonts w:ascii="Times New Roman" w:cs="Times New Roman" w:eastAsia="Times New Roman" w:hAnsi="Times New Roman"/>
          <w:sz w:val="13"/>
          <w:szCs w:val="13"/>
          <w:color w:val="auto"/>
        </w:rPr>
        <w:t>•negotiating covenants in connection with our investments that afford our portfolio companies as much flexibility in managing their businesses as possible, consistent with our focus of preserving capital. Such restrictions may include affirmative and negative covenants, default penalties, lien protection, change of control provisions and board rights, including either observation or participation rights.</w:t>
      </w:r>
    </w:p>
    <w:p>
      <w:pPr>
        <w:spacing w:after="0" w:line="87" w:lineRule="exact"/>
        <w:rPr>
          <w:sz w:val="20"/>
          <w:szCs w:val="20"/>
          <w:color w:val="auto"/>
        </w:rPr>
      </w:pPr>
    </w:p>
    <w:p>
      <w:pPr>
        <w:ind w:right="100" w:firstLine="420"/>
        <w:spacing w:after="0" w:line="259" w:lineRule="auto"/>
        <w:rPr>
          <w:sz w:val="20"/>
          <w:szCs w:val="20"/>
          <w:color w:val="auto"/>
        </w:rPr>
      </w:pPr>
      <w:r>
        <w:rPr>
          <w:rFonts w:ascii="Times New Roman" w:cs="Times New Roman" w:eastAsia="Times New Roman" w:hAnsi="Times New Roman"/>
          <w:sz w:val="13"/>
          <w:szCs w:val="13"/>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portfolio company, upon the occurrence of specified events. In many cases, we may also obtain registration rights in connection with these equity investments, which may include demand and “piggyback” registration rights.</w:t>
      </w:r>
    </w:p>
    <w:p>
      <w:pPr>
        <w:spacing w:after="0" w:line="94" w:lineRule="exact"/>
        <w:rPr>
          <w:sz w:val="20"/>
          <w:szCs w:val="20"/>
          <w:color w:val="auto"/>
        </w:rPr>
      </w:pPr>
    </w:p>
    <w:p>
      <w:pPr>
        <w:ind w:firstLine="420"/>
        <w:spacing w:after="0" w:line="286" w:lineRule="auto"/>
        <w:rPr>
          <w:sz w:val="20"/>
          <w:szCs w:val="20"/>
          <w:color w:val="auto"/>
        </w:rPr>
      </w:pPr>
      <w:r>
        <w:rPr>
          <w:rFonts w:ascii="Times New Roman" w:cs="Times New Roman" w:eastAsia="Times New Roman" w:hAnsi="Times New Roman"/>
          <w:sz w:val="13"/>
          <w:szCs w:val="13"/>
          <w:color w:val="auto"/>
        </w:rPr>
        <w:t>We expect to hold most of our investments to maturity or repayment, but we may exit certain investments earlier when a liquidity event, such as the sale or refinancing of a portfolio company, takes place. We also may turn over investments to better position the portfolio in light of market conditions.</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274" w:right="72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3"/>
          <w:szCs w:val="13"/>
          <w:b w:val="1"/>
          <w:bCs w:val="1"/>
          <w:i w:val="1"/>
          <w:iCs w:val="1"/>
          <w:color w:val="auto"/>
        </w:rPr>
        <w:t>Ongoing Relationships with Portfolio Companies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Monitoring</w:t>
      </w:r>
    </w:p>
    <w:p>
      <w:pPr>
        <w:spacing w:after="0" w:line="131" w:lineRule="exact"/>
        <w:rPr>
          <w:sz w:val="20"/>
          <w:szCs w:val="20"/>
          <w:color w:val="auto"/>
        </w:rPr>
      </w:pPr>
    </w:p>
    <w:p>
      <w:pPr>
        <w:ind w:right="380" w:firstLine="420"/>
        <w:spacing w:after="0" w:line="286" w:lineRule="auto"/>
        <w:rPr>
          <w:sz w:val="20"/>
          <w:szCs w:val="20"/>
          <w:color w:val="auto"/>
        </w:rPr>
      </w:pPr>
      <w:r>
        <w:rPr>
          <w:rFonts w:ascii="Times New Roman" w:cs="Times New Roman" w:eastAsia="Times New Roman" w:hAnsi="Times New Roman"/>
          <w:sz w:val="13"/>
          <w:szCs w:val="13"/>
          <w:color w:val="auto"/>
        </w:rPr>
        <w:t>The Investment Adviser monitors our portfolio companies on an ongoing basis. The Investment Adviser also monitors the financial trends of each portfolio company to determine if it is meeting its respective business plans and to assess the appropriate course of action for each portfolio company.</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Investment Adviser has several methods of evaluating and monitoring the performance and fair value of our investments, which may include the following:</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•assessment of success in adhering to a portfolio company’s business plan and compliance with covenants;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•periodic or regular contact with portfolio company management and, if appropriate, the financial or strategic sponsor, to discuss financial position, requirements and accomplishments;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•comparisons to other portfolio companies in the industry, if any;</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•attendance at and participation in board meetings or presentations by portfolio companies; and</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•review of periodic financial statements and financial projections for portfolio companies.</w:t>
      </w:r>
    </w:p>
    <w:p>
      <w:pPr>
        <w:spacing w:after="0" w:line="127" w:lineRule="exact"/>
        <w:rPr>
          <w:sz w:val="20"/>
          <w:szCs w:val="20"/>
          <w:color w:val="auto"/>
        </w:rPr>
      </w:pPr>
    </w:p>
    <w:p>
      <w:pPr>
        <w:jc w:val="both"/>
        <w:ind w:right="40" w:firstLine="420"/>
        <w:spacing w:after="0" w:line="259" w:lineRule="auto"/>
        <w:rPr>
          <w:sz w:val="20"/>
          <w:szCs w:val="20"/>
          <w:color w:val="auto"/>
        </w:rPr>
      </w:pPr>
      <w:r>
        <w:rPr>
          <w:rFonts w:ascii="Times New Roman" w:cs="Times New Roman" w:eastAsia="Times New Roman" w:hAnsi="Times New Roman"/>
          <w:sz w:val="13"/>
          <w:szCs w:val="13"/>
          <w:color w:val="auto"/>
        </w:rPr>
        <w:t>The Investment Adviser monitors credit risk of each portfolio company regularly with a goal toward identifying early, and when able and appropriate, exiting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capital requirements; (6) a portfolio company’s interest and asset coverage; and (7) the relative value of an investment based on a portfolio company’s anticipated cash flow.</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Managerial Assistance</w:t>
      </w:r>
    </w:p>
    <w:p>
      <w:pPr>
        <w:spacing w:after="0" w:line="131" w:lineRule="exact"/>
        <w:rPr>
          <w:sz w:val="20"/>
          <w:szCs w:val="20"/>
          <w:color w:val="auto"/>
        </w:rPr>
      </w:pPr>
    </w:p>
    <w:p>
      <w:pPr>
        <w:ind w:right="80" w:firstLine="420"/>
        <w:spacing w:after="0" w:line="286" w:lineRule="auto"/>
        <w:rPr>
          <w:sz w:val="20"/>
          <w:szCs w:val="20"/>
          <w:color w:val="auto"/>
        </w:rPr>
      </w:pPr>
      <w:r>
        <w:rPr>
          <w:rFonts w:ascii="Times New Roman" w:cs="Times New Roman" w:eastAsia="Times New Roman" w:hAnsi="Times New Roman"/>
          <w:sz w:val="13"/>
          <w:szCs w:val="13"/>
          <w:color w:val="auto"/>
        </w:rPr>
        <w:t>We offer significant managerial assistance to our portfolio companies. As a BDC, we are required to make available such significant managerial assistance within the meaning of Section 2(a) (47) of the 1940 Act. See “Regulation” for more information.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Staffing</w:t>
      </w:r>
    </w:p>
    <w:p>
      <w:pPr>
        <w:spacing w:after="0" w:line="131" w:lineRule="exact"/>
        <w:rPr>
          <w:sz w:val="20"/>
          <w:szCs w:val="20"/>
          <w:color w:val="auto"/>
        </w:rPr>
      </w:pPr>
    </w:p>
    <w:p>
      <w:pPr>
        <w:ind w:right="460" w:firstLine="420"/>
        <w:spacing w:after="0" w:line="286" w:lineRule="auto"/>
        <w:rPr>
          <w:sz w:val="20"/>
          <w:szCs w:val="20"/>
          <w:color w:val="auto"/>
        </w:rPr>
      </w:pPr>
      <w:r>
        <w:rPr>
          <w:rFonts w:ascii="Times New Roman" w:cs="Times New Roman" w:eastAsia="Times New Roman" w:hAnsi="Times New Roman"/>
          <w:sz w:val="13"/>
          <w:szCs w:val="13"/>
          <w:color w:val="auto"/>
        </w:rPr>
        <w:t>We do not currently have any employees. Our Investment Adviser and Administrator have hired and expect to continue to hire professionals with skills applicable to our business plan, including experience in middle-market investing, senior lending, mezzanine lending, leveraged finance, distressed debt and private equity businesses.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Corporate Information</w:t>
      </w:r>
    </w:p>
    <w:p>
      <w:pPr>
        <w:spacing w:after="0" w:line="131" w:lineRule="exact"/>
        <w:rPr>
          <w:sz w:val="20"/>
          <w:szCs w:val="20"/>
          <w:color w:val="auto"/>
        </w:rPr>
      </w:pPr>
    </w:p>
    <w:p>
      <w:pPr>
        <w:ind w:right="60" w:firstLine="420"/>
        <w:spacing w:after="0" w:line="259" w:lineRule="auto"/>
        <w:rPr>
          <w:sz w:val="20"/>
          <w:szCs w:val="20"/>
          <w:color w:val="auto"/>
        </w:rPr>
      </w:pPr>
      <w:r>
        <w:rPr>
          <w:rFonts w:ascii="Times New Roman" w:cs="Times New Roman" w:eastAsia="Times New Roman" w:hAnsi="Times New Roman"/>
          <w:sz w:val="13"/>
          <w:szCs w:val="13"/>
          <w:color w:val="auto"/>
        </w:rPr>
        <w:t xml:space="preserve">Our administrative and principal executive offices are located at 1691 Michigan Avenue, Miami Beach, Florida . Our common stock is quoted on The New York Stock Exchange under the symbol “PNNT”. Our phone number is (786) 297-9500, and our Internet website address is </w:t>
      </w:r>
      <w:r>
        <w:rPr>
          <w:rFonts w:ascii="Times New Roman" w:cs="Times New Roman" w:eastAsia="Times New Roman" w:hAnsi="Times New Roman"/>
          <w:sz w:val="13"/>
          <w:szCs w:val="13"/>
          <w:i w:val="1"/>
          <w:iCs w:val="1"/>
          <w:u w:val="single" w:color="auto"/>
          <w:color w:val="auto"/>
        </w:rPr>
        <w:t>www.pennantpark.com</w:t>
      </w:r>
      <w:r>
        <w:rPr>
          <w:rFonts w:ascii="Times New Roman" w:cs="Times New Roman" w:eastAsia="Times New Roman" w:hAnsi="Times New Roman"/>
          <w:sz w:val="13"/>
          <w:szCs w:val="13"/>
          <w:color w:val="auto"/>
        </w:rPr>
        <w:t xml:space="preserve">. Information contained on our website is not incorporated by reference into this Report and you should not consider information contained on our website to be part of this Report. We file periodic reports, proxy statements and other information with the SEC and make such reports available on our website free of charge as soon as reasonably practicable. In addition, the SEC maintains an Internet website at </w:t>
      </w:r>
      <w:r>
        <w:rPr>
          <w:rFonts w:ascii="Times New Roman" w:cs="Times New Roman" w:eastAsia="Times New Roman" w:hAnsi="Times New Roman"/>
          <w:sz w:val="13"/>
          <w:szCs w:val="13"/>
          <w:i w:val="1"/>
          <w:iCs w:val="1"/>
          <w:u w:val="single" w:color="auto"/>
          <w:color w:val="auto"/>
        </w:rPr>
        <w:t>www.sec.gov</w:t>
      </w:r>
      <w:r>
        <w:rPr>
          <w:rFonts w:ascii="Times New Roman" w:cs="Times New Roman" w:eastAsia="Times New Roman" w:hAnsi="Times New Roman"/>
          <w:sz w:val="13"/>
          <w:szCs w:val="13"/>
          <w:color w:val="auto"/>
        </w:rPr>
        <w:t xml:space="preserve"> that contains material that we file with the SEC on the Electronic Data Gathering, Analysis and Retrieval, or EDGAR, Database.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Portfolio</w:t>
      </w:r>
    </w:p>
    <w:p>
      <w:pPr>
        <w:spacing w:after="0" w:line="131" w:lineRule="exact"/>
        <w:rPr>
          <w:sz w:val="20"/>
          <w:szCs w:val="20"/>
          <w:color w:val="auto"/>
        </w:rPr>
      </w:pPr>
    </w:p>
    <w:p>
      <w:pPr>
        <w:ind w:firstLine="420"/>
        <w:spacing w:after="0" w:line="268" w:lineRule="auto"/>
        <w:rPr>
          <w:sz w:val="20"/>
          <w:szCs w:val="20"/>
          <w:color w:val="auto"/>
        </w:rPr>
      </w:pPr>
      <w:r>
        <w:rPr>
          <w:rFonts w:ascii="Times New Roman" w:cs="Times New Roman" w:eastAsia="Times New Roman" w:hAnsi="Times New Roman"/>
          <w:sz w:val="13"/>
          <w:szCs w:val="13"/>
          <w:color w:val="auto"/>
        </w:rPr>
        <w:t>Our principal investment focus is to provide first lien secured debt, second lien secured debt and subordinated debt to U.S. middle -market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Aerospace and Defense</w:t>
            </w:r>
          </w:p>
        </w:tc>
        <w:tc>
          <w:tcPr>
            <w:tcW w:w="11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Energy and Utilities</w:t>
            </w:r>
          </w:p>
        </w:tc>
      </w:tr>
      <w:tr>
        <w:trPr>
          <w:trHeight w:val="15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Auto Sector</w:t>
            </w:r>
          </w:p>
        </w:tc>
        <w:tc>
          <w:tcPr>
            <w:tcW w:w="11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Environmental Services</w:t>
            </w:r>
          </w:p>
        </w:tc>
      </w:tr>
      <w:tr>
        <w:trPr>
          <w:trHeight w:val="15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Beverage, Food and Tobacco</w:t>
            </w:r>
          </w:p>
        </w:tc>
        <w:tc>
          <w:tcPr>
            <w:tcW w:w="11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Financial Services</w:t>
            </w:r>
          </w:p>
        </w:tc>
      </w:tr>
      <w:tr>
        <w:trPr>
          <w:trHeight w:val="15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Broadcasting and Entertainment</w:t>
            </w:r>
          </w:p>
        </w:tc>
        <w:tc>
          <w:tcPr>
            <w:tcW w:w="11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Grocery</w:t>
            </w:r>
          </w:p>
        </w:tc>
      </w:tr>
      <w:tr>
        <w:trPr>
          <w:trHeight w:val="15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Buildings and Real Estate</w:t>
            </w:r>
          </w:p>
        </w:tc>
        <w:tc>
          <w:tcPr>
            <w:tcW w:w="11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Healthcare, Education and Childcare</w:t>
            </w:r>
          </w:p>
        </w:tc>
      </w:tr>
      <w:tr>
        <w:trPr>
          <w:trHeight w:val="15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Building Materials</w:t>
            </w:r>
          </w:p>
        </w:tc>
        <w:tc>
          <w:tcPr>
            <w:tcW w:w="11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High Tech Industries</w:t>
            </w:r>
          </w:p>
        </w:tc>
      </w:tr>
      <w:tr>
        <w:trPr>
          <w:trHeight w:val="15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Business Services</w:t>
            </w:r>
          </w:p>
        </w:tc>
        <w:tc>
          <w:tcPr>
            <w:tcW w:w="11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Home &amp; Office Furnishings, Housewares &amp; Durable Consumer Products</w:t>
            </w:r>
          </w:p>
        </w:tc>
      </w:tr>
      <w:tr>
        <w:trPr>
          <w:trHeight w:val="15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Cable Television</w:t>
            </w:r>
          </w:p>
        </w:tc>
        <w:tc>
          <w:tcPr>
            <w:tcW w:w="11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Hotels, Motels, Inns and Gaming</w:t>
            </w:r>
          </w:p>
        </w:tc>
      </w:tr>
      <w:tr>
        <w:trPr>
          <w:trHeight w:val="15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Capital Equipment</w:t>
            </w:r>
          </w:p>
        </w:tc>
        <w:tc>
          <w:tcPr>
            <w:tcW w:w="11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Insurance</w:t>
            </w:r>
          </w:p>
        </w:tc>
      </w:tr>
      <w:tr>
        <w:trPr>
          <w:trHeight w:val="15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Cargo Transportation</w:t>
            </w:r>
          </w:p>
        </w:tc>
        <w:tc>
          <w:tcPr>
            <w:tcW w:w="11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Leisure, Amusement, Motion Picture, Entertainment</w:t>
            </w:r>
          </w:p>
        </w:tc>
      </w:tr>
      <w:tr>
        <w:trPr>
          <w:trHeight w:val="15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Chemicals, Plastics and Rubber</w:t>
            </w:r>
          </w:p>
        </w:tc>
        <w:tc>
          <w:tcPr>
            <w:tcW w:w="11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Logistics</w:t>
            </w:r>
          </w:p>
        </w:tc>
      </w:tr>
      <w:tr>
        <w:trPr>
          <w:trHeight w:val="15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Communications</w:t>
            </w:r>
          </w:p>
        </w:tc>
        <w:tc>
          <w:tcPr>
            <w:tcW w:w="11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Manufacturing/Basic Industries</w:t>
            </w:r>
          </w:p>
        </w:tc>
      </w:tr>
      <w:tr>
        <w:trPr>
          <w:trHeight w:val="15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Consumer Products</w:t>
            </w:r>
          </w:p>
        </w:tc>
        <w:tc>
          <w:tcPr>
            <w:tcW w:w="11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Media</w:t>
            </w:r>
          </w:p>
        </w:tc>
      </w:tr>
      <w:tr>
        <w:trPr>
          <w:trHeight w:val="15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Consumer Services</w:t>
            </w:r>
          </w:p>
        </w:tc>
        <w:tc>
          <w:tcPr>
            <w:tcW w:w="11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Mining, Steel, Iron and Non-Precious Metals</w:t>
            </w:r>
          </w:p>
        </w:tc>
      </w:tr>
      <w:tr>
        <w:trPr>
          <w:trHeight w:val="15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Containers Packaging &amp; Glass</w:t>
            </w:r>
          </w:p>
        </w:tc>
        <w:tc>
          <w:tcPr>
            <w:tcW w:w="11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Oil and Gas</w:t>
            </w:r>
          </w:p>
        </w:tc>
      </w:tr>
      <w:tr>
        <w:trPr>
          <w:trHeight w:val="15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Distribution</w:t>
            </w:r>
          </w:p>
        </w:tc>
        <w:tc>
          <w:tcPr>
            <w:tcW w:w="11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Media</w:t>
            </w:r>
          </w:p>
        </w:tc>
      </w:tr>
      <w:tr>
        <w:trPr>
          <w:trHeight w:val="15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Diversified/Conglomerate Manufacturing</w:t>
            </w:r>
          </w:p>
        </w:tc>
        <w:tc>
          <w:tcPr>
            <w:tcW w:w="11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Personal, Food and Miscellaneous Services</w:t>
            </w:r>
          </w:p>
        </w:tc>
      </w:tr>
      <w:tr>
        <w:trPr>
          <w:trHeight w:val="15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Diversified/Conglomerate Services</w:t>
            </w:r>
          </w:p>
        </w:tc>
        <w:tc>
          <w:tcPr>
            <w:tcW w:w="11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Printing and Publishing</w:t>
            </w:r>
          </w:p>
        </w:tc>
      </w:tr>
      <w:tr>
        <w:trPr>
          <w:trHeight w:val="15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Diversified Natural Resources, Precious Metals and Minerals</w:t>
            </w:r>
          </w:p>
        </w:tc>
        <w:tc>
          <w:tcPr>
            <w:tcW w:w="11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Retail</w:t>
            </w:r>
          </w:p>
        </w:tc>
      </w:tr>
      <w:tr>
        <w:trPr>
          <w:trHeight w:val="170"/>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Education</w:t>
            </w:r>
          </w:p>
        </w:tc>
        <w:tc>
          <w:tcPr>
            <w:tcW w:w="11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Wholesale</w:t>
            </w:r>
          </w:p>
        </w:tc>
      </w:tr>
    </w:tbl>
    <w:p>
      <w:pPr>
        <w:ind w:left="300" w:hanging="282"/>
        <w:spacing w:after="0"/>
        <w:tabs>
          <w:tab w:leader="none" w:pos="30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Electronics</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74" w:right="680" w:bottom="1440" w:gutter="0" w:footer="0" w:header="0"/>
        </w:sectPr>
      </w:pPr>
    </w:p>
    <w:bookmarkStart w:id="10" w:name="page11"/>
    <w:bookmarkEnd w:id="10"/>
    <w:p>
      <w:pPr>
        <w:ind w:left="420"/>
        <w:spacing w:after="0"/>
        <w:rPr>
          <w:sz w:val="20"/>
          <w:szCs w:val="20"/>
          <w:color w:val="auto"/>
        </w:rPr>
      </w:pPr>
      <w:r>
        <w:rPr>
          <w:rFonts w:ascii="Times New Roman" w:cs="Times New Roman" w:eastAsia="Times New Roman" w:hAnsi="Times New Roman"/>
          <w:sz w:val="13"/>
          <w:szCs w:val="13"/>
          <w:color w:val="auto"/>
        </w:rPr>
        <w:t>Listed below are our top ten portfolio companies and industries represented as a percentage of our consolidated portfolio assets as of September 30: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980" w:type="dxa"/>
            <w:vAlign w:val="bottom"/>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6"/>
                <w:szCs w:val="16"/>
                <w:b w:val="1"/>
                <w:bCs w:val="1"/>
                <w:color w:val="auto"/>
                <w:vertAlign w:val="superscript"/>
              </w:rPr>
              <w:t>(1)</w:t>
            </w:r>
          </w:p>
        </w:tc>
        <w:tc>
          <w:tcPr>
            <w:tcW w:w="34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80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 xml:space="preserve">2023 </w:t>
            </w:r>
            <w:r>
              <w:rPr>
                <w:rFonts w:ascii="Times New Roman" w:cs="Times New Roman" w:eastAsia="Times New Roman" w:hAnsi="Times New Roman"/>
                <w:sz w:val="16"/>
                <w:szCs w:val="16"/>
                <w:b w:val="1"/>
                <w:bCs w:val="1"/>
                <w:color w:val="auto"/>
                <w:vertAlign w:val="superscript"/>
              </w:rPr>
              <w:t>(1)</w:t>
            </w:r>
          </w:p>
        </w:tc>
        <w:tc>
          <w:tcPr>
            <w:tcW w:w="40" w:type="dxa"/>
            <w:vAlign w:val="bottom"/>
          </w:tcPr>
          <w:p>
            <w:pPr>
              <w:spacing w:after="0"/>
              <w:rPr>
                <w:sz w:val="16"/>
                <w:szCs w:val="16"/>
                <w:color w:val="auto"/>
              </w:rPr>
            </w:pPr>
          </w:p>
        </w:tc>
      </w:tr>
      <w:tr>
        <w:trPr>
          <w:trHeight w:val="168"/>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JF Acquisition</w:t>
            </w:r>
          </w:p>
        </w:tc>
        <w:tc>
          <w:tcPr>
            <w:tcW w:w="19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9 %</w:t>
            </w:r>
          </w:p>
        </w:tc>
        <w:tc>
          <w:tcPr>
            <w:tcW w:w="3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AKW Holdings Limited</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6 %</w:t>
            </w:r>
          </w:p>
        </w:tc>
      </w:tr>
      <w:tr>
        <w:trPr>
          <w:trHeight w:val="156"/>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AKW Holdings Limited</w:t>
            </w:r>
          </w:p>
        </w:tc>
        <w:tc>
          <w:tcPr>
            <w:tcW w:w="198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6 %</w:t>
            </w:r>
          </w:p>
        </w:tc>
        <w:tc>
          <w:tcPr>
            <w:tcW w:w="34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Cartessa Aesthetics, LLC</w:t>
            </w:r>
          </w:p>
        </w:tc>
        <w:tc>
          <w:tcPr>
            <w:tcW w:w="1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40" w:type="dxa"/>
            <w:vAlign w:val="bottom"/>
          </w:tcPr>
          <w:p>
            <w:pPr>
              <w:spacing w:after="0"/>
              <w:rPr>
                <w:sz w:val="13"/>
                <w:szCs w:val="13"/>
                <w:color w:val="auto"/>
              </w:rPr>
            </w:pPr>
          </w:p>
        </w:tc>
      </w:tr>
      <w:tr>
        <w:trPr>
          <w:trHeight w:val="156"/>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Flock Financial, LLC</w:t>
            </w:r>
          </w:p>
        </w:tc>
        <w:tc>
          <w:tcPr>
            <w:tcW w:w="19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5 %</w:t>
            </w:r>
          </w:p>
        </w:tc>
        <w:tc>
          <w:tcPr>
            <w:tcW w:w="3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Pragmatic Institute, LLC</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40" w:type="dxa"/>
            <w:vAlign w:val="bottom"/>
          </w:tcPr>
          <w:p>
            <w:pPr>
              <w:spacing w:after="0"/>
              <w:rPr>
                <w:sz w:val="13"/>
                <w:szCs w:val="13"/>
                <w:color w:val="auto"/>
              </w:rPr>
            </w:pPr>
          </w:p>
        </w:tc>
      </w:tr>
      <w:tr>
        <w:trPr>
          <w:trHeight w:val="156"/>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Cartessa Aesthetics, LLC</w:t>
            </w:r>
          </w:p>
        </w:tc>
        <w:tc>
          <w:tcPr>
            <w:tcW w:w="198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3 %</w:t>
            </w:r>
          </w:p>
        </w:tc>
        <w:tc>
          <w:tcPr>
            <w:tcW w:w="34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Sigma Defense Systems, LLC</w:t>
            </w:r>
          </w:p>
        </w:tc>
        <w:tc>
          <w:tcPr>
            <w:tcW w:w="1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40" w:type="dxa"/>
            <w:vAlign w:val="bottom"/>
          </w:tcPr>
          <w:p>
            <w:pPr>
              <w:spacing w:after="0"/>
              <w:rPr>
                <w:sz w:val="13"/>
                <w:szCs w:val="13"/>
                <w:color w:val="auto"/>
              </w:rPr>
            </w:pPr>
          </w:p>
        </w:tc>
      </w:tr>
      <w:tr>
        <w:trPr>
          <w:trHeight w:val="156"/>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Halo Buyer, Inc.</w:t>
            </w:r>
          </w:p>
        </w:tc>
        <w:tc>
          <w:tcPr>
            <w:tcW w:w="19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3 %</w:t>
            </w:r>
          </w:p>
        </w:tc>
        <w:tc>
          <w:tcPr>
            <w:tcW w:w="3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Flock Financial, LLC</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40" w:type="dxa"/>
            <w:vAlign w:val="bottom"/>
          </w:tcPr>
          <w:p>
            <w:pPr>
              <w:spacing w:after="0"/>
              <w:rPr>
                <w:sz w:val="13"/>
                <w:szCs w:val="13"/>
                <w:color w:val="auto"/>
              </w:rPr>
            </w:pPr>
          </w:p>
        </w:tc>
      </w:tr>
      <w:tr>
        <w:trPr>
          <w:trHeight w:val="156"/>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Cascade Environmental LLC</w:t>
            </w:r>
          </w:p>
        </w:tc>
        <w:tc>
          <w:tcPr>
            <w:tcW w:w="198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3 %</w:t>
            </w:r>
          </w:p>
        </w:tc>
        <w:tc>
          <w:tcPr>
            <w:tcW w:w="34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Cascade Environmental LLC</w:t>
            </w:r>
          </w:p>
        </w:tc>
        <w:tc>
          <w:tcPr>
            <w:tcW w:w="1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40" w:type="dxa"/>
            <w:vAlign w:val="bottom"/>
          </w:tcPr>
          <w:p>
            <w:pPr>
              <w:spacing w:after="0"/>
              <w:rPr>
                <w:sz w:val="13"/>
                <w:szCs w:val="13"/>
                <w:color w:val="auto"/>
              </w:rPr>
            </w:pPr>
          </w:p>
        </w:tc>
      </w:tr>
      <w:tr>
        <w:trPr>
          <w:trHeight w:val="156"/>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Sigma Defense Systems, LLC</w:t>
            </w:r>
          </w:p>
        </w:tc>
        <w:tc>
          <w:tcPr>
            <w:tcW w:w="19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3 %</w:t>
            </w:r>
          </w:p>
        </w:tc>
        <w:tc>
          <w:tcPr>
            <w:tcW w:w="3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Halo Buyer, Inc.</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40" w:type="dxa"/>
            <w:vAlign w:val="bottom"/>
          </w:tcPr>
          <w:p>
            <w:pPr>
              <w:spacing w:after="0"/>
              <w:rPr>
                <w:sz w:val="13"/>
                <w:szCs w:val="13"/>
                <w:color w:val="auto"/>
              </w:rPr>
            </w:pPr>
          </w:p>
        </w:tc>
      </w:tr>
      <w:tr>
        <w:trPr>
          <w:trHeight w:val="156"/>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Pragmatic Institute, LLC</w:t>
            </w:r>
          </w:p>
        </w:tc>
        <w:tc>
          <w:tcPr>
            <w:tcW w:w="198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2 %</w:t>
            </w:r>
          </w:p>
        </w:tc>
        <w:tc>
          <w:tcPr>
            <w:tcW w:w="34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Exigo Intermediate II, LLC</w:t>
            </w:r>
          </w:p>
        </w:tc>
        <w:tc>
          <w:tcPr>
            <w:tcW w:w="1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40" w:type="dxa"/>
            <w:vAlign w:val="bottom"/>
          </w:tcPr>
          <w:p>
            <w:pPr>
              <w:spacing w:after="0"/>
              <w:rPr>
                <w:sz w:val="13"/>
                <w:szCs w:val="13"/>
                <w:color w:val="auto"/>
              </w:rPr>
            </w:pPr>
          </w:p>
        </w:tc>
      </w:tr>
      <w:tr>
        <w:trPr>
          <w:trHeight w:val="156"/>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Express Wash Acquisition Company, LLC</w:t>
            </w:r>
          </w:p>
        </w:tc>
        <w:tc>
          <w:tcPr>
            <w:tcW w:w="19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2 %</w:t>
            </w:r>
          </w:p>
        </w:tc>
        <w:tc>
          <w:tcPr>
            <w:tcW w:w="3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MDI Buyer, Inc.</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40" w:type="dxa"/>
            <w:vAlign w:val="bottom"/>
          </w:tcPr>
          <w:p>
            <w:pPr>
              <w:spacing w:after="0"/>
              <w:rPr>
                <w:sz w:val="13"/>
                <w:szCs w:val="13"/>
                <w:color w:val="auto"/>
              </w:rPr>
            </w:pPr>
          </w:p>
        </w:tc>
      </w:tr>
      <w:tr>
        <w:trPr>
          <w:trHeight w:val="156"/>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Exigo Intermediate II, LLC</w:t>
            </w:r>
          </w:p>
        </w:tc>
        <w:tc>
          <w:tcPr>
            <w:tcW w:w="198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2 %</w:t>
            </w:r>
          </w:p>
        </w:tc>
        <w:tc>
          <w:tcPr>
            <w:tcW w:w="34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Express Wash Acquisition Company, LLC</w:t>
            </w:r>
          </w:p>
        </w:tc>
        <w:tc>
          <w:tcPr>
            <w:tcW w:w="1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40" w:type="dxa"/>
            <w:vAlign w:val="bottom"/>
          </w:tcPr>
          <w:p>
            <w:pPr>
              <w:spacing w:after="0"/>
              <w:rPr>
                <w:sz w:val="13"/>
                <w:szCs w:val="13"/>
                <w:color w:val="auto"/>
              </w:rPr>
            </w:pPr>
          </w:p>
        </w:tc>
      </w:tr>
      <w:tr>
        <w:trPr>
          <w:trHeight w:val="481"/>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1980" w:type="dxa"/>
            <w:vAlign w:val="bottom"/>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6"/>
                <w:szCs w:val="16"/>
                <w:b w:val="1"/>
                <w:bCs w:val="1"/>
                <w:color w:val="auto"/>
                <w:vertAlign w:val="superscript"/>
              </w:rPr>
              <w:t>(1)</w:t>
            </w:r>
          </w:p>
        </w:tc>
        <w:tc>
          <w:tcPr>
            <w:tcW w:w="34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180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 xml:space="preserve">2023 </w:t>
            </w:r>
            <w:r>
              <w:rPr>
                <w:rFonts w:ascii="Times New Roman" w:cs="Times New Roman" w:eastAsia="Times New Roman" w:hAnsi="Times New Roman"/>
                <w:sz w:val="16"/>
                <w:szCs w:val="16"/>
                <w:b w:val="1"/>
                <w:bCs w:val="1"/>
                <w:color w:val="auto"/>
                <w:vertAlign w:val="superscript"/>
              </w:rPr>
              <w:t>(1)</w:t>
            </w:r>
          </w:p>
        </w:tc>
        <w:tc>
          <w:tcPr>
            <w:tcW w:w="40" w:type="dxa"/>
            <w:vAlign w:val="bottom"/>
          </w:tcPr>
          <w:p>
            <w:pPr>
              <w:spacing w:after="0"/>
              <w:rPr>
                <w:sz w:val="24"/>
                <w:szCs w:val="24"/>
                <w:color w:val="auto"/>
              </w:rPr>
            </w:pPr>
          </w:p>
        </w:tc>
      </w:tr>
      <w:tr>
        <w:trPr>
          <w:trHeight w:val="168"/>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Business Services</w:t>
            </w:r>
          </w:p>
        </w:tc>
        <w:tc>
          <w:tcPr>
            <w:tcW w:w="19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18 %</w:t>
            </w:r>
          </w:p>
        </w:tc>
        <w:tc>
          <w:tcPr>
            <w:tcW w:w="3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Business Services</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18 %</w:t>
            </w:r>
          </w:p>
        </w:tc>
      </w:tr>
      <w:tr>
        <w:trPr>
          <w:trHeight w:val="156"/>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Distribution</w:t>
            </w:r>
          </w:p>
        </w:tc>
        <w:tc>
          <w:tcPr>
            <w:tcW w:w="1980" w:type="dxa"/>
            <w:vAlign w:val="bottom"/>
            <w:shd w:val="clear" w:color="auto" w:fill="CCECFF"/>
          </w:tcPr>
          <w:p>
            <w:pPr>
              <w:jc w:val="right"/>
              <w:ind w:right="174"/>
              <w:spacing w:after="0"/>
              <w:rPr>
                <w:sz w:val="20"/>
                <w:szCs w:val="20"/>
                <w:color w:val="auto"/>
              </w:rPr>
            </w:pPr>
            <w:r>
              <w:rPr>
                <w:rFonts w:ascii="Times New Roman" w:cs="Times New Roman" w:eastAsia="Times New Roman" w:hAnsi="Times New Roman"/>
                <w:sz w:val="13"/>
                <w:szCs w:val="13"/>
                <w:color w:val="auto"/>
              </w:rPr>
              <w:t>16</w:t>
            </w:r>
          </w:p>
        </w:tc>
        <w:tc>
          <w:tcPr>
            <w:tcW w:w="34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Healthcare, Education and Childcare</w:t>
            </w:r>
          </w:p>
        </w:tc>
        <w:tc>
          <w:tcPr>
            <w:tcW w:w="180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14</w:t>
            </w:r>
          </w:p>
        </w:tc>
        <w:tc>
          <w:tcPr>
            <w:tcW w:w="40" w:type="dxa"/>
            <w:vAlign w:val="bottom"/>
          </w:tcPr>
          <w:p>
            <w:pPr>
              <w:spacing w:after="0"/>
              <w:rPr>
                <w:sz w:val="13"/>
                <w:szCs w:val="13"/>
                <w:color w:val="auto"/>
              </w:rPr>
            </w:pPr>
          </w:p>
        </w:tc>
      </w:tr>
      <w:tr>
        <w:trPr>
          <w:trHeight w:val="156"/>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Healthcare, Education and Childcare</w:t>
            </w:r>
          </w:p>
        </w:tc>
        <w:tc>
          <w:tcPr>
            <w:tcW w:w="19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12</w:t>
            </w:r>
          </w:p>
        </w:tc>
        <w:tc>
          <w:tcPr>
            <w:tcW w:w="3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Consumer Products</w:t>
            </w:r>
          </w:p>
        </w:tc>
        <w:tc>
          <w:tcPr>
            <w:tcW w:w="18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w:t>
            </w:r>
          </w:p>
        </w:tc>
        <w:tc>
          <w:tcPr>
            <w:tcW w:w="40" w:type="dxa"/>
            <w:vAlign w:val="bottom"/>
          </w:tcPr>
          <w:p>
            <w:pPr>
              <w:spacing w:after="0"/>
              <w:rPr>
                <w:sz w:val="13"/>
                <w:szCs w:val="13"/>
                <w:color w:val="auto"/>
              </w:rPr>
            </w:pPr>
          </w:p>
        </w:tc>
      </w:tr>
      <w:tr>
        <w:trPr>
          <w:trHeight w:val="156"/>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Consumer Products</w:t>
            </w:r>
          </w:p>
        </w:tc>
        <w:tc>
          <w:tcPr>
            <w:tcW w:w="1980" w:type="dxa"/>
            <w:vAlign w:val="bottom"/>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rPr>
              <w:t>9</w:t>
            </w:r>
          </w:p>
        </w:tc>
        <w:tc>
          <w:tcPr>
            <w:tcW w:w="34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Distribution</w:t>
            </w:r>
          </w:p>
        </w:tc>
        <w:tc>
          <w:tcPr>
            <w:tcW w:w="180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8</w:t>
            </w:r>
          </w:p>
        </w:tc>
        <w:tc>
          <w:tcPr>
            <w:tcW w:w="40" w:type="dxa"/>
            <w:vAlign w:val="bottom"/>
          </w:tcPr>
          <w:p>
            <w:pPr>
              <w:spacing w:after="0"/>
              <w:rPr>
                <w:sz w:val="13"/>
                <w:szCs w:val="13"/>
                <w:color w:val="auto"/>
              </w:rPr>
            </w:pPr>
          </w:p>
        </w:tc>
      </w:tr>
      <w:tr>
        <w:trPr>
          <w:trHeight w:val="156"/>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Financial Services</w:t>
            </w:r>
          </w:p>
        </w:tc>
        <w:tc>
          <w:tcPr>
            <w:tcW w:w="198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7</w:t>
            </w:r>
          </w:p>
        </w:tc>
        <w:tc>
          <w:tcPr>
            <w:tcW w:w="3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Financial Services</w:t>
            </w:r>
          </w:p>
        </w:tc>
        <w:tc>
          <w:tcPr>
            <w:tcW w:w="18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w:t>
            </w:r>
          </w:p>
        </w:tc>
        <w:tc>
          <w:tcPr>
            <w:tcW w:w="40" w:type="dxa"/>
            <w:vAlign w:val="bottom"/>
          </w:tcPr>
          <w:p>
            <w:pPr>
              <w:spacing w:after="0"/>
              <w:rPr>
                <w:sz w:val="13"/>
                <w:szCs w:val="13"/>
                <w:color w:val="auto"/>
              </w:rPr>
            </w:pPr>
          </w:p>
        </w:tc>
      </w:tr>
      <w:tr>
        <w:trPr>
          <w:trHeight w:val="156"/>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Aerospace and Defense</w:t>
            </w:r>
          </w:p>
        </w:tc>
        <w:tc>
          <w:tcPr>
            <w:tcW w:w="1980" w:type="dxa"/>
            <w:vAlign w:val="bottom"/>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rPr>
              <w:t>5</w:t>
            </w:r>
          </w:p>
        </w:tc>
        <w:tc>
          <w:tcPr>
            <w:tcW w:w="34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Telecommunications</w:t>
            </w:r>
          </w:p>
        </w:tc>
        <w:tc>
          <w:tcPr>
            <w:tcW w:w="180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6</w:t>
            </w:r>
          </w:p>
        </w:tc>
        <w:tc>
          <w:tcPr>
            <w:tcW w:w="40" w:type="dxa"/>
            <w:vAlign w:val="bottom"/>
          </w:tcPr>
          <w:p>
            <w:pPr>
              <w:spacing w:after="0"/>
              <w:rPr>
                <w:sz w:val="13"/>
                <w:szCs w:val="13"/>
                <w:color w:val="auto"/>
              </w:rPr>
            </w:pPr>
          </w:p>
        </w:tc>
      </w:tr>
      <w:tr>
        <w:trPr>
          <w:trHeight w:val="156"/>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Environmental Services</w:t>
            </w:r>
          </w:p>
        </w:tc>
        <w:tc>
          <w:tcPr>
            <w:tcW w:w="198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4</w:t>
            </w:r>
          </w:p>
        </w:tc>
        <w:tc>
          <w:tcPr>
            <w:tcW w:w="3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Aerospace and Defense</w:t>
            </w:r>
          </w:p>
        </w:tc>
        <w:tc>
          <w:tcPr>
            <w:tcW w:w="18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w:t>
            </w:r>
          </w:p>
        </w:tc>
        <w:tc>
          <w:tcPr>
            <w:tcW w:w="40" w:type="dxa"/>
            <w:vAlign w:val="bottom"/>
          </w:tcPr>
          <w:p>
            <w:pPr>
              <w:spacing w:after="0"/>
              <w:rPr>
                <w:sz w:val="13"/>
                <w:szCs w:val="13"/>
                <w:color w:val="auto"/>
              </w:rPr>
            </w:pPr>
          </w:p>
        </w:tc>
      </w:tr>
      <w:tr>
        <w:trPr>
          <w:trHeight w:val="156"/>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Auto Sector</w:t>
            </w:r>
          </w:p>
        </w:tc>
        <w:tc>
          <w:tcPr>
            <w:tcW w:w="1980" w:type="dxa"/>
            <w:vAlign w:val="bottom"/>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rPr>
              <w:t>4</w:t>
            </w:r>
          </w:p>
        </w:tc>
        <w:tc>
          <w:tcPr>
            <w:tcW w:w="34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Media</w:t>
            </w:r>
          </w:p>
        </w:tc>
        <w:tc>
          <w:tcPr>
            <w:tcW w:w="180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5</w:t>
            </w:r>
          </w:p>
        </w:tc>
        <w:tc>
          <w:tcPr>
            <w:tcW w:w="40" w:type="dxa"/>
            <w:vAlign w:val="bottom"/>
          </w:tcPr>
          <w:p>
            <w:pPr>
              <w:spacing w:after="0"/>
              <w:rPr>
                <w:sz w:val="13"/>
                <w:szCs w:val="13"/>
                <w:color w:val="auto"/>
              </w:rPr>
            </w:pPr>
          </w:p>
        </w:tc>
      </w:tr>
      <w:tr>
        <w:trPr>
          <w:trHeight w:val="156"/>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Telecommunications</w:t>
            </w:r>
          </w:p>
        </w:tc>
        <w:tc>
          <w:tcPr>
            <w:tcW w:w="198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3</w:t>
            </w:r>
          </w:p>
        </w:tc>
        <w:tc>
          <w:tcPr>
            <w:tcW w:w="3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Chemicals, Plastics and Rubber</w:t>
            </w:r>
          </w:p>
        </w:tc>
        <w:tc>
          <w:tcPr>
            <w:tcW w:w="18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w:t>
            </w:r>
          </w:p>
        </w:tc>
        <w:tc>
          <w:tcPr>
            <w:tcW w:w="40" w:type="dxa"/>
            <w:vAlign w:val="bottom"/>
          </w:tcPr>
          <w:p>
            <w:pPr>
              <w:spacing w:after="0"/>
              <w:rPr>
                <w:sz w:val="13"/>
                <w:szCs w:val="13"/>
                <w:color w:val="auto"/>
              </w:rPr>
            </w:pPr>
          </w:p>
        </w:tc>
      </w:tr>
      <w:tr>
        <w:trPr>
          <w:trHeight w:val="156"/>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Media</w:t>
            </w:r>
          </w:p>
        </w:tc>
        <w:tc>
          <w:tcPr>
            <w:tcW w:w="1980" w:type="dxa"/>
            <w:vAlign w:val="bottom"/>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rPr>
              <w:t>3</w:t>
            </w:r>
          </w:p>
        </w:tc>
        <w:tc>
          <w:tcPr>
            <w:tcW w:w="34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Auto Sector</w:t>
            </w:r>
          </w:p>
        </w:tc>
        <w:tc>
          <w:tcPr>
            <w:tcW w:w="180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4</w:t>
            </w:r>
          </w:p>
        </w:tc>
        <w:tc>
          <w:tcPr>
            <w:tcW w:w="40" w:type="dxa"/>
            <w:vAlign w:val="bottom"/>
          </w:tcPr>
          <w:p>
            <w:pPr>
              <w:spacing w:after="0"/>
              <w:rPr>
                <w:sz w:val="13"/>
                <w:szCs w:val="13"/>
                <w:color w:val="auto"/>
              </w:rPr>
            </w:pPr>
          </w:p>
        </w:tc>
      </w:tr>
    </w:tbl>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1"/>
          <w:szCs w:val="11"/>
          <w:color w:val="auto"/>
        </w:rPr>
        <w:t>Excludes investments in PSLF, U.S. Government Securities, and cash and cash equivalents.</w:t>
      </w:r>
    </w:p>
    <w:p>
      <w:pPr>
        <w:spacing w:after="0" w:line="107" w:lineRule="exact"/>
        <w:rPr>
          <w:sz w:val="20"/>
          <w:szCs w:val="20"/>
          <w:color w:val="auto"/>
        </w:rPr>
      </w:pPr>
    </w:p>
    <w:p>
      <w:pPr>
        <w:ind w:right="40" w:firstLine="420"/>
        <w:spacing w:after="0" w:line="254" w:lineRule="auto"/>
        <w:rPr>
          <w:sz w:val="20"/>
          <w:szCs w:val="20"/>
          <w:color w:val="auto"/>
        </w:rPr>
      </w:pPr>
      <w:r>
        <w:rPr>
          <w:rFonts w:ascii="Times New Roman" w:cs="Times New Roman" w:eastAsia="Times New Roman" w:hAnsi="Times New Roman"/>
          <w:sz w:val="13"/>
          <w:szCs w:val="13"/>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certain of the current senior investment professionals of the Investment Adviser and Administrator, serve as officers and directors of PennantPark Floating Rate Capital Ltd.,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The Investment Adviser will allocate investment opportunities in a fair and equitable manner consistent with our allocation policy, and we have received exemptive relief with respect to certain co-investment transactions. Where co-investment is unavailable or inappropriate, the Investment Adviser will choose which investment fund should receive the allocation. See “Risk Factors— Risks Relating to our Business and Structure—There are significant potential conflicts of interest which could impact our investment returns” for more information.</w:t>
      </w:r>
    </w:p>
    <w:p>
      <w:pPr>
        <w:spacing w:after="0" w:line="101" w:lineRule="exact"/>
        <w:rPr>
          <w:sz w:val="20"/>
          <w:szCs w:val="20"/>
          <w:color w:val="auto"/>
        </w:rPr>
      </w:pPr>
    </w:p>
    <w:p>
      <w:pPr>
        <w:ind w:right="140" w:firstLine="420"/>
        <w:spacing w:after="0" w:line="268" w:lineRule="auto"/>
        <w:rPr>
          <w:sz w:val="20"/>
          <w:szCs w:val="20"/>
          <w:color w:val="auto"/>
        </w:rPr>
      </w:pPr>
      <w:r>
        <w:rPr>
          <w:rFonts w:ascii="Times New Roman" w:cs="Times New Roman" w:eastAsia="Times New Roman" w:hAnsi="Times New Roman"/>
          <w:sz w:val="13"/>
          <w:szCs w:val="13"/>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our trade allocation procedures and, if applicable, the terms of our exemptive relief.</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 Management Agreement</w:t>
      </w:r>
    </w:p>
    <w:p>
      <w:pPr>
        <w:spacing w:after="0" w:line="131"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3"/>
          <w:szCs w:val="13"/>
          <w:color w:val="auto"/>
        </w:rPr>
        <w:t>We have entered into an agreement with the Investment Adviser, or the Investment Management Agreement, under which the Investment Adviser, subject to the overall supervision of our board of directors, manages the day -to-day operations of, and provides investment advisory services to, us. Mr. Penn, our Chairman and Chief Executive Officer, is the managing member and a senior investment professional of, and has a financial and controlling interest in, PennantPark Investment Advisers. PennantPark Investment, through the Investment Adviser, has provided similar services to SBIC II under its respective investment management agreement. Such investment management agreement does not affect the management or incentive fees that we pay to the Investment Adviser on a consolidated basis. Under the terms of our Investment Management Agreement, the Investment Adviser:</w:t>
      </w:r>
    </w:p>
    <w:p>
      <w:pPr>
        <w:spacing w:after="0" w:line="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•determines the composition of our portfolio, the nature and timing of the changes to our portfolio and the manner of implementing such changes;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•identifies, evaluates and negotiates the structure of the investments we make (including performing due diligence on our prospective portfolio companies);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•closes and monitors the investments we make; and</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•provides us with such other investment advisory, research and related services, as we may need from time to time.</w:t>
      </w:r>
    </w:p>
    <w:p>
      <w:pPr>
        <w:spacing w:after="0" w:line="127" w:lineRule="exact"/>
        <w:rPr>
          <w:sz w:val="20"/>
          <w:szCs w:val="20"/>
          <w:color w:val="auto"/>
        </w:rPr>
      </w:pPr>
    </w:p>
    <w:p>
      <w:pPr>
        <w:ind w:right="200" w:firstLine="420"/>
        <w:spacing w:after="0" w:line="262" w:lineRule="auto"/>
        <w:rPr>
          <w:sz w:val="20"/>
          <w:szCs w:val="20"/>
          <w:color w:val="auto"/>
        </w:rPr>
      </w:pPr>
      <w:r>
        <w:rPr>
          <w:rFonts w:ascii="Times New Roman" w:cs="Times New Roman" w:eastAsia="Times New Roman" w:hAnsi="Times New Roman"/>
          <w:sz w:val="13"/>
          <w:szCs w:val="13"/>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us, consisting of two components—a base management fee and an incentive fee or, collectively, Management Fees.</w:t>
      </w:r>
    </w:p>
    <w:p>
      <w:pPr>
        <w:spacing w:after="0" w:line="1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158" w:right="6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3"/>
          <w:szCs w:val="13"/>
          <w:b w:val="1"/>
          <w:bCs w:val="1"/>
          <w:i w:val="1"/>
          <w:iCs w:val="1"/>
          <w:color w:val="auto"/>
        </w:rPr>
        <w:t>Management Fees</w:t>
      </w:r>
    </w:p>
    <w:p>
      <w:pPr>
        <w:spacing w:after="0" w:line="131" w:lineRule="exact"/>
        <w:rPr>
          <w:sz w:val="20"/>
          <w:szCs w:val="20"/>
          <w:color w:val="auto"/>
        </w:rPr>
      </w:pPr>
    </w:p>
    <w:p>
      <w:pPr>
        <w:ind w:firstLine="420"/>
        <w:spacing w:after="0" w:line="254" w:lineRule="auto"/>
        <w:rPr>
          <w:sz w:val="20"/>
          <w:szCs w:val="20"/>
          <w:color w:val="auto"/>
        </w:rPr>
      </w:pPr>
      <w:r>
        <w:rPr>
          <w:rFonts w:ascii="Times New Roman" w:cs="Times New Roman" w:eastAsia="Times New Roman" w:hAnsi="Times New Roman"/>
          <w:sz w:val="13"/>
          <w:szCs w:val="13"/>
          <w:color w:val="auto"/>
        </w:rPr>
        <w:t>Effective January 1, 2018, the base management fee is calculated at an annual rate of 1.50%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In addition, on November 13, 2018, in connection with our board of directors’ approval of the application of the modified asset coverage requirement under the 1940 Act to the Company, our board of directors also approved an amendment to the Investment Advisory Agreement reducing the Investment Adviser’s annual base management fee from 1.50% to 1.00% on gross assets that exceed 200% of the Company’s total net assets as of the immediately preceding quarter-end. This amendment became effective on February 5, 2019 with the amendment and restatement of the Investment Management Agreement on April 12, 2019.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periods prior to January 1, 2018, the base management fee was calculated at an annual rate of 2.00% of our “average adjusted gross assets”. For the years ended September 30, 2024, 2023, and 2022, the Investment Adviser earned base management fees of $16.7 million, $16.5 million and $19.8 million, respectively, from us.</w:t>
      </w:r>
    </w:p>
    <w:p>
      <w:pPr>
        <w:spacing w:after="0" w:line="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following is a hypothetical example of the calculation of average adjusted gross assets:</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Gross assets as of December 31, 20XX = $160 million</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U.S. Treasury bills and temporary draws on credit facilities as of December 31, 20XX = $10 million</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Adjusted gross assets as of December 31, 20XX = $150 million</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Gross assets as of March 31, 20XX = $200 million</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U.S. Treasury bills and temporary draws on credit facilities as of March 31, 20XX = $20 million</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Adjusted gross assets as of March 31, 20XX = $180 million</w:t>
      </w:r>
    </w:p>
    <w:p>
      <w:pPr>
        <w:spacing w:after="0" w:line="127" w:lineRule="exact"/>
        <w:rPr>
          <w:sz w:val="20"/>
          <w:szCs w:val="20"/>
          <w:color w:val="auto"/>
        </w:rPr>
      </w:pPr>
    </w:p>
    <w:p>
      <w:pPr>
        <w:ind w:right="160" w:firstLine="420"/>
        <w:spacing w:after="0" w:line="286" w:lineRule="auto"/>
        <w:rPr>
          <w:sz w:val="20"/>
          <w:szCs w:val="20"/>
          <w:color w:val="auto"/>
        </w:rPr>
      </w:pPr>
      <w:r>
        <w:rPr>
          <w:rFonts w:ascii="Times New Roman" w:cs="Times New Roman" w:eastAsia="Times New Roman" w:hAnsi="Times New Roman"/>
          <w:sz w:val="13"/>
          <w:szCs w:val="13"/>
          <w:color w:val="auto"/>
        </w:rPr>
        <w:t>Average value of adjusted gross assets as of March 31, 20XX and December 31, 20XX, which are the two immediately preceding calendar quarters, and appropriately adjusted for any share issuances or repurchases during the current calendar quarter equals ($150 million + $180 million) / 2 = $165 million.</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incentive fee has two parts, as follows:</w:t>
      </w:r>
    </w:p>
    <w:p>
      <w:pPr>
        <w:spacing w:after="0" w:line="163" w:lineRule="exact"/>
        <w:rPr>
          <w:sz w:val="20"/>
          <w:szCs w:val="20"/>
          <w:color w:val="auto"/>
        </w:rPr>
      </w:pPr>
    </w:p>
    <w:p>
      <w:pPr>
        <w:ind w:right="40" w:firstLine="420"/>
        <w:spacing w:after="0" w:line="252" w:lineRule="auto"/>
        <w:rPr>
          <w:sz w:val="20"/>
          <w:szCs w:val="20"/>
          <w:color w:val="auto"/>
        </w:rPr>
      </w:pPr>
      <w:r>
        <w:rPr>
          <w:rFonts w:ascii="Times New Roman" w:cs="Times New Roman" w:eastAsia="Times New Roman" w:hAnsi="Times New Roman"/>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(as defined below), and any interest expense or amendment fees under any credit facilities and distribution paid on any issued and outstanding preferred stock, but excluding the incentive fee). Pre-Incentive Fee Net Investment Income includes, in the case of investments with a deferred interest feature (such as original issue discount, or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Effective January 1, 2018,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 Incentive Fee Net Investment Income with respect to that portion of such Pre- 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 For periods prior to January 1, 2018, we paid the Investment Adviser an incentive fee with respect to our Pre -Incentive Fee Net Investment Income in each calendar quarter as follows: (1) no incentive fee in any calendar quarter in which our Pre-Incentive Fee Net Investment Income did not exceed the hurdle rate of 1.75%, (2) 100% of our Pre-Incentive Fee Net Investment Income with respect to that portion of such Pre-Incentive Fee Net Investment Income, if any, that exceeded the hurdle rate but was less than 2.1875% in any calendar quarter (8.75% annualized), and (3) 20% of the amount of our Pre- Incentive Fee Net Investment Income, if any, that exceeded 2.1875% in any calendar quarter. For the years ended September 30, 2024, 2023 and 2022, the Investment Adviser earned $12.7 million, $13.9 million, and $2.7 million, respectively, in incentive fees on net investment income from us.</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following is a graphical representation of the calculation of quarterly incentive fee based on Pre-Incentive Fee Net Investment Income: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i w:val="1"/>
          <w:iCs w:val="1"/>
          <w:color w:val="auto"/>
        </w:rPr>
        <w:t>Pre-Incentive Fee Net Investment Income</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2252345</wp:posOffset>
            </wp:positionH>
            <wp:positionV relativeFrom="paragraph">
              <wp:posOffset>101600</wp:posOffset>
            </wp:positionV>
            <wp:extent cx="2218055" cy="4419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18055" cy="44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i w:val="1"/>
          <w:iCs w:val="1"/>
          <w:color w:val="auto"/>
        </w:rPr>
        <w:t>Percentage of Pre-Incentive Fee Net Investment Income</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i w:val="1"/>
          <w:iCs w:val="1"/>
          <w:color w:val="auto"/>
        </w:rPr>
        <w:t>allocated to income-related portion of incentive fee</w:t>
      </w:r>
    </w:p>
    <w:p>
      <w:pPr>
        <w:spacing w:after="0" w:line="149"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The second part of the incentive fee is determined and payable in arrears as of the end of each calendar year (or upon termination of the Investment Management Agreement, as of the termination date) and, effective January 1, 2018, equals 17.5% of our realized capital gains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the years ended September 30, 2024, 2023 and 2022, the Investment Adviser did not accrue an incentive fee on capital gains as calculated under the Investment Management Agreement (as described above).</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74" w:right="680" w:bottom="1440" w:gutter="0" w:footer="0" w:header="0"/>
        </w:sectPr>
      </w:pPr>
    </w:p>
    <w:bookmarkStart w:id="12" w:name="page13"/>
    <w:bookmarkEnd w:id="12"/>
    <w:p>
      <w:pPr>
        <w:ind w:firstLine="420"/>
        <w:spacing w:after="0" w:line="255" w:lineRule="auto"/>
        <w:rPr>
          <w:sz w:val="20"/>
          <w:szCs w:val="20"/>
          <w:color w:val="auto"/>
        </w:rPr>
      </w:pPr>
      <w:r>
        <w:rPr>
          <w:rFonts w:ascii="Times New Roman" w:cs="Times New Roman" w:eastAsia="Times New Roman" w:hAnsi="Times New Roman"/>
          <w:sz w:val="13"/>
          <w:szCs w:val="13"/>
          <w:color w:val="auto"/>
        </w:rPr>
        <w:t>Under U.S. generally accepted accounting principles, or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(20.0% for periods prior to January 1, 2018), less the aggregate amount of actual capital gains related to incentive fees paid in all prior years. If such amount is negative, then there is no accrual for such year. There can be no assurance that such unrealized capital appreciation will be realized in the future. For the years ended September 30, 2024, 2023 and 2022, the Investment Adviser did not accrue an incentive fee on capital gains as calculated under GAAP.</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Examples of Quarterly Incentive Fee Calculation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Example 1: Income Related Portion of Incentive Fee (*):</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Alternative 1:</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i w:val="1"/>
          <w:iCs w:val="1"/>
          <w:color w:val="auto"/>
        </w:rPr>
        <w:t>Assumptions</w:t>
      </w:r>
    </w:p>
    <w:p>
      <w:pPr>
        <w:spacing w:after="0" w:line="1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Investment income (including interest, dividends, fees, etc.) = 1.25%</w:t>
      </w:r>
    </w:p>
    <w:p>
      <w:pPr>
        <w:spacing w:after="0" w:line="1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 xml:space="preserve">Hurdle </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 xml:space="preserve"> = 1.75%</w:t>
      </w:r>
    </w:p>
    <w:p>
      <w:pPr>
        <w:spacing w:after="0" w:line="1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 xml:space="preserve">Base management fee </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 0.375%</w:t>
      </w:r>
    </w:p>
    <w:p>
      <w:pPr>
        <w:spacing w:after="0" w:line="10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Other expenses (legal, accounting, custodian, transfer agent, etc.) = 0.20%</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Pre-Incentive Fee Net Investment Income</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(investment income—(base management fee + other expenses)) = 0.675%</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Pre-Incentive Fee Net Investment Income does not exceed the hurdle; therefore, there is no incentive fee.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Alternative 2:</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i w:val="1"/>
          <w:iCs w:val="1"/>
          <w:color w:val="auto"/>
        </w:rPr>
        <w:t>Assumptions</w:t>
      </w:r>
    </w:p>
    <w:p>
      <w:pPr>
        <w:spacing w:after="0" w:line="1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Investment income (including interest, dividends, fees, etc.) = 2.70%</w:t>
      </w:r>
    </w:p>
    <w:p>
      <w:pPr>
        <w:spacing w:after="0" w:line="1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 xml:space="preserve">Hurdle </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 xml:space="preserve"> = 1.75%</w:t>
      </w:r>
    </w:p>
    <w:p>
      <w:pPr>
        <w:spacing w:after="0" w:line="1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 xml:space="preserve">Base management fee </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 0.375%</w:t>
      </w:r>
    </w:p>
    <w:p>
      <w:pPr>
        <w:spacing w:after="0" w:line="10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Other expenses (legal, accounting, custodian, transfer agent, etc.) = 0.20%</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Pre-Incentive Fee Net Investment Income</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(investment income—(base management fee + other expenses)) = 2.125%</w:t>
      </w:r>
    </w:p>
    <w:p>
      <w:pPr>
        <w:spacing w:after="0" w:line="187" w:lineRule="exact"/>
        <w:rPr>
          <w:sz w:val="20"/>
          <w:szCs w:val="20"/>
          <w:color w:val="auto"/>
        </w:rPr>
      </w:pPr>
    </w:p>
    <w:p>
      <w:pPr>
        <w:ind w:left="1080"/>
        <w:spacing w:after="0"/>
        <w:tabs>
          <w:tab w:leader="none" w:pos="2380" w:val="left"/>
        </w:tabs>
        <w:rPr>
          <w:sz w:val="20"/>
          <w:szCs w:val="20"/>
          <w:color w:val="auto"/>
        </w:rPr>
      </w:pPr>
      <w:r>
        <w:rPr>
          <w:rFonts w:ascii="Times New Roman" w:cs="Times New Roman" w:eastAsia="Times New Roman" w:hAnsi="Times New Roman"/>
          <w:sz w:val="13"/>
          <w:szCs w:val="13"/>
          <w:color w:val="auto"/>
        </w:rPr>
        <w:t>Incentive fee</w:t>
      </w:r>
      <w:r>
        <w:rPr>
          <w:sz w:val="20"/>
          <w:szCs w:val="20"/>
          <w:color w:val="auto"/>
        </w:rPr>
        <w:tab/>
      </w:r>
      <w:r>
        <w:rPr>
          <w:rFonts w:ascii="Times New Roman" w:cs="Times New Roman" w:eastAsia="Times New Roman" w:hAnsi="Times New Roman"/>
          <w:sz w:val="13"/>
          <w:szCs w:val="13"/>
          <w:color w:val="auto"/>
        </w:rPr>
        <w:t>= 17.5% x Pre-Incentive Fee Net Investment Income, subject to “catch-up”</w:t>
      </w:r>
    </w:p>
    <w:p>
      <w:pPr>
        <w:spacing w:after="0" w:line="21" w:lineRule="exact"/>
        <w:rPr>
          <w:sz w:val="20"/>
          <w:szCs w:val="20"/>
          <w:color w:val="auto"/>
        </w:rPr>
      </w:pPr>
    </w:p>
    <w:p>
      <w:pPr>
        <w:ind w:left="2520" w:hanging="113"/>
        <w:spacing w:after="0"/>
        <w:tabs>
          <w:tab w:leader="none" w:pos="25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2.125% - 1.75%</w:t>
      </w:r>
    </w:p>
    <w:p>
      <w:pPr>
        <w:spacing w:after="0" w:line="6" w:lineRule="exact"/>
        <w:rPr>
          <w:rFonts w:ascii="Times New Roman" w:cs="Times New Roman" w:eastAsia="Times New Roman" w:hAnsi="Times New Roman"/>
          <w:sz w:val="13"/>
          <w:szCs w:val="13"/>
          <w:color w:val="auto"/>
        </w:rPr>
      </w:pPr>
    </w:p>
    <w:p>
      <w:pPr>
        <w:ind w:left="2520" w:hanging="113"/>
        <w:spacing w:after="0"/>
        <w:tabs>
          <w:tab w:leader="none" w:pos="25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0.375%</w:t>
      </w:r>
    </w:p>
    <w:p>
      <w:pPr>
        <w:spacing w:after="0" w:line="6" w:lineRule="exact"/>
        <w:rPr>
          <w:rFonts w:ascii="Times New Roman" w:cs="Times New Roman" w:eastAsia="Times New Roman" w:hAnsi="Times New Roman"/>
          <w:sz w:val="13"/>
          <w:szCs w:val="13"/>
          <w:color w:val="auto"/>
        </w:rPr>
      </w:pPr>
    </w:p>
    <w:p>
      <w:pPr>
        <w:ind w:left="2520" w:hanging="113"/>
        <w:spacing w:after="0"/>
        <w:tabs>
          <w:tab w:leader="none" w:pos="25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100% x 0.375%</w:t>
      </w:r>
    </w:p>
    <w:p>
      <w:pPr>
        <w:spacing w:after="0" w:line="6" w:lineRule="exact"/>
        <w:rPr>
          <w:rFonts w:ascii="Times New Roman" w:cs="Times New Roman" w:eastAsia="Times New Roman" w:hAnsi="Times New Roman"/>
          <w:sz w:val="13"/>
          <w:szCs w:val="13"/>
          <w:color w:val="auto"/>
        </w:rPr>
      </w:pPr>
    </w:p>
    <w:p>
      <w:pPr>
        <w:ind w:left="2520" w:hanging="113"/>
        <w:spacing w:after="0"/>
        <w:tabs>
          <w:tab w:leader="none" w:pos="25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0.375%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Alternative 3:</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i w:val="1"/>
          <w:iCs w:val="1"/>
          <w:color w:val="auto"/>
        </w:rPr>
        <w:t>Assumptions</w:t>
      </w:r>
    </w:p>
    <w:p>
      <w:pPr>
        <w:spacing w:after="0" w:line="1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Investment income (including interest, dividends, fees, etc.) = 3.00%</w:t>
      </w:r>
    </w:p>
    <w:p>
      <w:pPr>
        <w:spacing w:after="0" w:line="1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 xml:space="preserve">Hurdle </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 xml:space="preserve"> = 1.75%</w:t>
      </w:r>
    </w:p>
    <w:p>
      <w:pPr>
        <w:spacing w:after="0" w:line="1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 xml:space="preserve">Base management fee </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 0.375%</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158" w:right="720" w:bottom="1440" w:gutter="0" w:footer="0" w:header="0"/>
        </w:sectPr>
      </w:pPr>
    </w:p>
    <w:bookmarkStart w:id="13" w:name="page14"/>
    <w:bookmarkEnd w:id="13"/>
    <w:p>
      <w:pPr>
        <w:ind w:left="140"/>
        <w:spacing w:after="0"/>
        <w:rPr>
          <w:sz w:val="20"/>
          <w:szCs w:val="20"/>
          <w:color w:val="auto"/>
        </w:rPr>
      </w:pPr>
      <w:r>
        <w:rPr>
          <w:rFonts w:ascii="Times New Roman" w:cs="Times New Roman" w:eastAsia="Times New Roman" w:hAnsi="Times New Roman"/>
          <w:sz w:val="13"/>
          <w:szCs w:val="13"/>
          <w:color w:val="auto"/>
        </w:rPr>
        <w:t>Other expenses (legal, accounting, custodian, transfer agent, etc.) = 0.20%</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Pre-Incentive Fee Net Investment Income</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(investment income—(base management fee + other expenses)) = 2.425%</w:t>
      </w:r>
    </w:p>
    <w:p>
      <w:pPr>
        <w:sectPr>
          <w:pgSz w:w="11900" w:h="16840" w:orient="portrait"/>
          <w:cols w:equalWidth="0" w:num="1">
            <w:col w:w="10520"/>
          </w:cols>
          <w:pgMar w:left="660" w:top="1278" w:right="720" w:bottom="1440" w:gutter="0" w:footer="0" w:header="0"/>
        </w:sectPr>
      </w:pPr>
    </w:p>
    <w:p>
      <w:pPr>
        <w:spacing w:after="0" w:line="18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Incentive fee</w:t>
      </w:r>
    </w:p>
    <w:p>
      <w:pPr>
        <w:spacing w:after="0" w:line="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Incentive fee</w:t>
      </w:r>
    </w:p>
    <w:p>
      <w:pPr>
        <w:spacing w:after="0" w:line="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Catch-up</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 17.5% x Pre-Incentive Fee Net Investment Income, subject to “catch-up” </w:t>
      </w:r>
      <w:r>
        <w:rPr>
          <w:rFonts w:ascii="Times New Roman" w:cs="Times New Roman" w:eastAsia="Times New Roman" w:hAnsi="Times New Roman"/>
          <w:sz w:val="8"/>
          <w:szCs w:val="8"/>
          <w:color w:val="auto"/>
        </w:rPr>
        <w:t>(3)</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100% x “catch-up” + (17.5% x (Pre-Incentive Fee Net Investment Income - 2.1212%))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2.1212% - 1.75%</w:t>
      </w:r>
    </w:p>
    <w:p>
      <w:pPr>
        <w:spacing w:after="0" w:line="8" w:lineRule="exact"/>
        <w:rPr>
          <w:sz w:val="20"/>
          <w:szCs w:val="20"/>
          <w:color w:val="auto"/>
        </w:rPr>
      </w:pPr>
    </w:p>
    <w:p>
      <w:pPr>
        <w:sectPr>
          <w:pgSz w:w="11900" w:h="16840" w:orient="portrait"/>
          <w:cols w:equalWidth="0" w:num="2">
            <w:col w:w="1760" w:space="640"/>
            <w:col w:w="8120"/>
          </w:cols>
          <w:pgMar w:left="660" w:top="1278" w:right="720" w:bottom="1440" w:gutter="0" w:footer="0" w:header="0"/>
          <w:type w:val="continuous"/>
        </w:sectPr>
      </w:pPr>
    </w:p>
    <w:p>
      <w:pPr>
        <w:ind w:left="2520" w:hanging="113"/>
        <w:spacing w:after="0"/>
        <w:tabs>
          <w:tab w:leader="none" w:pos="252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0.3712%</w:t>
      </w:r>
    </w:p>
    <w:p>
      <w:pPr>
        <w:spacing w:after="0" w:line="4" w:lineRule="exact"/>
        <w:rPr>
          <w:rFonts w:ascii="Times New Roman" w:cs="Times New Roman" w:eastAsia="Times New Roman" w:hAnsi="Times New Roman"/>
          <w:sz w:val="13"/>
          <w:szCs w:val="13"/>
          <w:color w:val="auto"/>
        </w:rPr>
      </w:pPr>
    </w:p>
    <w:p>
      <w:pPr>
        <w:ind w:left="2520" w:hanging="113"/>
        <w:spacing w:after="0"/>
        <w:tabs>
          <w:tab w:leader="none" w:pos="252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(100% x 0.3712%) + (17.5% x (2.425% - 2.1212%))</w:t>
      </w:r>
    </w:p>
    <w:p>
      <w:pPr>
        <w:spacing w:after="0" w:line="6" w:lineRule="exact"/>
        <w:rPr>
          <w:rFonts w:ascii="Times New Roman" w:cs="Times New Roman" w:eastAsia="Times New Roman" w:hAnsi="Times New Roman"/>
          <w:sz w:val="13"/>
          <w:szCs w:val="13"/>
          <w:color w:val="auto"/>
        </w:rPr>
      </w:pPr>
    </w:p>
    <w:p>
      <w:pPr>
        <w:ind w:left="2520" w:hanging="113"/>
        <w:spacing w:after="0"/>
        <w:tabs>
          <w:tab w:leader="none" w:pos="252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0.3712% + (17.5% x 0.3038%)</w:t>
      </w:r>
    </w:p>
    <w:p>
      <w:pPr>
        <w:spacing w:after="0" w:line="6" w:lineRule="exact"/>
        <w:rPr>
          <w:rFonts w:ascii="Times New Roman" w:cs="Times New Roman" w:eastAsia="Times New Roman" w:hAnsi="Times New Roman"/>
          <w:sz w:val="13"/>
          <w:szCs w:val="13"/>
          <w:color w:val="auto"/>
        </w:rPr>
      </w:pPr>
    </w:p>
    <w:p>
      <w:pPr>
        <w:ind w:left="2520" w:hanging="113"/>
        <w:spacing w:after="0"/>
        <w:tabs>
          <w:tab w:leader="none" w:pos="252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0.3712% + 0.053165%</w:t>
      </w:r>
    </w:p>
    <w:p>
      <w:pPr>
        <w:spacing w:after="0" w:line="6" w:lineRule="exact"/>
        <w:rPr>
          <w:rFonts w:ascii="Times New Roman" w:cs="Times New Roman" w:eastAsia="Times New Roman" w:hAnsi="Times New Roman"/>
          <w:sz w:val="13"/>
          <w:szCs w:val="13"/>
          <w:color w:val="auto"/>
        </w:rPr>
      </w:pPr>
    </w:p>
    <w:p>
      <w:pPr>
        <w:ind w:left="2520" w:hanging="113"/>
        <w:spacing w:after="0"/>
        <w:tabs>
          <w:tab w:leader="none" w:pos="252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0.424365%</w:t>
      </w:r>
    </w:p>
    <w:p>
      <w:pPr>
        <w:spacing w:after="0" w:line="161"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3"/>
          <w:szCs w:val="13"/>
          <w:color w:val="auto"/>
        </w:rPr>
        <w:t xml:space="preserve"> The hypothetical amount of Pre-Incentive Fee Net Investment Income shown is based on a percentage of total net assets.</w:t>
      </w:r>
    </w:p>
    <w:p>
      <w:pPr>
        <w:spacing w:after="0" w:line="35" w:lineRule="exact"/>
        <w:rPr>
          <w:rFonts w:ascii="Times New Roman" w:cs="Times New Roman" w:eastAsia="Times New Roman" w:hAnsi="Times New Roman"/>
          <w:sz w:val="13"/>
          <w:szCs w:val="13"/>
          <w:color w:val="auto"/>
        </w:rPr>
      </w:pPr>
    </w:p>
    <w:p>
      <w:pPr>
        <w:spacing w:after="0" w:line="210" w:lineRule="auto"/>
        <w:rPr>
          <w:rFonts w:ascii="Times New Roman" w:cs="Times New Roman" w:eastAsia="Times New Roman" w:hAnsi="Times New Roman"/>
          <w:sz w:val="13"/>
          <w:szCs w:val="13"/>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Represents 7.0% annualized hurdle.</w:t>
      </w:r>
    </w:p>
    <w:p>
      <w:pPr>
        <w:spacing w:after="0" w:line="18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0"/>
          <w:szCs w:val="10"/>
          <w:color w:val="auto"/>
        </w:rPr>
        <w:t>Represents 1.5% annualized base management fee.</w:t>
      </w:r>
    </w:p>
    <w:p>
      <w:pPr>
        <w:spacing w:after="0" w:line="1" w:lineRule="exact"/>
        <w:rPr>
          <w:sz w:val="20"/>
          <w:szCs w:val="20"/>
          <w:color w:val="auto"/>
        </w:rPr>
      </w:pPr>
    </w:p>
    <w:p>
      <w:pPr>
        <w:spacing w:after="0" w:line="206" w:lineRule="auto"/>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3"/>
          <w:szCs w:val="13"/>
          <w:color w:val="auto"/>
        </w:rPr>
        <w:t>The “catch-up” provision is intended to provide the Investment Adviser with an incentive fee of 17.5% on all of our Pre-Incentive Fee Net Investment Income as if a hurdle rate did not apply when our net investment income exceeds 2.1212% in any calendar quarter.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Example 2: Capital Gains Portion of Incentive Fee:</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i w:val="1"/>
          <w:iCs w:val="1"/>
          <w:color w:val="auto"/>
        </w:rPr>
        <w:t>Assumptions</w:t>
      </w:r>
    </w:p>
    <w:p>
      <w:pPr>
        <w:spacing w:after="0" w:line="1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Year 1 = no net realized capital gains or losses</w:t>
      </w:r>
    </w:p>
    <w:p>
      <w:pPr>
        <w:spacing w:after="0" w:line="127" w:lineRule="exact"/>
        <w:rPr>
          <w:sz w:val="20"/>
          <w:szCs w:val="20"/>
          <w:color w:val="auto"/>
        </w:rPr>
      </w:pPr>
    </w:p>
    <w:p>
      <w:pPr>
        <w:ind w:left="140" w:right="420"/>
        <w:spacing w:after="0" w:line="286" w:lineRule="auto"/>
        <w:rPr>
          <w:sz w:val="20"/>
          <w:szCs w:val="20"/>
          <w:color w:val="auto"/>
        </w:rPr>
      </w:pPr>
      <w:r>
        <w:rPr>
          <w:rFonts w:ascii="Times New Roman" w:cs="Times New Roman" w:eastAsia="Times New Roman" w:hAnsi="Times New Roman"/>
          <w:sz w:val="13"/>
          <w:szCs w:val="13"/>
          <w:color w:val="auto"/>
        </w:rPr>
        <w:t>Year 2 = 6% realized capital gains and 1% realized capital losses and unrealized capital depreciation, capital gain incentive fee = 17.5% x (realized capital gains for year computed net of all realized capital losses and unrealized capital depreciation at year end)</w:t>
      </w:r>
    </w:p>
    <w:p>
      <w:pPr>
        <w:sectPr>
          <w:pgSz w:w="11900" w:h="16840" w:orient="portrait"/>
          <w:cols w:equalWidth="0" w:num="1">
            <w:col w:w="10520"/>
          </w:cols>
          <w:pgMar w:left="660" w:top="1278" w:right="720" w:bottom="1440" w:gutter="0" w:footer="0" w:header="0"/>
          <w:type w:val="continuous"/>
        </w:sectPr>
      </w:pPr>
    </w:p>
    <w:p>
      <w:pPr>
        <w:spacing w:after="0" w:line="13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Year 1 incentive fee</w:t>
      </w:r>
    </w:p>
    <w:p>
      <w:pPr>
        <w:spacing w:after="0" w:line="31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Year 2 incentive fee</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17.5% x (0)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no incentive fee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17.5% x (6% - 1%)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17.5% x 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0.875%</w:t>
      </w:r>
    </w:p>
    <w:p>
      <w:pPr>
        <w:spacing w:after="0" w:line="145" w:lineRule="exact"/>
        <w:rPr>
          <w:sz w:val="20"/>
          <w:szCs w:val="20"/>
          <w:color w:val="auto"/>
        </w:rPr>
      </w:pPr>
    </w:p>
    <w:p>
      <w:pPr>
        <w:sectPr>
          <w:pgSz w:w="11900" w:h="16840" w:orient="portrait"/>
          <w:cols w:equalWidth="0" w:num="2">
            <w:col w:w="2140" w:space="300"/>
            <w:col w:w="8080"/>
          </w:cols>
          <w:pgMar w:left="660" w:top="1278" w:right="720"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Organization of the Investment Adviser</w:t>
      </w:r>
    </w:p>
    <w:p>
      <w:pPr>
        <w:spacing w:after="0" w:line="131" w:lineRule="exact"/>
        <w:rPr>
          <w:sz w:val="20"/>
          <w:szCs w:val="20"/>
          <w:color w:val="auto"/>
        </w:rPr>
      </w:pPr>
    </w:p>
    <w:p>
      <w:pPr>
        <w:ind w:right="640" w:firstLine="420"/>
        <w:spacing w:after="0" w:line="286" w:lineRule="auto"/>
        <w:rPr>
          <w:sz w:val="20"/>
          <w:szCs w:val="20"/>
          <w:color w:val="auto"/>
        </w:rPr>
      </w:pPr>
      <w:r>
        <w:rPr>
          <w:rFonts w:ascii="Times New Roman" w:cs="Times New Roman" w:eastAsia="Times New Roman" w:hAnsi="Times New Roman"/>
          <w:sz w:val="13"/>
          <w:szCs w:val="13"/>
          <w:color w:val="auto"/>
        </w:rPr>
        <w:t>PennantPark Investment Advisers is a registered investment adviser under the Investment Advisers Act of 1940, as amended, or the Advisers Act. The principal executive office of PennantPark Investment Advisers is located at 1691 Michigan Ave, Miami Beach, Florida 33139.</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Duration and Termination of Investment Management Agreement</w:t>
      </w:r>
    </w:p>
    <w:p>
      <w:pPr>
        <w:spacing w:after="0" w:line="167" w:lineRule="exact"/>
        <w:rPr>
          <w:sz w:val="20"/>
          <w:szCs w:val="20"/>
          <w:color w:val="auto"/>
        </w:rPr>
      </w:pPr>
    </w:p>
    <w:p>
      <w:pPr>
        <w:ind w:firstLine="420"/>
        <w:spacing w:after="0" w:line="254" w:lineRule="auto"/>
        <w:rPr>
          <w:sz w:val="20"/>
          <w:szCs w:val="20"/>
          <w:color w:val="auto"/>
        </w:rPr>
      </w:pPr>
      <w:r>
        <w:rPr>
          <w:rFonts w:ascii="Times New Roman" w:cs="Times New Roman" w:eastAsia="Times New Roman" w:hAnsi="Times New Roman"/>
          <w:sz w:val="13"/>
          <w:szCs w:val="13"/>
          <w:color w:val="auto"/>
        </w:rPr>
        <w:t>The Investment Management Agreement was reapproved by our board of directors, including a majority of our directors who are not interested persons of us or the Investment Adviser in May 2024. Unless terminated earlier as described below, the Investment Management Agreement will continue in effect for a period of one year through May 2025.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the Investment Adviser’s ability to manage conflicts of interest effectively, our short and long-term performance, our costs, including as compared to comparable externally and internally managed publicly traded BDCs that engage in similar investing activities, the Investment Adviser’s profitability, any economies of scale, and any other benefits of the relationship for the Investment Adviser.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98" w:lineRule="exact"/>
        <w:rPr>
          <w:sz w:val="20"/>
          <w:szCs w:val="20"/>
          <w:color w:val="auto"/>
        </w:rPr>
      </w:pPr>
    </w:p>
    <w:p>
      <w:pPr>
        <w:ind w:right="160" w:firstLine="420"/>
        <w:spacing w:after="0" w:line="262" w:lineRule="auto"/>
        <w:rPr>
          <w:sz w:val="20"/>
          <w:szCs w:val="20"/>
          <w:color w:val="auto"/>
        </w:rPr>
      </w:pPr>
      <w:r>
        <w:rPr>
          <w:rFonts w:ascii="Times New Roman" w:cs="Times New Roman" w:eastAsia="Times New Roman" w:hAnsi="Times New Roman"/>
          <w:sz w:val="13"/>
          <w:szCs w:val="13"/>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Administration Agreement</w:t>
      </w:r>
    </w:p>
    <w:p>
      <w:pPr>
        <w:spacing w:after="0" w:line="131" w:lineRule="exact"/>
        <w:rPr>
          <w:sz w:val="20"/>
          <w:szCs w:val="20"/>
          <w:color w:val="auto"/>
        </w:rPr>
      </w:pPr>
    </w:p>
    <w:p>
      <w:pPr>
        <w:ind w:firstLine="420"/>
        <w:spacing w:after="0" w:line="254" w:lineRule="auto"/>
        <w:rPr>
          <w:sz w:val="20"/>
          <w:szCs w:val="20"/>
          <w:color w:val="auto"/>
        </w:rPr>
      </w:pPr>
      <w:r>
        <w:rPr>
          <w:rFonts w:ascii="Times New Roman" w:cs="Times New Roman" w:eastAsia="Times New Roman" w:hAnsi="Times New Roman"/>
          <w:sz w:val="13"/>
          <w:szCs w:val="13"/>
          <w:color w:val="auto"/>
        </w:rPr>
        <w:t>We have entered into an agreement, or the Administration Agreement, with the Administrator, under which the Administrator furnishes us with office facilities, equipment and clerical, bookkeeping and record keeping services. Under our Administration Agreement, the Administrator performs, or oversees the performance of, our required administrative services, which include, among other activities, being responsible for the financial records we are required to maintain and preparing reports to our stockholders and reports filed with the SEC. In addition, the Administrator assists us in determining and publishing our NAV, oversees the preparation and filing of our tax returns and generally oversees the payment of our expenses and the performance of administrative and professional services rendered to us by others. PennantPark Investment, through the Administrator, has provided similar services to SBIC II under its administration agreement with us. For providing these services, facilities and personnel, we have agreed to reimburse the Administrator for our allocable portion of overhead and other expenses incurred by the Administrator in performing its obligations under the Administration Agreement, including rent, technology systems, insurance and our allocable portion of the cost of compensation and related expenses of our Chief Compliance Officer, Chief Financial Officer, Corporate Counsel and their respective staffs. The Administrator also offers on our behalf, significant managerial assistance to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Statements of Operations. For the years ended September 30, 2024, 2023, and 2022, we recorded $1.2 million, $1.3 million and $0.5 million, respectively, including expenses the Investment Adviser incurred on behalf of the Administrator for services described above.</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278" w:right="720" w:bottom="1440" w:gutter="0" w:footer="0" w:header="0"/>
          <w:type w:val="continuous"/>
        </w:sectPr>
      </w:pPr>
    </w:p>
    <w:bookmarkStart w:id="14" w:name="page15"/>
    <w:bookmarkEnd w:id="14"/>
    <w:p>
      <w:pPr>
        <w:ind w:right="100" w:firstLine="420"/>
        <w:spacing w:after="0" w:line="262" w:lineRule="auto"/>
        <w:rPr>
          <w:sz w:val="20"/>
          <w:szCs w:val="20"/>
          <w:color w:val="auto"/>
        </w:rPr>
      </w:pPr>
      <w:r>
        <w:rPr>
          <w:rFonts w:ascii="Times New Roman" w:cs="Times New Roman" w:eastAsia="Times New Roman" w:hAnsi="Times New Roman"/>
          <w:sz w:val="13"/>
          <w:szCs w:val="13"/>
          <w:color w:val="auto"/>
        </w:rPr>
        <w:t>On July 1, 2022, the Administration Agreement with the Administrator was amended to clarify that the Administrator may be reimbursed by the Company for certain (i) tax and general legal advice and/or services provided to the Company by in-house professionals of the Administrator related to ongoing operations of the Company; and (ii) transactional legal advice and/or services provided to the Company or portfolio companies by in-house professionals of the Administrator or its affiliates on matters related to potential or actual investments and transactions, including tax structuring and/or due diligence.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Duration and Termination of Administration Agreement</w:t>
      </w:r>
    </w:p>
    <w:p>
      <w:pPr>
        <w:spacing w:after="0" w:line="131" w:lineRule="exact"/>
        <w:rPr>
          <w:sz w:val="20"/>
          <w:szCs w:val="20"/>
          <w:color w:val="auto"/>
        </w:rPr>
      </w:pPr>
    </w:p>
    <w:p>
      <w:pPr>
        <w:ind w:right="40" w:firstLine="420"/>
        <w:spacing w:after="0" w:line="259" w:lineRule="auto"/>
        <w:rPr>
          <w:sz w:val="20"/>
          <w:szCs w:val="20"/>
          <w:color w:val="auto"/>
        </w:rPr>
      </w:pPr>
      <w:r>
        <w:rPr>
          <w:rFonts w:ascii="Times New Roman" w:cs="Times New Roman" w:eastAsia="Times New Roman" w:hAnsi="Times New Roman"/>
          <w:sz w:val="13"/>
          <w:szCs w:val="13"/>
          <w:color w:val="auto"/>
        </w:rPr>
        <w:t>The Administration Agreement was reapproved by our board of directors, including a majority of our directors who are not interested persons of us, in May 2024. Unless terminated earlier as described below, our Administration Agreement will continue in effect for a period of one year through May 2025. It will remain in effect if approved annually by our board of directors, or by the affirmative vote of the holders of a majority of our outstanding voting securities, including, in either case, approval by a majority of our directors who are not interested persons of us. The Administration Agreement may not be assigned by either party without the consent of the other party. The Administration Agreement may be terminated by either party without penalty upon 60 days’ written notice to the other.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Indemnification</w:t>
      </w:r>
    </w:p>
    <w:p>
      <w:pPr>
        <w:spacing w:after="0" w:line="131" w:lineRule="exact"/>
        <w:rPr>
          <w:sz w:val="20"/>
          <w:szCs w:val="20"/>
          <w:color w:val="auto"/>
        </w:rPr>
      </w:pPr>
    </w:p>
    <w:p>
      <w:pPr>
        <w:ind w:right="100" w:firstLine="420"/>
        <w:spacing w:after="0" w:line="259" w:lineRule="auto"/>
        <w:rPr>
          <w:sz w:val="20"/>
          <w:szCs w:val="20"/>
          <w:color w:val="auto"/>
        </w:rPr>
      </w:pPr>
      <w:r>
        <w:rPr>
          <w:rFonts w:ascii="Times New Roman" w:cs="Times New Roman" w:eastAsia="Times New Roman" w:hAnsi="Times New Roman"/>
          <w:sz w:val="13"/>
          <w:szCs w:val="13"/>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managers,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License Agreement</w:t>
      </w:r>
    </w:p>
    <w:p>
      <w:pPr>
        <w:spacing w:after="0" w:line="131" w:lineRule="exact"/>
        <w:rPr>
          <w:sz w:val="20"/>
          <w:szCs w:val="20"/>
          <w:color w:val="auto"/>
        </w:rPr>
      </w:pPr>
    </w:p>
    <w:p>
      <w:pPr>
        <w:ind w:right="20" w:firstLine="420"/>
        <w:spacing w:after="0" w:line="268" w:lineRule="auto"/>
        <w:rPr>
          <w:sz w:val="20"/>
          <w:szCs w:val="20"/>
          <w:color w:val="auto"/>
        </w:rPr>
      </w:pPr>
      <w:r>
        <w:rPr>
          <w:rFonts w:ascii="Times New Roman" w:cs="Times New Roman" w:eastAsia="Times New Roman" w:hAnsi="Times New Roman"/>
          <w:sz w:val="13"/>
          <w:szCs w:val="13"/>
          <w:color w:val="auto"/>
        </w:rPr>
        <w:t>We have entered into a license agreement, or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PennantPark Senior Loan Fund, LLC</w:t>
      </w:r>
    </w:p>
    <w:p>
      <w:pPr>
        <w:spacing w:after="0" w:line="155" w:lineRule="exact"/>
        <w:rPr>
          <w:sz w:val="20"/>
          <w:szCs w:val="20"/>
          <w:color w:val="auto"/>
        </w:rPr>
      </w:pPr>
    </w:p>
    <w:p>
      <w:pPr>
        <w:jc w:val="both"/>
        <w:ind w:right="60" w:firstLine="420"/>
        <w:spacing w:after="0" w:line="259" w:lineRule="auto"/>
        <w:rPr>
          <w:sz w:val="20"/>
          <w:szCs w:val="20"/>
          <w:color w:val="auto"/>
        </w:rPr>
      </w:pPr>
      <w:r>
        <w:rPr>
          <w:rFonts w:ascii="Times New Roman" w:cs="Times New Roman" w:eastAsia="Times New Roman" w:hAnsi="Times New Roman"/>
          <w:sz w:val="13"/>
          <w:szCs w:val="13"/>
          <w:color w:val="auto"/>
        </w:rPr>
        <w:t>In July 2020, we and Pantheon formed PSLF, an unconsolidated joint venture. PSLF invests primarily in middle-market and other corporate debt securities consistent with our strategy. PSLF was formed as a Delaware limited liability company. As of September 30, 2024 and 2023 PSLF had total assets of $1,073.4 million and $872.8 million, respectively, consisting of debt investments in 102 and 90 portfolio companies, respectively. As of September 30, 2024, at fair value, the largest investment in a single portfolio company in PSLF was $25.1 million and the five largest investments totaled $109.9 million. As of September 30, 2023, at fair value, the largest investment in a single portfolio company in PSLF was $19.7 million and the five largest investments totaled $97.5 million. PSLF invests in portfolio companies in the same industries in which we may directly invest.</w:t>
      </w:r>
    </w:p>
    <w:p>
      <w:pPr>
        <w:spacing w:after="0" w:line="94"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We provide capital to PSLF in the form of subordinated notes and equity interests. As of September 30, 2024 and 2023 we and Pantheon owned 60.5% and 39.5%, respectively, of each of the outstanding subordinated notes and equity interests of PSLF. As of September 30, 2024 and 2023, our investment in PSLF consisted of subordinated notes of $115.9 million and $102.3 million and had $32.6 million and $13.6 million unfunded commitments, respectively, and equity interests of $67.4 million and $58.6 million and had $19.9 million and $8.8 million unfunded commitments, respectively.</w:t>
      </w:r>
    </w:p>
    <w:p>
      <w:pPr>
        <w:spacing w:after="0" w:line="91" w:lineRule="exact"/>
        <w:rPr>
          <w:sz w:val="20"/>
          <w:szCs w:val="20"/>
          <w:color w:val="auto"/>
        </w:rPr>
      </w:pPr>
    </w:p>
    <w:p>
      <w:pPr>
        <w:ind w:firstLine="420"/>
        <w:spacing w:after="0" w:line="256" w:lineRule="auto"/>
        <w:rPr>
          <w:sz w:val="20"/>
          <w:szCs w:val="20"/>
          <w:color w:val="auto"/>
        </w:rPr>
      </w:pPr>
      <w:r>
        <w:rPr>
          <w:rFonts w:ascii="Times New Roman" w:cs="Times New Roman" w:eastAsia="Times New Roman" w:hAnsi="Times New Roman"/>
          <w:sz w:val="13"/>
          <w:szCs w:val="13"/>
          <w:color w:val="auto"/>
        </w:rPr>
        <w:t>On August 28, 2024, PSLF and Pantheon entered into an amendment (the “Amendment”) to PSLF’s limited liability company agreement (the “LLC Agreement”). The Amendment amended the term of PSLF, which would have otherwise expired on January 31, 2025, to be indefinite, subject to the other terms of dissolution, wind down and termination in the LLC Agreement. The Amendment also modified the LLC Agreement to permit any member of PSLF (each, a “Member”) to request to redeem its interests in PSLF (in minimum tranches of 25% of the interests then-owned by such Member) at any time. Under the Amendment, PSLF is required to use commercially reasonable efforts to redeem any such Member’s interests within 18 months and, in any event, within three years from the date of such redemption request, subject to customary limitations with respect to the liquidity of PSLF and the requirement that the Company’s proportionate share or ownership of PSLF not exceed 87.5%. It is contemplated that any such redemption would be funded by either principal proceeds from repayments of investments in underlying portfolio companies of PSLF or the proceeds of any new Member’s investment into PSLF.</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b w:val="1"/>
          <w:bCs w:val="1"/>
          <w:color w:val="auto"/>
        </w:rPr>
        <w:t>REGULATION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Business Development Company, Regulated Investment Company Regulations and Small Business Investment Company Regulations</w:t>
      </w:r>
    </w:p>
    <w:p>
      <w:pPr>
        <w:spacing w:after="0" w:line="131"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its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91" w:lineRule="exact"/>
        <w:rPr>
          <w:sz w:val="20"/>
          <w:szCs w:val="20"/>
          <w:color w:val="auto"/>
        </w:rPr>
      </w:pPr>
    </w:p>
    <w:p>
      <w:pPr>
        <w:ind w:right="20" w:firstLine="420"/>
        <w:spacing w:after="0" w:line="255" w:lineRule="auto"/>
        <w:rPr>
          <w:sz w:val="20"/>
          <w:szCs w:val="20"/>
          <w:color w:val="auto"/>
        </w:rPr>
      </w:pPr>
      <w:r>
        <w:rPr>
          <w:rFonts w:ascii="Times New Roman" w:cs="Times New Roman" w:eastAsia="Times New Roman" w:hAnsi="Times New Roman"/>
          <w:sz w:val="13"/>
          <w:szCs w:val="13"/>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of 1933, as amended, or the Securities Act. We may purchase or otherwise receive warrants to purchase the common stock of our portfolio companies in connection with acquisition financing or other investments. Similarly, in connection with an acquisition, we may acquire rights to require the issuers of securities we own or their affiliates to repurchase them under certain circumstances. We do not intend to acquire securities issued by any registered investment company that exceed the limits imposed by the 1940 Act. Under these limits, we generally cannot acquire more than 3% of the voting stock of any registered investment company, invest more than 5% of the value of our total assets in the securities of one registered investment company or invest more than 10% of the value of our total assets in the securities of more than one registered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and currency fluctuations. None of these policies are fundamental and they may be changed without stockholder approval.</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Qualifying Assets</w:t>
      </w:r>
    </w:p>
    <w:p>
      <w:pPr>
        <w:spacing w:after="0" w:line="131" w:lineRule="exact"/>
        <w:rPr>
          <w:sz w:val="20"/>
          <w:szCs w:val="20"/>
          <w:color w:val="auto"/>
        </w:rPr>
      </w:pPr>
    </w:p>
    <w:p>
      <w:pPr>
        <w:ind w:right="280" w:firstLine="420"/>
        <w:spacing w:after="0" w:line="286" w:lineRule="auto"/>
        <w:rPr>
          <w:sz w:val="20"/>
          <w:szCs w:val="20"/>
          <w:color w:val="auto"/>
        </w:rPr>
      </w:pPr>
      <w:r>
        <w:rPr>
          <w:rFonts w:ascii="Times New Roman" w:cs="Times New Roman" w:eastAsia="Times New Roman" w:hAnsi="Times New Roman"/>
          <w:sz w:val="13"/>
          <w:szCs w:val="13"/>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78" w:right="680" w:bottom="1440" w:gutter="0" w:footer="0" w:header="0"/>
        </w:sectPr>
      </w:pPr>
    </w:p>
    <w:bookmarkStart w:id="15" w:name="page16"/>
    <w:bookmarkEnd w:id="15"/>
    <w:p>
      <w:pPr>
        <w:ind w:left="540" w:right="220"/>
        <w:spacing w:after="0" w:line="268" w:lineRule="auto"/>
        <w:rPr>
          <w:sz w:val="20"/>
          <w:szCs w:val="20"/>
          <w:color w:val="auto"/>
        </w:rPr>
      </w:pPr>
      <w:r>
        <w:rPr>
          <w:rFonts w:ascii="Times New Roman" w:cs="Times New Roman" w:eastAsia="Times New Roman" w:hAnsi="Times New Roman"/>
          <w:sz w:val="13"/>
          <w:szCs w:val="13"/>
          <w:color w:val="auto"/>
        </w:rPr>
        <w:t>(1)Securities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8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(a)is organized under the laws of, and has its principal place of business in, the United States;</w:t>
      </w:r>
    </w:p>
    <w:p>
      <w:pPr>
        <w:spacing w:after="0" w:line="127" w:lineRule="exact"/>
        <w:rPr>
          <w:sz w:val="20"/>
          <w:szCs w:val="20"/>
          <w:color w:val="auto"/>
        </w:rPr>
      </w:pPr>
    </w:p>
    <w:p>
      <w:pPr>
        <w:ind w:left="1080"/>
        <w:spacing w:after="0" w:line="286" w:lineRule="auto"/>
        <w:rPr>
          <w:sz w:val="20"/>
          <w:szCs w:val="20"/>
          <w:color w:val="auto"/>
        </w:rPr>
      </w:pPr>
      <w:r>
        <w:rPr>
          <w:rFonts w:ascii="Times New Roman" w:cs="Times New Roman" w:eastAsia="Times New Roman" w:hAnsi="Times New Roman"/>
          <w:sz w:val="13"/>
          <w:szCs w:val="13"/>
          <w:color w:val="auto"/>
        </w:rPr>
        <w:t>(b)is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7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(c)satisfies any of the following:</w:t>
      </w:r>
    </w:p>
    <w:p>
      <w:pPr>
        <w:spacing w:after="0" w:line="12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3"/>
          <w:szCs w:val="13"/>
          <w:color w:val="auto"/>
        </w:rPr>
        <w:t>(i)does not have any class of securities listed on a national securities exchange;</w:t>
      </w:r>
    </w:p>
    <w:p>
      <w:pPr>
        <w:spacing w:after="0" w:line="12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3"/>
          <w:szCs w:val="13"/>
          <w:color w:val="auto"/>
        </w:rPr>
        <w:t>(ii)has any class of securities listed on a national securities exchange subject to a maximum market capitalization of $250.0 million; or</w:t>
      </w:r>
    </w:p>
    <w:p>
      <w:pPr>
        <w:spacing w:after="0" w:line="127" w:lineRule="exact"/>
        <w:rPr>
          <w:sz w:val="20"/>
          <w:szCs w:val="20"/>
          <w:color w:val="auto"/>
        </w:rPr>
      </w:pPr>
    </w:p>
    <w:p>
      <w:pPr>
        <w:ind w:left="1600" w:right="100"/>
        <w:spacing w:after="0" w:line="286" w:lineRule="auto"/>
        <w:rPr>
          <w:sz w:val="20"/>
          <w:szCs w:val="20"/>
          <w:color w:val="auto"/>
        </w:rPr>
      </w:pPr>
      <w:r>
        <w:rPr>
          <w:rFonts w:ascii="Times New Roman" w:cs="Times New Roman" w:eastAsia="Times New Roman" w:hAnsi="Times New Roman"/>
          <w:sz w:val="13"/>
          <w:szCs w:val="13"/>
          <w:color w:val="auto"/>
        </w:rPr>
        <w:t>(iii)is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(2)Securities of any eligible portfolio company which we control.</w:t>
      </w:r>
    </w:p>
    <w:p>
      <w:pPr>
        <w:spacing w:after="0" w:line="127" w:lineRule="exact"/>
        <w:rPr>
          <w:sz w:val="20"/>
          <w:szCs w:val="20"/>
          <w:color w:val="auto"/>
        </w:rPr>
      </w:pPr>
    </w:p>
    <w:p>
      <w:pPr>
        <w:ind w:left="540" w:right="120"/>
        <w:spacing w:after="0" w:line="268" w:lineRule="auto"/>
        <w:rPr>
          <w:sz w:val="20"/>
          <w:szCs w:val="20"/>
          <w:color w:val="auto"/>
        </w:rPr>
      </w:pPr>
      <w:r>
        <w:rPr>
          <w:rFonts w:ascii="Times New Roman" w:cs="Times New Roman" w:eastAsia="Times New Roman" w:hAnsi="Times New Roman"/>
          <w:sz w:val="13"/>
          <w:szCs w:val="13"/>
          <w:color w:val="auto"/>
        </w:rPr>
        <w:t>(3)Securities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87" w:lineRule="exact"/>
        <w:rPr>
          <w:sz w:val="20"/>
          <w:szCs w:val="20"/>
          <w:color w:val="auto"/>
        </w:rPr>
      </w:pPr>
    </w:p>
    <w:p>
      <w:pPr>
        <w:ind w:left="540" w:right="200"/>
        <w:spacing w:after="0" w:line="286" w:lineRule="auto"/>
        <w:rPr>
          <w:sz w:val="20"/>
          <w:szCs w:val="20"/>
          <w:color w:val="auto"/>
        </w:rPr>
      </w:pPr>
      <w:r>
        <w:rPr>
          <w:rFonts w:ascii="Times New Roman" w:cs="Times New Roman" w:eastAsia="Times New Roman" w:hAnsi="Times New Roman"/>
          <w:sz w:val="13"/>
          <w:szCs w:val="13"/>
          <w:color w:val="auto"/>
        </w:rPr>
        <w:t>(4)Securities of an eligible portfolio company purchased from any person in a private transaction if there is no readily available market for such securities and we already own 60% of the outstanding equity of the eligible portfolio company.</w:t>
      </w:r>
    </w:p>
    <w:p>
      <w:pPr>
        <w:spacing w:after="0" w:line="76" w:lineRule="exact"/>
        <w:rPr>
          <w:sz w:val="20"/>
          <w:szCs w:val="20"/>
          <w:color w:val="auto"/>
        </w:rPr>
      </w:pPr>
    </w:p>
    <w:p>
      <w:pPr>
        <w:ind w:left="540" w:right="380"/>
        <w:spacing w:after="0" w:line="286" w:lineRule="auto"/>
        <w:rPr>
          <w:sz w:val="20"/>
          <w:szCs w:val="20"/>
          <w:color w:val="auto"/>
        </w:rPr>
      </w:pPr>
      <w:r>
        <w:rPr>
          <w:rFonts w:ascii="Times New Roman" w:cs="Times New Roman" w:eastAsia="Times New Roman" w:hAnsi="Times New Roman"/>
          <w:sz w:val="13"/>
          <w:szCs w:val="13"/>
          <w:color w:val="auto"/>
        </w:rPr>
        <w:t>(5)Securities received in exchange for or distributed on or with respect to securities described in (1) through (4) above, or pursuant to the exercise of warrants or rights relating to such securities.</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(6)Cash, cash equivalents, U.S. government securities or high-quality debt securities maturing in one year or less from the time of investment.</w:t>
      </w:r>
    </w:p>
    <w:p>
      <w:pPr>
        <w:spacing w:after="0" w:line="127" w:lineRule="exact"/>
        <w:rPr>
          <w:sz w:val="20"/>
          <w:szCs w:val="20"/>
          <w:color w:val="auto"/>
        </w:rPr>
      </w:pPr>
    </w:p>
    <w:p>
      <w:pPr>
        <w:ind w:right="540" w:firstLine="420"/>
        <w:spacing w:after="0" w:line="286" w:lineRule="auto"/>
        <w:rPr>
          <w:sz w:val="20"/>
          <w:szCs w:val="20"/>
          <w:color w:val="auto"/>
        </w:rPr>
      </w:pPr>
      <w:r>
        <w:rPr>
          <w:rFonts w:ascii="Times New Roman" w:cs="Times New Roman" w:eastAsia="Times New Roman" w:hAnsi="Times New Roman"/>
          <w:sz w:val="13"/>
          <w:szCs w:val="13"/>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Managerial Assistance to Portfolio Companies</w:t>
      </w:r>
    </w:p>
    <w:p>
      <w:pPr>
        <w:spacing w:after="0" w:line="131" w:lineRule="exact"/>
        <w:rPr>
          <w:sz w:val="20"/>
          <w:szCs w:val="20"/>
          <w:color w:val="auto"/>
        </w:rPr>
      </w:pPr>
    </w:p>
    <w:p>
      <w:pPr>
        <w:ind w:right="40" w:firstLine="420"/>
        <w:spacing w:after="0" w:line="259" w:lineRule="auto"/>
        <w:rPr>
          <w:sz w:val="20"/>
          <w:szCs w:val="20"/>
          <w:color w:val="auto"/>
        </w:rPr>
      </w:pPr>
      <w:r>
        <w:rPr>
          <w:rFonts w:ascii="Times New Roman" w:cs="Times New Roman" w:eastAsia="Times New Roman" w:hAnsi="Times New Roman"/>
          <w:sz w:val="13"/>
          <w:szCs w:val="13"/>
          <w:color w:val="auto"/>
        </w:rPr>
        <w:t>As a BDC, we are required to make available significant managerial assistance to our portfolio companies that constitute a qualifying asset within the meaning of Section 2(a)(47) of the 1940 Act. However, if a BDC purchases securities in conjunction with one or more other persons acting together, one of the other persons in the group may make available such significant managerial assistance. Making available significant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may provide assistance to controlled affiliates.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Temporary Investments</w:t>
      </w:r>
    </w:p>
    <w:p>
      <w:pPr>
        <w:spacing w:after="0" w:line="131" w:lineRule="exact"/>
        <w:rPr>
          <w:sz w:val="20"/>
          <w:szCs w:val="20"/>
          <w:color w:val="auto"/>
        </w:rPr>
      </w:pPr>
    </w:p>
    <w:p>
      <w:pPr>
        <w:ind w:right="60" w:firstLine="420"/>
        <w:spacing w:after="0" w:line="255" w:lineRule="auto"/>
        <w:rPr>
          <w:sz w:val="20"/>
          <w:szCs w:val="20"/>
          <w:color w:val="auto"/>
        </w:rPr>
      </w:pPr>
      <w:r>
        <w:rPr>
          <w:rFonts w:ascii="Times New Roman" w:cs="Times New Roman" w:eastAsia="Times New Roman" w:hAnsi="Times New Roman"/>
          <w:sz w:val="13"/>
          <w:szCs w:val="13"/>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below under “Regulation—Election to be Treated as a RIC,” in order to qualify as a RIC for federal income tax purposes. Thus, we do not intend to enter into repurchase agreements with a single counterparty in excess of this limit. Our Investment Adviser will monitor the creditworthiness of the counterparties with which we may enter into repurchase agreement transactions.</w:t>
      </w:r>
    </w:p>
    <w:p>
      <w:pPr>
        <w:spacing w:after="0" w:line="98" w:lineRule="exact"/>
        <w:rPr>
          <w:sz w:val="20"/>
          <w:szCs w:val="20"/>
          <w:color w:val="auto"/>
        </w:rPr>
      </w:pPr>
    </w:p>
    <w:p>
      <w:pPr>
        <w:jc w:val="both"/>
        <w:ind w:right="560" w:firstLine="420"/>
        <w:spacing w:after="0" w:line="268" w:lineRule="auto"/>
        <w:rPr>
          <w:sz w:val="20"/>
          <w:szCs w:val="20"/>
          <w:color w:val="auto"/>
        </w:rPr>
      </w:pPr>
      <w:r>
        <w:rPr>
          <w:rFonts w:ascii="Times New Roman" w:cs="Times New Roman" w:eastAsia="Times New Roman" w:hAnsi="Times New Roman"/>
          <w:sz w:val="13"/>
          <w:szCs w:val="13"/>
          <w:color w:val="auto"/>
        </w:rPr>
        <w:t>Our investment in PSLF, our unconsolidated joint venture with Pantheon, is not a qualifying asset under Section 55(a) of the 1940 Act. From time to time prior to making additional investments into PSLF, PTSF II or any future joint venture, we may increase our holdings of U.S. treasury securities, cash or cash equivalents (through borrowing or otherwise) so that such investments do not result in less than 70% of our assets being invested in qualifying assets.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Senior Securities</w:t>
      </w:r>
    </w:p>
    <w:p>
      <w:pPr>
        <w:spacing w:after="0" w:line="131" w:lineRule="exact"/>
        <w:rPr>
          <w:sz w:val="20"/>
          <w:szCs w:val="20"/>
          <w:color w:val="auto"/>
        </w:rPr>
      </w:pPr>
    </w:p>
    <w:p>
      <w:pPr>
        <w:ind w:right="80" w:firstLine="420"/>
        <w:spacing w:after="0" w:line="257" w:lineRule="auto"/>
        <w:rPr>
          <w:sz w:val="20"/>
          <w:szCs w:val="20"/>
          <w:color w:val="auto"/>
        </w:rPr>
      </w:pPr>
      <w:r>
        <w:rPr>
          <w:rFonts w:ascii="Times New Roman" w:cs="Times New Roman" w:eastAsia="Times New Roman" w:hAnsi="Times New Roman"/>
          <w:sz w:val="13"/>
          <w:szCs w:val="13"/>
          <w:color w:val="auto"/>
        </w:rPr>
        <w:t>We are permitted, under specified conditions, to issue multiple classes of indebtedness and one class of stock senior to our common stock if our asset coverage, as defined in the 1940 Act and referred to as the asset coverage ratio, is compliant with the 1940 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our asset coverage ratio. We received exemptive relief from the SEC allowing us to modify the asset coverage requirement to exclude the SBA debentures from the calculation. For a discussion of the risks associated with leverage, see “Risk Factors—Risks Relating to our Business and Structure—Regulations governing our operation as a BDC will affect our ability to, and the way in which we, raise additional capital” for more information.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Joint Code of Ethics and Code of Conduct</w:t>
      </w:r>
    </w:p>
    <w:p>
      <w:pPr>
        <w:spacing w:after="0" w:line="131"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 xml:space="preserve">We and PennantPark Investment Advisers have adopted a joint code of ethics pursuant to Rule 17j- 1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Times New Roman" w:cs="Times New Roman" w:eastAsia="Times New Roman" w:hAnsi="Times New Roman"/>
          <w:sz w:val="13"/>
          <w:szCs w:val="13"/>
          <w:i w:val="1"/>
          <w:iCs w:val="1"/>
          <w:u w:val="single" w:color="auto"/>
          <w:color w:val="auto"/>
        </w:rPr>
        <w:t>www.pennantpark.com</w:t>
      </w:r>
      <w:r>
        <w:rPr>
          <w:rFonts w:ascii="Times New Roman" w:cs="Times New Roman" w:eastAsia="Times New Roman" w:hAnsi="Times New Roman"/>
          <w:sz w:val="13"/>
          <w:szCs w:val="13"/>
          <w:color w:val="auto"/>
        </w:rPr>
        <w:t>. In addition, the joint code of ethics is attached as an exhibit to this Report and is available on the EDGAR Database on the SEC’s Internet site at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i w:val="1"/>
          <w:iCs w:val="1"/>
          <w:u w:val="single" w:color="auto"/>
          <w:color w:val="auto"/>
        </w:rPr>
        <w:t>www.sec.gov</w:t>
      </w:r>
      <w:r>
        <w:rPr>
          <w:rFonts w:ascii="Times New Roman" w:cs="Times New Roman" w:eastAsia="Times New Roman" w:hAnsi="Times New Roman"/>
          <w:sz w:val="13"/>
          <w:szCs w:val="13"/>
          <w:color w:val="auto"/>
        </w:rPr>
        <w:t>.</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78" w:right="68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3"/>
          <w:szCs w:val="13"/>
          <w:b w:val="1"/>
          <w:bCs w:val="1"/>
          <w:i w:val="1"/>
          <w:iCs w:val="1"/>
          <w:color w:val="auto"/>
        </w:rPr>
        <w:t>Proxy Voting Policies and Procedures</w:t>
      </w:r>
    </w:p>
    <w:p>
      <w:pPr>
        <w:spacing w:after="0" w:line="131" w:lineRule="exact"/>
        <w:rPr>
          <w:sz w:val="20"/>
          <w:szCs w:val="20"/>
          <w:color w:val="auto"/>
        </w:rPr>
      </w:pPr>
    </w:p>
    <w:p>
      <w:pPr>
        <w:ind w:right="280" w:firstLine="420"/>
        <w:spacing w:after="0" w:line="268" w:lineRule="auto"/>
        <w:rPr>
          <w:sz w:val="20"/>
          <w:szCs w:val="20"/>
          <w:color w:val="auto"/>
        </w:rPr>
      </w:pPr>
      <w:r>
        <w:rPr>
          <w:rFonts w:ascii="Times New Roman" w:cs="Times New Roman" w:eastAsia="Times New Roman" w:hAnsi="Times New Roman"/>
          <w:sz w:val="13"/>
          <w:szCs w:val="13"/>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i w:val="1"/>
          <w:iCs w:val="1"/>
          <w:color w:val="auto"/>
        </w:rPr>
        <w:t>Introduction</w:t>
      </w:r>
    </w:p>
    <w:p>
      <w:pPr>
        <w:spacing w:after="0" w:line="129" w:lineRule="exact"/>
        <w:rPr>
          <w:sz w:val="20"/>
          <w:szCs w:val="20"/>
          <w:color w:val="auto"/>
        </w:rPr>
      </w:pPr>
    </w:p>
    <w:p>
      <w:pPr>
        <w:ind w:right="100" w:firstLine="420"/>
        <w:spacing w:after="0" w:line="286" w:lineRule="auto"/>
        <w:rPr>
          <w:sz w:val="20"/>
          <w:szCs w:val="20"/>
          <w:color w:val="auto"/>
        </w:rPr>
      </w:pPr>
      <w:r>
        <w:rPr>
          <w:rFonts w:ascii="Times New Roman" w:cs="Times New Roman" w:eastAsia="Times New Roman" w:hAnsi="Times New Roman"/>
          <w:sz w:val="13"/>
          <w:szCs w:val="13"/>
          <w:color w:val="auto"/>
        </w:rPr>
        <w:t>As an investment adviser registered under the Advisers Act, our Investment Adviser have a fiduciary duty to act solely in the best interests of their clients. As part of this duty, our Investment Adviser recognize that they must vote client securities in a timely manner free of conflicts of interest and in the best interests of their clients.</w:t>
      </w:r>
    </w:p>
    <w:p>
      <w:pPr>
        <w:spacing w:after="0" w:line="76" w:lineRule="exact"/>
        <w:rPr>
          <w:sz w:val="20"/>
          <w:szCs w:val="20"/>
          <w:color w:val="auto"/>
        </w:rPr>
      </w:pPr>
    </w:p>
    <w:p>
      <w:pPr>
        <w:ind w:left="420" w:right="1040"/>
        <w:spacing w:after="0" w:line="443" w:lineRule="auto"/>
        <w:rPr>
          <w:sz w:val="20"/>
          <w:szCs w:val="20"/>
          <w:color w:val="auto"/>
        </w:rPr>
      </w:pPr>
      <w:r>
        <w:rPr>
          <w:rFonts w:ascii="Times New Roman" w:cs="Times New Roman" w:eastAsia="Times New Roman" w:hAnsi="Times New Roman"/>
          <w:sz w:val="13"/>
          <w:szCs w:val="13"/>
          <w:color w:val="auto"/>
        </w:rPr>
        <w:t xml:space="preserve">These policies and procedures for voting proxies for our investment advisory clients are intended to comply with Section 206 of, and Rule 206(4)-6 under, the Advisers Act. </w:t>
      </w:r>
      <w:r>
        <w:rPr>
          <w:rFonts w:ascii="Times New Roman" w:cs="Times New Roman" w:eastAsia="Times New Roman" w:hAnsi="Times New Roman"/>
          <w:sz w:val="13"/>
          <w:szCs w:val="13"/>
          <w:i w:val="1"/>
          <w:iCs w:val="1"/>
          <w:color w:val="auto"/>
        </w:rPr>
        <w:t>Proxy Policies</w:t>
      </w:r>
    </w:p>
    <w:p>
      <w:pPr>
        <w:jc w:val="both"/>
        <w:ind w:right="240" w:firstLine="420"/>
        <w:spacing w:after="0" w:line="268" w:lineRule="auto"/>
        <w:rPr>
          <w:sz w:val="20"/>
          <w:szCs w:val="20"/>
          <w:color w:val="auto"/>
        </w:rPr>
      </w:pPr>
      <w:r>
        <w:rPr>
          <w:rFonts w:ascii="Times New Roman" w:cs="Times New Roman" w:eastAsia="Times New Roman" w:hAnsi="Times New Roman"/>
          <w:sz w:val="13"/>
          <w:szCs w:val="13"/>
          <w:color w:val="auto"/>
        </w:rPr>
        <w:t>Our Investment Adviser vote proxies relating to our portfolio securities in what they perceive to be the best interests of our stockholders. Our Investment Adviser review on a case-by-case basis each proposal submitted to a stockholder vote to determine its impact on the portfolio securities held by its clients. Although our Investment Adviser will generally vote against proposals that may have a negative impact on its clients’ portfolio securities, our Investment Adviser may vote for such a proposal if there exists compelling long-term reasons to do so.</w:t>
      </w:r>
    </w:p>
    <w:p>
      <w:pPr>
        <w:spacing w:after="0" w:line="87"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Our Investment Adviser proxy voting decisions are made by the senior investment professionals who are responsible for monitoring each of its clients’ investments. To ensure that the vote is not the product of a conflict of interest, our Investment Adviser requires that: (1) anyone involved in the decision making process disclose to its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i w:val="1"/>
          <w:iCs w:val="1"/>
          <w:color w:val="auto"/>
        </w:rPr>
        <w:t>Proxy Voting Records</w:t>
      </w:r>
    </w:p>
    <w:p>
      <w:pPr>
        <w:spacing w:after="0" w:line="129" w:lineRule="exact"/>
        <w:rPr>
          <w:sz w:val="20"/>
          <w:szCs w:val="20"/>
          <w:color w:val="auto"/>
        </w:rPr>
      </w:pPr>
    </w:p>
    <w:p>
      <w:pPr>
        <w:ind w:right="340" w:firstLine="420"/>
        <w:spacing w:after="0" w:line="286" w:lineRule="auto"/>
        <w:rPr>
          <w:sz w:val="20"/>
          <w:szCs w:val="20"/>
          <w:color w:val="auto"/>
        </w:rPr>
      </w:pPr>
      <w:r>
        <w:rPr>
          <w:rFonts w:ascii="Times New Roman" w:cs="Times New Roman" w:eastAsia="Times New Roman" w:hAnsi="Times New Roman"/>
          <w:sz w:val="13"/>
          <w:szCs w:val="13"/>
          <w:color w:val="auto"/>
        </w:rPr>
        <w:t>You may obtain information about how we voted proxies, free of charge, by calling us at (786) 297-9500 or by making a written request for proxy voting information to: Richard Allorto, Chief Financial Officer and Treasurer, 1691 Michigan Avenue, Miami Beach, Florida 33139.</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Privacy Protection Principles</w:t>
      </w:r>
    </w:p>
    <w:p>
      <w:pPr>
        <w:spacing w:after="0" w:line="131" w:lineRule="exact"/>
        <w:rPr>
          <w:sz w:val="20"/>
          <w:szCs w:val="20"/>
          <w:color w:val="auto"/>
        </w:rPr>
      </w:pPr>
    </w:p>
    <w:p>
      <w:pPr>
        <w:ind w:firstLine="420"/>
        <w:spacing w:after="0" w:line="286" w:lineRule="auto"/>
        <w:rPr>
          <w:sz w:val="20"/>
          <w:szCs w:val="20"/>
          <w:color w:val="auto"/>
        </w:rPr>
      </w:pPr>
      <w:r>
        <w:rPr>
          <w:rFonts w:ascii="Times New Roman" w:cs="Times New Roman" w:eastAsia="Times New Roman" w:hAnsi="Times New Roman"/>
          <w:sz w:val="13"/>
          <w:szCs w:val="13"/>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76" w:lineRule="exact"/>
        <w:rPr>
          <w:sz w:val="20"/>
          <w:szCs w:val="20"/>
          <w:color w:val="auto"/>
        </w:rPr>
      </w:pPr>
    </w:p>
    <w:p>
      <w:pPr>
        <w:ind w:right="140" w:firstLine="420"/>
        <w:spacing w:after="0" w:line="268" w:lineRule="auto"/>
        <w:rPr>
          <w:sz w:val="20"/>
          <w:szCs w:val="20"/>
          <w:color w:val="auto"/>
        </w:rPr>
      </w:pPr>
      <w:r>
        <w:rPr>
          <w:rFonts w:ascii="Times New Roman" w:cs="Times New Roman" w:eastAsia="Times New Roman" w:hAnsi="Times New Roman"/>
          <w:sz w:val="13"/>
          <w:szCs w:val="13"/>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87" w:lineRule="exact"/>
        <w:rPr>
          <w:sz w:val="20"/>
          <w:szCs w:val="20"/>
          <w:color w:val="auto"/>
        </w:rPr>
      </w:pPr>
    </w:p>
    <w:p>
      <w:pPr>
        <w:ind w:right="100" w:firstLine="420"/>
        <w:spacing w:after="0" w:line="286" w:lineRule="auto"/>
        <w:rPr>
          <w:sz w:val="20"/>
          <w:szCs w:val="20"/>
          <w:color w:val="auto"/>
        </w:rPr>
      </w:pPr>
      <w:r>
        <w:rPr>
          <w:rFonts w:ascii="Times New Roman" w:cs="Times New Roman" w:eastAsia="Times New Roman" w:hAnsi="Times New Roman"/>
          <w:sz w:val="13"/>
          <w:szCs w:val="13"/>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74" w:lineRule="exact"/>
        <w:rPr>
          <w:sz w:val="20"/>
          <w:szCs w:val="20"/>
          <w:color w:val="auto"/>
        </w:rPr>
      </w:pPr>
    </w:p>
    <w:p>
      <w:pPr>
        <w:ind w:right="400" w:firstLine="420"/>
        <w:spacing w:after="0" w:line="289" w:lineRule="auto"/>
        <w:rPr>
          <w:sz w:val="20"/>
          <w:szCs w:val="20"/>
          <w:color w:val="auto"/>
        </w:rPr>
      </w:pPr>
      <w:r>
        <w:rPr>
          <w:rFonts w:ascii="Times New Roman" w:cs="Times New Roman" w:eastAsia="Times New Roman" w:hAnsi="Times New Roman"/>
          <w:sz w:val="13"/>
          <w:szCs w:val="13"/>
          <w:color w:val="auto"/>
        </w:rPr>
        <w:t xml:space="preserve">Our privacy protection policies are available, free of charge, on our website at </w:t>
      </w:r>
      <w:r>
        <w:rPr>
          <w:rFonts w:ascii="Times New Roman" w:cs="Times New Roman" w:eastAsia="Times New Roman" w:hAnsi="Times New Roman"/>
          <w:sz w:val="13"/>
          <w:szCs w:val="13"/>
          <w:i w:val="1"/>
          <w:iCs w:val="1"/>
          <w:u w:val="single" w:color="auto"/>
          <w:color w:val="auto"/>
        </w:rPr>
        <w:t>www.pennantpark.com</w:t>
      </w:r>
      <w:r>
        <w:rPr>
          <w:rFonts w:ascii="Times New Roman" w:cs="Times New Roman" w:eastAsia="Times New Roman" w:hAnsi="Times New Roman"/>
          <w:sz w:val="13"/>
          <w:szCs w:val="13"/>
          <w:color w:val="auto"/>
        </w:rPr>
        <w:t xml:space="preserve">. In addition, the privacy policy is available on the EDGAR Database on the SEC’s Internet website at </w:t>
      </w:r>
      <w:r>
        <w:rPr>
          <w:rFonts w:ascii="Times New Roman" w:cs="Times New Roman" w:eastAsia="Times New Roman" w:hAnsi="Times New Roman"/>
          <w:sz w:val="13"/>
          <w:szCs w:val="13"/>
          <w:i w:val="1"/>
          <w:iCs w:val="1"/>
          <w:u w:val="single" w:color="auto"/>
          <w:color w:val="auto"/>
        </w:rPr>
        <w:t>www.sec.gov</w:t>
      </w:r>
      <w:r>
        <w:rPr>
          <w:rFonts w:ascii="Times New Roman" w:cs="Times New Roman" w:eastAsia="Times New Roman" w:hAnsi="Times New Roman"/>
          <w:sz w:val="13"/>
          <w:szCs w:val="13"/>
          <w:color w:val="auto"/>
        </w:rPr>
        <w:t>, filed as an exhibit to our annual report on this Form 10-K.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Other</w:t>
      </w:r>
    </w:p>
    <w:p>
      <w:pPr>
        <w:spacing w:after="0" w:line="131" w:lineRule="exact"/>
        <w:rPr>
          <w:sz w:val="20"/>
          <w:szCs w:val="20"/>
          <w:color w:val="auto"/>
        </w:rPr>
      </w:pPr>
    </w:p>
    <w:p>
      <w:pPr>
        <w:ind w:right="60" w:firstLine="420"/>
        <w:spacing w:after="0" w:line="286" w:lineRule="auto"/>
        <w:rPr>
          <w:sz w:val="20"/>
          <w:szCs w:val="20"/>
          <w:color w:val="auto"/>
        </w:rPr>
      </w:pPr>
      <w:r>
        <w:rPr>
          <w:rFonts w:ascii="Times New Roman" w:cs="Times New Roman" w:eastAsia="Times New Roman" w:hAnsi="Times New Roman"/>
          <w:sz w:val="13"/>
          <w:szCs w:val="13"/>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We will be periodically examined by the SEC and have been examined by the SBA for compliance with the 1940 Act and 1958 Act, respectively.</w:t>
      </w:r>
    </w:p>
    <w:p>
      <w:pPr>
        <w:spacing w:after="0" w:line="127" w:lineRule="exact"/>
        <w:rPr>
          <w:sz w:val="20"/>
          <w:szCs w:val="20"/>
          <w:color w:val="auto"/>
        </w:rPr>
      </w:pPr>
    </w:p>
    <w:p>
      <w:pPr>
        <w:ind w:right="40" w:firstLine="420"/>
        <w:spacing w:after="0" w:line="268" w:lineRule="auto"/>
        <w:rPr>
          <w:sz w:val="20"/>
          <w:szCs w:val="20"/>
          <w:color w:val="auto"/>
        </w:rPr>
      </w:pPr>
      <w:r>
        <w:rPr>
          <w:rFonts w:ascii="Times New Roman" w:cs="Times New Roman" w:eastAsia="Times New Roman" w:hAnsi="Times New Roman"/>
          <w:sz w:val="13"/>
          <w:szCs w:val="13"/>
          <w:color w:val="auto"/>
        </w:rPr>
        <w:t>We are required by law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87" w:lineRule="exact"/>
        <w:rPr>
          <w:sz w:val="20"/>
          <w:szCs w:val="20"/>
          <w:color w:val="auto"/>
        </w:rPr>
      </w:pPr>
    </w:p>
    <w:p>
      <w:pPr>
        <w:ind w:right="200" w:firstLine="420"/>
        <w:spacing w:after="0" w:line="268" w:lineRule="auto"/>
        <w:rPr>
          <w:sz w:val="20"/>
          <w:szCs w:val="20"/>
          <w:color w:val="auto"/>
        </w:rPr>
      </w:pPr>
      <w:r>
        <w:rPr>
          <w:rFonts w:ascii="Times New Roman" w:cs="Times New Roman" w:eastAsia="Times New Roman" w:hAnsi="Times New Roman"/>
          <w:sz w:val="13"/>
          <w:szCs w:val="13"/>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Sarbanes-Oxley Act of 2002</w:t>
      </w:r>
    </w:p>
    <w:p>
      <w:pPr>
        <w:spacing w:after="0" w:line="131" w:lineRule="exact"/>
        <w:rPr>
          <w:sz w:val="20"/>
          <w:szCs w:val="20"/>
          <w:color w:val="auto"/>
        </w:rPr>
      </w:pPr>
    </w:p>
    <w:p>
      <w:pPr>
        <w:ind w:right="80" w:firstLine="420"/>
        <w:spacing w:after="0" w:line="286" w:lineRule="auto"/>
        <w:rPr>
          <w:sz w:val="20"/>
          <w:szCs w:val="20"/>
          <w:color w:val="auto"/>
        </w:rPr>
      </w:pPr>
      <w:r>
        <w:rPr>
          <w:rFonts w:ascii="Times New Roman" w:cs="Times New Roman" w:eastAsia="Times New Roman" w:hAnsi="Times New Roman"/>
          <w:sz w:val="13"/>
          <w:szCs w:val="13"/>
          <w:color w:val="auto"/>
        </w:rPr>
        <w:t>The Sarbanes-Oxley Act of 2002, as amended, or the Sarbanes-Oxley Act, imposes several regulatory requirements on publicly held companies and their insiders. Many of these requirements affect us.</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For example:</w:t>
      </w:r>
    </w:p>
    <w:p>
      <w:pPr>
        <w:spacing w:after="0" w:line="127" w:lineRule="exact"/>
        <w:rPr>
          <w:sz w:val="20"/>
          <w:szCs w:val="20"/>
          <w:color w:val="auto"/>
        </w:rPr>
      </w:pPr>
    </w:p>
    <w:p>
      <w:pPr>
        <w:ind w:left="540" w:right="60"/>
        <w:spacing w:after="0" w:line="286" w:lineRule="auto"/>
        <w:rPr>
          <w:sz w:val="20"/>
          <w:szCs w:val="20"/>
          <w:color w:val="auto"/>
        </w:rPr>
      </w:pPr>
      <w:r>
        <w:rPr>
          <w:rFonts w:ascii="Times New Roman" w:cs="Times New Roman" w:eastAsia="Times New Roman" w:hAnsi="Times New Roman"/>
          <w:sz w:val="13"/>
          <w:szCs w:val="13"/>
          <w:color w:val="auto"/>
        </w:rPr>
        <w:t>•pursuant to Rule 13a-14 of the Securities Exchange Act of 1934, as amended, or the Exchange Act, our Chief Executive Officer and Chief Financial Officer must certify the accuracy of the financial statements contained in our periodic reports;</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•pursuant to Item 307 of Regulation S-K, our periodic reports must disclose our conclusions about the effectiveness of our disclosure controls and procedures;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•pursuant to Rule 13a-15 of the Exchange Act, our management must prepare an annual report regarding its assessment of our internal controls over financial reporting; and</w:t>
      </w:r>
    </w:p>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74" w:right="660" w:bottom="1440" w:gutter="0" w:footer="0" w:header="0"/>
        </w:sectPr>
      </w:pPr>
    </w:p>
    <w:bookmarkStart w:id="17" w:name="page18"/>
    <w:bookmarkEnd w:id="17"/>
    <w:p>
      <w:pPr>
        <w:jc w:val="both"/>
        <w:ind w:left="540" w:right="440"/>
        <w:spacing w:after="0" w:line="268" w:lineRule="auto"/>
        <w:rPr>
          <w:sz w:val="20"/>
          <w:szCs w:val="20"/>
          <w:color w:val="auto"/>
        </w:rPr>
      </w:pPr>
      <w:r>
        <w:rPr>
          <w:rFonts w:ascii="Times New Roman" w:cs="Times New Roman" w:eastAsia="Times New Roman" w:hAnsi="Times New Roman"/>
          <w:sz w:val="13"/>
          <w:szCs w:val="13"/>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Sarbanes-Oxley Act requires us to review our current policies and procedures to determine whether we comply with the Sarbanes-Oxley Act and the regulations promulgated there-under.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continue to monitor our compliance with all regulations that are adopted under the Sarbanes-Oxley Act and continue to take actions necessary to ensure that we are in compliance with that act.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Election to be Treated as a RIC</w:t>
      </w:r>
    </w:p>
    <w:p>
      <w:pPr>
        <w:spacing w:after="0" w:line="131" w:lineRule="exact"/>
        <w:rPr>
          <w:sz w:val="20"/>
          <w:szCs w:val="20"/>
          <w:color w:val="auto"/>
        </w:rPr>
      </w:pPr>
    </w:p>
    <w:p>
      <w:pPr>
        <w:ind w:right="80" w:firstLine="420"/>
        <w:spacing w:after="0" w:line="260" w:lineRule="auto"/>
        <w:rPr>
          <w:sz w:val="20"/>
          <w:szCs w:val="20"/>
          <w:color w:val="auto"/>
        </w:rPr>
      </w:pPr>
      <w:r>
        <w:rPr>
          <w:rFonts w:ascii="Times New Roman" w:cs="Times New Roman" w:eastAsia="Times New Roman" w:hAnsi="Times New Roman"/>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 -of-income and quarterly asset diversification requirements (as described below). We also must annually distribute dividends for U.S. federal income tax purposes to our stockholders of an amount generally at least equal to 90% of the sum of our ordinary income and realized net short-term capital gains in excess of realized net long-term capital losses, or investment company taxable income, and determined without regard to any deduction for dividends paid out of the assets legally available for distribution, or the Annual Distribution Requirement.</w:t>
      </w:r>
    </w:p>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In order to qualify as a RIC for federal income tax purposes, we must:</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•maintain an election to be treated as a BDC under the 1940 Act at all times during each taxable year;</w:t>
      </w:r>
    </w:p>
    <w:p>
      <w:pPr>
        <w:spacing w:after="0" w:line="127" w:lineRule="exact"/>
        <w:rPr>
          <w:sz w:val="20"/>
          <w:szCs w:val="20"/>
          <w:color w:val="auto"/>
        </w:rPr>
      </w:pPr>
    </w:p>
    <w:p>
      <w:pPr>
        <w:ind w:left="540" w:right="200"/>
        <w:spacing w:after="0" w:line="286" w:lineRule="auto"/>
        <w:rPr>
          <w:sz w:val="20"/>
          <w:szCs w:val="20"/>
          <w:color w:val="auto"/>
        </w:rPr>
      </w:pPr>
      <w:r>
        <w:rPr>
          <w:rFonts w:ascii="Times New Roman" w:cs="Times New Roman" w:eastAsia="Times New Roman" w:hAnsi="Times New Roman"/>
          <w:sz w:val="13"/>
          <w:szCs w:val="13"/>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•diversify our holdings, or the Diversification Tests, so that at the end of each quarter of the taxable year:</w:t>
      </w:r>
    </w:p>
    <w:p>
      <w:pPr>
        <w:spacing w:after="0" w:line="127" w:lineRule="exact"/>
        <w:rPr>
          <w:sz w:val="20"/>
          <w:szCs w:val="20"/>
          <w:color w:val="auto"/>
        </w:rPr>
      </w:pPr>
    </w:p>
    <w:p>
      <w:pPr>
        <w:ind w:left="1080" w:right="120"/>
        <w:spacing w:after="0" w:line="286" w:lineRule="auto"/>
        <w:rPr>
          <w:sz w:val="20"/>
          <w:szCs w:val="20"/>
          <w:color w:val="auto"/>
        </w:rPr>
      </w:pPr>
      <w:r>
        <w:rPr>
          <w:rFonts w:ascii="Times New Roman" w:cs="Times New Roman" w:eastAsia="Times New Roman" w:hAnsi="Times New Roman"/>
          <w:sz w:val="13"/>
          <w:szCs w:val="13"/>
          <w:color w:val="auto"/>
        </w:rPr>
        <w:t>1)at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76" w:lineRule="exact"/>
        <w:rPr>
          <w:sz w:val="20"/>
          <w:szCs w:val="20"/>
          <w:color w:val="auto"/>
        </w:rPr>
      </w:pPr>
    </w:p>
    <w:p>
      <w:pPr>
        <w:jc w:val="both"/>
        <w:ind w:left="1080" w:right="40"/>
        <w:spacing w:after="0" w:line="268" w:lineRule="auto"/>
        <w:rPr>
          <w:sz w:val="20"/>
          <w:szCs w:val="20"/>
          <w:color w:val="auto"/>
        </w:rPr>
      </w:pPr>
      <w:r>
        <w:rPr>
          <w:rFonts w:ascii="Times New Roman" w:cs="Times New Roman" w:eastAsia="Times New Roman" w:hAnsi="Times New Roman"/>
          <w:sz w:val="13"/>
          <w:szCs w:val="13"/>
          <w:color w:val="auto"/>
        </w:rPr>
        <w:t>2)no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87" w:lineRule="exact"/>
        <w:rPr>
          <w:sz w:val="20"/>
          <w:szCs w:val="20"/>
          <w:color w:val="auto"/>
        </w:rPr>
      </w:pPr>
    </w:p>
    <w:p>
      <w:pPr>
        <w:ind w:right="280" w:firstLine="420"/>
        <w:spacing w:after="0" w:line="261" w:lineRule="auto"/>
        <w:rPr>
          <w:sz w:val="20"/>
          <w:szCs w:val="20"/>
          <w:color w:val="auto"/>
        </w:rPr>
      </w:pPr>
      <w:r>
        <w:rPr>
          <w:rFonts w:ascii="Times New Roman" w:cs="Times New Roman" w:eastAsia="Times New Roman" w:hAnsi="Times New Roman"/>
          <w:sz w:val="13"/>
          <w:szCs w:val="13"/>
          <w:color w:val="auto"/>
        </w:rPr>
        <w:t>Although not required for us to maintain our RIC tax status, in order to preclude the imposition of a 4% nondeductible federal excise tax imposed on RICs, we must distribute in respect of each calendar year dividends to our stockholders of an amount at least equal to the sum of (1) 98% of our net ordinary income (subject to certain deferrals and elections) for the calendar year, (2)</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3"/>
          <w:szCs w:val="13"/>
          <w:color w:val="auto"/>
        </w:rPr>
        <w:t>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on which we did not incur any corporate income tax, or the Excise Tax Avoidance Requirement. Although we may distribute realized net capital gains (i.e., net long- term capital gains in excess of net short-term capital losses), if any, at least annually, out of the assets legally available for such distributions in the manner described above, we may retain and incur tax on such net capital gains or investment company taxable income, subject to maintaining our ability to be treated as a RIC for federal income tax purposes, in order to provide us with additional liquidity.</w:t>
      </w:r>
    </w:p>
    <w:p>
      <w:pPr>
        <w:spacing w:after="0" w:line="98" w:lineRule="exact"/>
        <w:rPr>
          <w:sz w:val="20"/>
          <w:szCs w:val="20"/>
          <w:color w:val="auto"/>
        </w:rPr>
      </w:pPr>
    </w:p>
    <w:p>
      <w:pPr>
        <w:ind w:right="240" w:firstLine="420"/>
        <w:spacing w:after="0" w:line="262" w:lineRule="auto"/>
        <w:rPr>
          <w:sz w:val="20"/>
          <w:szCs w:val="20"/>
          <w:color w:val="auto"/>
        </w:rPr>
      </w:pPr>
      <w:r>
        <w:rPr>
          <w:rFonts w:ascii="Times New Roman" w:cs="Times New Roman" w:eastAsia="Times New Roman" w:hAnsi="Times New Roman"/>
          <w:sz w:val="13"/>
          <w:szCs w:val="13"/>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27" w:lineRule="exact"/>
        <w:rPr>
          <w:sz w:val="20"/>
          <w:szCs w:val="20"/>
          <w:color w:val="auto"/>
        </w:rPr>
      </w:pPr>
    </w:p>
    <w:p>
      <w:pPr>
        <w:ind w:right="100" w:firstLine="420"/>
        <w:spacing w:after="0" w:line="262" w:lineRule="auto"/>
        <w:rPr>
          <w:sz w:val="20"/>
          <w:szCs w:val="20"/>
          <w:color w:val="auto"/>
        </w:rPr>
      </w:pPr>
      <w:r>
        <w:rPr>
          <w:rFonts w:ascii="Times New Roman" w:cs="Times New Roman" w:eastAsia="Times New Roman" w:hAnsi="Times New Roman"/>
          <w:sz w:val="13"/>
          <w:szCs w:val="13"/>
          <w:color w:val="auto"/>
        </w:rPr>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be required to recognize such income and fees indirectly through the Taxable Subsidiary, which is classified as a corporation for U.S. federal income tax purposes. The Taxable Subsidiary generally will be subject to corporate income taxes on its earnings, which ultimately will reduce our return on such income and fees.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Taxation as a RIC</w:t>
      </w:r>
    </w:p>
    <w:p>
      <w:pPr>
        <w:spacing w:after="0" w:line="131"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distribute)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not deemed to have been distributed) as dividends for U.S. federal income tax purposes to our stockholders.</w:t>
      </w:r>
    </w:p>
    <w:p>
      <w:pPr>
        <w:spacing w:after="0" w:line="91" w:lineRule="exact"/>
        <w:rPr>
          <w:sz w:val="20"/>
          <w:szCs w:val="20"/>
          <w:color w:val="auto"/>
        </w:rPr>
      </w:pPr>
    </w:p>
    <w:p>
      <w:pPr>
        <w:ind w:right="60" w:firstLine="420"/>
        <w:spacing w:after="0" w:line="259" w:lineRule="auto"/>
        <w:rPr>
          <w:sz w:val="20"/>
          <w:szCs w:val="20"/>
          <w:color w:val="auto"/>
        </w:rPr>
      </w:pPr>
      <w:r>
        <w:rPr>
          <w:rFonts w:ascii="Times New Roman" w:cs="Times New Roman" w:eastAsia="Times New Roman" w:hAnsi="Times New Roman"/>
          <w:sz w:val="13"/>
          <w:szCs w:val="13"/>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94"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Gain or loss realized by us from equity securities and warrants acquired by us, as well as any loss attributable to the lapse of such warrants, generally will be treated as capital gain or loss.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Such gain or loss generally will be long-term or short-term, depending on how long we held a particular warrant.</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78" w:right="660" w:bottom="1440" w:gutter="0" w:footer="0" w:header="0"/>
        </w:sectPr>
      </w:pPr>
    </w:p>
    <w:bookmarkStart w:id="18" w:name="page19"/>
    <w:bookmarkEnd w:id="18"/>
    <w:p>
      <w:pPr>
        <w:ind w:right="80" w:firstLine="420"/>
        <w:spacing w:after="0" w:line="259" w:lineRule="auto"/>
        <w:rPr>
          <w:sz w:val="20"/>
          <w:szCs w:val="20"/>
          <w:color w:val="auto"/>
        </w:rPr>
      </w:pPr>
      <w:r>
        <w:rPr>
          <w:rFonts w:ascii="Times New Roman" w:cs="Times New Roman" w:eastAsia="Times New Roman" w:hAnsi="Times New Roman"/>
          <w:sz w:val="13"/>
          <w:szCs w:val="13"/>
          <w:color w:val="auto"/>
        </w:rPr>
        <w:t>We are authorized to borrow funds and to sell assets in order to satisfy our Annual Distribution Requirement or the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94" w:lineRule="exact"/>
        <w:rPr>
          <w:sz w:val="20"/>
          <w:szCs w:val="20"/>
          <w:color w:val="auto"/>
        </w:rPr>
      </w:pPr>
    </w:p>
    <w:p>
      <w:pPr>
        <w:ind w:right="20" w:firstLine="420"/>
        <w:spacing w:after="0" w:line="262" w:lineRule="auto"/>
        <w:rPr>
          <w:sz w:val="20"/>
          <w:szCs w:val="20"/>
          <w:color w:val="auto"/>
        </w:rPr>
      </w:pPr>
      <w:r>
        <w:rPr>
          <w:rFonts w:ascii="Times New Roman" w:cs="Times New Roman" w:eastAsia="Times New Roman" w:hAnsi="Times New Roman"/>
          <w:sz w:val="13"/>
          <w:szCs w:val="13"/>
          <w:color w:val="auto"/>
        </w:rPr>
        <w:t>We may distribute our common stock as a dividend from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would be taxable income to a stockholder even though only a small portion of the dividend was paid in cash to pay any taxes due on the total dividend. We have not yet elected to distribute stock as a dividend but reserve the right to do so.</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Failure to Qualify as a RIC</w:t>
      </w:r>
    </w:p>
    <w:p>
      <w:pPr>
        <w:spacing w:after="0" w:line="131"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If we fail to satisfy the Annual Distribution Requirement or fail to qualify as a RIC in any taxable year, unless certain cure provisions of the Code apply, we will be subject to tax in that taxable year on all of our taxable income at regular corporate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Treated as a RIC” above for more information.</w:t>
      </w:r>
    </w:p>
    <w:p>
      <w:pPr>
        <w:spacing w:after="0" w:line="91" w:lineRule="exact"/>
        <w:rPr>
          <w:sz w:val="20"/>
          <w:szCs w:val="20"/>
          <w:color w:val="auto"/>
        </w:rPr>
      </w:pPr>
    </w:p>
    <w:p>
      <w:pPr>
        <w:ind w:right="60" w:firstLine="420"/>
        <w:spacing w:after="0" w:line="254" w:lineRule="auto"/>
        <w:rPr>
          <w:sz w:val="20"/>
          <w:szCs w:val="20"/>
          <w:color w:val="auto"/>
        </w:rPr>
      </w:pPr>
      <w:r>
        <w:rPr>
          <w:rFonts w:ascii="Times New Roman" w:cs="Times New Roman" w:eastAsia="Times New Roman" w:hAnsi="Times New Roman"/>
          <w:sz w:val="13"/>
          <w:szCs w:val="13"/>
          <w:color w:val="auto"/>
        </w:rPr>
        <w:t>If we are unable to maintain our status as a RIC, we also would not be able to deduct distributions to stockholders, nor would distributions be required to be made. Distributions would generally be taxable as dividends to our stockholders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SBA Regulations</w:t>
      </w:r>
    </w:p>
    <w:p>
      <w:pPr>
        <w:spacing w:after="0" w:line="131" w:lineRule="exact"/>
        <w:rPr>
          <w:sz w:val="20"/>
          <w:szCs w:val="20"/>
          <w:color w:val="auto"/>
        </w:rPr>
      </w:pPr>
    </w:p>
    <w:p>
      <w:pPr>
        <w:ind w:right="80" w:firstLine="420"/>
        <w:spacing w:after="0" w:line="286" w:lineRule="auto"/>
        <w:rPr>
          <w:sz w:val="20"/>
          <w:szCs w:val="20"/>
          <w:color w:val="auto"/>
        </w:rPr>
      </w:pPr>
      <w:r>
        <w:rPr>
          <w:rFonts w:ascii="Times New Roman" w:cs="Times New Roman" w:eastAsia="Times New Roman" w:hAnsi="Times New Roman"/>
          <w:sz w:val="13"/>
          <w:szCs w:val="13"/>
          <w:color w:val="auto"/>
        </w:rPr>
        <w:t>SBIC II was licensed to operate under the SBA as a SBIC under Section 301(c) of the 1958 Act and received its license in 2013. We have repaid all outstanding debentures in connection with SBIC II and surrendered its SBA license.</w:t>
      </w:r>
    </w:p>
    <w:p>
      <w:pPr>
        <w:spacing w:after="0" w:line="76" w:lineRule="exact"/>
        <w:rPr>
          <w:sz w:val="20"/>
          <w:szCs w:val="20"/>
          <w:color w:val="auto"/>
        </w:rPr>
      </w:pPr>
    </w:p>
    <w:p>
      <w:pPr>
        <w:ind w:right="100" w:firstLine="420"/>
        <w:spacing w:after="0" w:line="254" w:lineRule="auto"/>
        <w:rPr>
          <w:sz w:val="20"/>
          <w:szCs w:val="20"/>
          <w:color w:val="auto"/>
        </w:rPr>
      </w:pPr>
      <w:r>
        <w:rPr>
          <w:rFonts w:ascii="Times New Roman" w:cs="Times New Roman" w:eastAsia="Times New Roman" w:hAnsi="Times New Roman"/>
          <w:sz w:val="13"/>
          <w:szCs w:val="13"/>
          <w:color w:val="auto"/>
        </w:rPr>
        <w:t>SBICs are designed to stimulate the flow of capital to businesses that meet specified eligibility requirements discussed below. Under SBA regulations, SBIC II was subject to regulatory requirements including, among other things, making investments in SBA eligible “small businesses” (as defined by the SBA), investing at least 25% of regulatory capital in eligible “smaller business enterprises”, placing certain limitations on the financing terms of investments by SBICs in portfolio companies, prohibiting investing in certain industries, and meeting certain required capitalization thresholds among other regulations. Furthermore, SBIC II was subject to regulation and oversight by the SBA, including, among other things, periodic the performance of financial audits by an independent auditor and periodic examinations, including of SBIC II’s of their financial statements that are prepared on a basis of accounting other than GAAP pursuant to SBA accounting standards and financial reporting requirements for SBICs. For example, SBIC II did not use fair value accounting on its assets or liabilities under SBA valuation guidelines. If SBIC II failed to comply with applicable SBA regulations, the SBA could, depending on the severity of the violation, limit or prohibit use of SBA-guaranteed debentures, declare outstanding debentures immediately due and payable, and/or limit SBIC II from making new investments. In addition, the SBA can revoke or suspend a SBIC license for willful or repeated violation of, or willful or repeated failure to observe, any provision of the 1958 Act or any rule or regulation promulgated thereunder. These actions by the SBA would, in turn, negatively affect us.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Eligible Small and Smaller Businesses</w:t>
      </w:r>
    </w:p>
    <w:p>
      <w:pPr>
        <w:spacing w:after="0" w:line="129" w:lineRule="exact"/>
        <w:rPr>
          <w:sz w:val="20"/>
          <w:szCs w:val="20"/>
          <w:color w:val="auto"/>
        </w:rPr>
      </w:pPr>
    </w:p>
    <w:p>
      <w:pPr>
        <w:ind w:right="20" w:firstLine="420"/>
        <w:spacing w:after="0" w:line="254" w:lineRule="auto"/>
        <w:rPr>
          <w:sz w:val="20"/>
          <w:szCs w:val="20"/>
          <w:color w:val="auto"/>
        </w:rPr>
      </w:pPr>
      <w:r>
        <w:rPr>
          <w:rFonts w:ascii="Times New Roman" w:cs="Times New Roman" w:eastAsia="Times New Roman" w:hAnsi="Times New Roman"/>
          <w:sz w:val="13"/>
          <w:szCs w:val="13"/>
          <w:color w:val="auto"/>
        </w:rPr>
        <w:t>Under present current SBA regulations, eligible “small business” generally include businesses that (together with their affiliates) have tangible net worth not exceeding $19.5 million and have average annual net income after U.S. federal income taxes not exceeding $6.5 million (average net income to be computed without benefit of any carryover loss) for the two most recent fiscal years. In addition, SBIC II was required to invest at least 25% of its investment capitals in “smaller” concerns enterprises”. A “smaller concern enterprise” generally includes a business (together with its affiliates) that has tangible net worth not exceeding $6.0 million and has average annual net income after U.S. federal income taxes not exceeding $2.0 million (average net income to be computed without benefit of any carryover loss) for the two most recent fiscal years. SBA regulations also provide alternative industry size standard criteria to determine eligibility for designation as an eligible small business or a smaller enterprise, which criteria depend on the primary industry in which the business is engaged and is based on the number of employees or gross revenue of the business and its affiliates or as an alternative to the aforementioned requirement, meet the size requirements based on either the number of employees or gross revenue, which is based on the industry in which the smaller concern operates. However, once an SBIC has invested in a company, it may continue to make follow-on investments in the company, regardless of the size of the business at the time of the follow-on investment, up and until the time a business offers its securities in a public market through the company’s initial public offering, if any.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Financing Limitations, Terms and Changes in Control</w:t>
      </w:r>
    </w:p>
    <w:p>
      <w:pPr>
        <w:spacing w:after="0" w:line="129" w:lineRule="exact"/>
        <w:rPr>
          <w:sz w:val="20"/>
          <w:szCs w:val="20"/>
          <w:color w:val="auto"/>
        </w:rPr>
      </w:pPr>
    </w:p>
    <w:p>
      <w:pPr>
        <w:ind w:right="80" w:firstLine="420"/>
        <w:spacing w:after="0" w:line="262" w:lineRule="auto"/>
        <w:rPr>
          <w:sz w:val="20"/>
          <w:szCs w:val="20"/>
          <w:color w:val="auto"/>
        </w:rPr>
      </w:pPr>
      <w:r>
        <w:rPr>
          <w:rFonts w:ascii="Times New Roman" w:cs="Times New Roman" w:eastAsia="Times New Roman" w:hAnsi="Times New Roman"/>
          <w:sz w:val="13"/>
          <w:szCs w:val="13"/>
          <w:color w:val="auto"/>
        </w:rPr>
        <w:t>The SBA generally prohibits an SBIC from financing small businesses in certain industries, such as relending, gambling, oil and gas exploration and other passive businesses. Additional SBA prohibitions include investing outside the United States, investing more than 30% of regulatory capital in any one company and its affiliates and lending money to any officer, director or employee or to invest in any affiliate thereof. The SBA placed certain limits on the financing terms of investments by SBIC II in portfolio companies such as limiting the interest rate on debt securities and loans provided to portfolio companies. The SBA also limits fees, prepayment terms and other economic arrangements that are typically charged in lending arrangements.</w:t>
      </w:r>
    </w:p>
    <w:p>
      <w:pPr>
        <w:spacing w:after="0" w:line="91" w:lineRule="exact"/>
        <w:rPr>
          <w:sz w:val="20"/>
          <w:szCs w:val="20"/>
          <w:color w:val="auto"/>
        </w:rPr>
      </w:pPr>
    </w:p>
    <w:p>
      <w:pPr>
        <w:jc w:val="both"/>
        <w:ind w:right="100" w:firstLine="420"/>
        <w:spacing w:after="0" w:line="268" w:lineRule="auto"/>
        <w:rPr>
          <w:sz w:val="20"/>
          <w:szCs w:val="20"/>
          <w:color w:val="auto"/>
        </w:rPr>
      </w:pPr>
      <w:r>
        <w:rPr>
          <w:rFonts w:ascii="Times New Roman" w:cs="Times New Roman" w:eastAsia="Times New Roman" w:hAnsi="Times New Roman"/>
          <w:sz w:val="13"/>
          <w:szCs w:val="13"/>
          <w:color w:val="auto"/>
        </w:rPr>
        <w:t>The SBA also prohibited, without prior written approval, a “change in control” of SBIC II or transfers that would result in any person or group owning 10% or more of a class of capital stock (or its equivalent in the case of a partnership) of a licensed SBIC. A “change of control” is any event which would result in the transfer of power, direct or indirect, to direct management and policies of an SBIC, whether through ownership, contractual arrangements or otherwise.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Idle Funds Limitation</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SBA limits an SBIC to investing idle funds in the following types of securities: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•direct obligations of, or obligations guaranteed as to principal and interest by, the U.S. Government, which mature within 15 months from the date of the investment;</w:t>
      </w:r>
    </w:p>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78" w:right="660" w:bottom="1440" w:gutter="0" w:footer="0" w:header="0"/>
        </w:sectPr>
      </w:pPr>
    </w:p>
    <w:bookmarkStart w:id="19" w:name="page20"/>
    <w:bookmarkEnd w:id="19"/>
    <w:p>
      <w:pPr>
        <w:ind w:left="540" w:right="180"/>
        <w:spacing w:after="0" w:line="286" w:lineRule="auto"/>
        <w:rPr>
          <w:sz w:val="20"/>
          <w:szCs w:val="20"/>
          <w:color w:val="auto"/>
        </w:rPr>
      </w:pPr>
      <w:r>
        <w:rPr>
          <w:rFonts w:ascii="Times New Roman" w:cs="Times New Roman" w:eastAsia="Times New Roman" w:hAnsi="Times New Roman"/>
          <w:sz w:val="13"/>
          <w:szCs w:val="13"/>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•mutual funds, securities or other instruments that exclusively consist of, or represent pooled assets of, investments described in the first and second bulleted paragraphs above;</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•certificates of deposit with a maturity of one year or less, issued by a federally insured institution; or</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•a deposit account in a federally insured institution that is subject to withdrawal restriction of one year or less.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•a checking account in a federally insured institution; or</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 a reasonable petty cash fund.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SBA Leverage or Debentures</w:t>
      </w:r>
    </w:p>
    <w:p>
      <w:pPr>
        <w:spacing w:after="0" w:line="129"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SBA-guaranteed debentures are non-recourse to us, have a 10- 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an SBIC may borrow to a maximum of $175.0 million, which is up to twice its regulatory capital, and a maximum of $350.0 million as part of a group of SBICs under common control. The SBA, as a creditor, had a superior claim to SBIC II’s assets over our stockholders in the event we liquidated SBIC II or the SBA exercises its remedies under the SBA-guaranteed debentures issued by SBIC II upon an event of default. We have repaid all outstanding debentures in connection with SBIC II and have surrendered the SBA license.</w:t>
      </w:r>
    </w:p>
    <w:p>
      <w:pPr>
        <w:spacing w:after="0" w:line="16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40"/>
          </w:cols>
          <w:pgMar w:left="660" w:top="1278" w:right="80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b w:val="1"/>
          <w:bCs w:val="1"/>
          <w:color w:val="auto"/>
        </w:rPr>
        <w:t>Item 1A. Risk Factors</w:t>
      </w:r>
    </w:p>
    <w:p>
      <w:pPr>
        <w:spacing w:after="0" w:line="163" w:lineRule="exact"/>
        <w:rPr>
          <w:sz w:val="20"/>
          <w:szCs w:val="20"/>
          <w:color w:val="auto"/>
        </w:rPr>
      </w:pPr>
    </w:p>
    <w:p>
      <w:pPr>
        <w:ind w:left="80" w:right="140" w:firstLine="420"/>
        <w:spacing w:after="0" w:line="260" w:lineRule="auto"/>
        <w:rPr>
          <w:sz w:val="20"/>
          <w:szCs w:val="20"/>
          <w:color w:val="auto"/>
        </w:rPr>
      </w:pPr>
      <w:r>
        <w:rPr>
          <w:rFonts w:ascii="Times New Roman" w:cs="Times New Roman" w:eastAsia="Times New Roman" w:hAnsi="Times New Roman"/>
          <w:sz w:val="13"/>
          <w:szCs w:val="13"/>
          <w:i w:val="1"/>
          <w:iCs w:val="1"/>
          <w:color w:val="auto"/>
        </w:rPr>
        <w:t>Before you invest in our securities, you should be aware of various risks, including those described below. You should carefully consider these risk factors, together with all of the other information included in this Report,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our 2026 Notes, our 2026 Notes-2 or any securities we may issue, may decline, and you may lose all or part of your investment.</w:t>
      </w:r>
    </w:p>
    <w:p>
      <w:pPr>
        <w:spacing w:after="0" w:line="9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RISKS RELATING TO OUR BUSINESS AND STRUCTURE</w:t>
      </w:r>
    </w:p>
    <w:p>
      <w:pPr>
        <w:spacing w:after="0" w:line="161" w:lineRule="exact"/>
        <w:rPr>
          <w:sz w:val="20"/>
          <w:szCs w:val="20"/>
          <w:color w:val="auto"/>
        </w:rPr>
      </w:pPr>
    </w:p>
    <w:p>
      <w:pPr>
        <w:ind w:left="80" w:right="34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We are subject to various covenants under our Truist Credit Facility which, if not complied with, could result in reduced availability and/or mandatory prepayments under our Truist Credit Facility.</w:t>
      </w:r>
    </w:p>
    <w:p>
      <w:pPr>
        <w:spacing w:after="0" w:line="108" w:lineRule="exact"/>
        <w:rPr>
          <w:sz w:val="20"/>
          <w:szCs w:val="20"/>
          <w:color w:val="auto"/>
        </w:rPr>
      </w:pPr>
    </w:p>
    <w:p>
      <w:pPr>
        <w:ind w:left="80" w:right="100" w:firstLine="420"/>
        <w:spacing w:after="0" w:line="268" w:lineRule="auto"/>
        <w:rPr>
          <w:sz w:val="20"/>
          <w:szCs w:val="20"/>
          <w:color w:val="auto"/>
        </w:rPr>
      </w:pPr>
      <w:r>
        <w:rPr>
          <w:rFonts w:ascii="Times New Roman" w:cs="Times New Roman" w:eastAsia="Times New Roman" w:hAnsi="Times New Roman"/>
          <w:sz w:val="13"/>
          <w:szCs w:val="13"/>
          <w:color w:val="auto"/>
        </w:rPr>
        <w:t>In addition to the asset coverage ratio requirements, our Truist Credit Facility contains various covenants which, if not complied with, could accelerate repayment under the Truist Credit Facility. This could have a material adverse effect on our business, financial condition and results of operations. Our borrowings under our Truist Credit Facility are collateralized by the assets in our investment portfolio. The agreements governing the Truist Credit Facility require us to comply with certain financial and operational covenants. These covenants include:</w:t>
      </w:r>
    </w:p>
    <w:p>
      <w:pPr>
        <w:spacing w:after="0" w:line="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•A requirement to retain our status as a RIC;</w:t>
      </w:r>
    </w:p>
    <w:p>
      <w:pPr>
        <w:spacing w:after="0" w:line="1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•A requirement to maintain a minimum amount of stockholders’ equity; and</w:t>
      </w:r>
    </w:p>
    <w:p>
      <w:pPr>
        <w:spacing w:after="0" w:line="1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•A requirement that our outstanding borrowings under the Truist Credit Facility not exceed a certain percentage of the value of our portfolio.</w:t>
      </w:r>
    </w:p>
    <w:p>
      <w:pPr>
        <w:spacing w:after="0" w:line="127" w:lineRule="exact"/>
        <w:rPr>
          <w:sz w:val="20"/>
          <w:szCs w:val="20"/>
          <w:color w:val="auto"/>
        </w:rPr>
      </w:pPr>
    </w:p>
    <w:p>
      <w:pPr>
        <w:ind w:left="80" w:right="160" w:firstLine="420"/>
        <w:spacing w:after="0" w:line="262" w:lineRule="auto"/>
        <w:rPr>
          <w:sz w:val="20"/>
          <w:szCs w:val="20"/>
          <w:color w:val="auto"/>
        </w:rPr>
      </w:pPr>
      <w:r>
        <w:rPr>
          <w:rFonts w:ascii="Times New Roman" w:cs="Times New Roman" w:eastAsia="Times New Roman" w:hAnsi="Times New Roman"/>
          <w:sz w:val="13"/>
          <w:szCs w:val="13"/>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This could have a material adverse effect on our operations, as it would reduce availability under the Truist Credit Facility and could trigger mandatory prepayment obligations under the terms of the Truist Credit Facility.</w:t>
      </w:r>
    </w:p>
    <w:p>
      <w:pPr>
        <w:spacing w:after="0" w:line="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i w:val="1"/>
          <w:iCs w:val="1"/>
          <w:color w:val="auto"/>
        </w:rPr>
        <w:t>We operate in a highly competitive market for investment opportunities.</w:t>
      </w:r>
    </w:p>
    <w:p>
      <w:pPr>
        <w:spacing w:after="0" w:line="131" w:lineRule="exact"/>
        <w:rPr>
          <w:sz w:val="20"/>
          <w:szCs w:val="20"/>
          <w:color w:val="auto"/>
        </w:rPr>
      </w:pPr>
    </w:p>
    <w:p>
      <w:pPr>
        <w:ind w:left="80" w:right="100" w:firstLine="420"/>
        <w:spacing w:after="0" w:line="254" w:lineRule="auto"/>
        <w:rPr>
          <w:sz w:val="20"/>
          <w:szCs w:val="20"/>
          <w:color w:val="auto"/>
        </w:rPr>
      </w:pPr>
      <w:r>
        <w:rPr>
          <w:rFonts w:ascii="Times New Roman" w:cs="Times New Roman" w:eastAsia="Times New Roman" w:hAnsi="Times New Roman"/>
          <w:sz w:val="13"/>
          <w:szCs w:val="13"/>
          <w:color w:val="auto"/>
        </w:rPr>
        <w:t>A number of entities compete with us to make the types of investments that we make in middle- 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 -market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01" w:lineRule="exact"/>
        <w:rPr>
          <w:sz w:val="20"/>
          <w:szCs w:val="20"/>
          <w:color w:val="auto"/>
        </w:rPr>
      </w:pPr>
    </w:p>
    <w:p>
      <w:pPr>
        <w:ind w:left="80" w:firstLine="420"/>
        <w:spacing w:after="0" w:line="262" w:lineRule="auto"/>
        <w:rPr>
          <w:sz w:val="20"/>
          <w:szCs w:val="20"/>
          <w:color w:val="auto"/>
        </w:rPr>
      </w:pPr>
      <w:r>
        <w:rPr>
          <w:rFonts w:ascii="Times New Roman" w:cs="Times New Roman" w:eastAsia="Times New Roman" w:hAnsi="Times New Roman"/>
          <w:sz w:val="13"/>
          <w:szCs w:val="13"/>
          <w:color w:val="auto"/>
        </w:rPr>
        <w:t>Participants in our industry compete on several factors, including price, flexibility in transaction structuring, customer service, reputation, market knowledge and speed in decision- 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i w:val="1"/>
          <w:iCs w:val="1"/>
          <w:color w:val="auto"/>
        </w:rPr>
        <w:t>Our borrowers may default on their payments, which may have a materially negative effect on our financial performance.</w:t>
      </w:r>
    </w:p>
    <w:p>
      <w:pPr>
        <w:spacing w:after="0" w:line="131" w:lineRule="exact"/>
        <w:rPr>
          <w:sz w:val="20"/>
          <w:szCs w:val="20"/>
          <w:color w:val="auto"/>
        </w:rPr>
      </w:pPr>
    </w:p>
    <w:p>
      <w:pPr>
        <w:ind w:left="80" w:right="480" w:firstLine="420"/>
        <w:spacing w:after="0" w:line="286" w:lineRule="auto"/>
        <w:rPr>
          <w:sz w:val="20"/>
          <w:szCs w:val="20"/>
          <w:color w:val="auto"/>
        </w:rPr>
      </w:pPr>
      <w:r>
        <w:rPr>
          <w:rFonts w:ascii="Times New Roman" w:cs="Times New Roman" w:eastAsia="Times New Roman" w:hAnsi="Times New Roman"/>
          <w:sz w:val="13"/>
          <w:szCs w:val="13"/>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76" w:lineRule="exact"/>
        <w:rPr>
          <w:sz w:val="20"/>
          <w:szCs w:val="20"/>
          <w:color w:val="auto"/>
        </w:rPr>
      </w:pPr>
    </w:p>
    <w:p>
      <w:pPr>
        <w:ind w:left="80" w:right="20" w:firstLine="420"/>
        <w:spacing w:after="0" w:line="268" w:lineRule="auto"/>
        <w:rPr>
          <w:sz w:val="20"/>
          <w:szCs w:val="20"/>
          <w:color w:val="auto"/>
        </w:rPr>
      </w:pPr>
      <w:r>
        <w:rPr>
          <w:rFonts w:ascii="Times New Roman" w:cs="Times New Roman" w:eastAsia="Times New Roman" w:hAnsi="Times New Roman"/>
          <w:sz w:val="13"/>
          <w:szCs w:val="13"/>
          <w:color w:val="auto"/>
        </w:rPr>
        <w:t>In addition, market conditions have affected consumer confidence levels, which may harm the business of our portfolio companies and result in adverse changes in payment patterns. Increased delinquencies and default rates would negatively impact our results of operations. Deterioration in the credit quality of our portfolio could have a material adverse effect on our business, financial condition and results of operations. If interest rates rise, some of our portfolio companies may not be able to pay the escalating interest on our loans and may default.</w:t>
      </w:r>
    </w:p>
    <w:p>
      <w:pPr>
        <w:spacing w:after="0" w:line="87" w:lineRule="exact"/>
        <w:rPr>
          <w:sz w:val="20"/>
          <w:szCs w:val="20"/>
          <w:color w:val="auto"/>
        </w:rPr>
      </w:pPr>
    </w:p>
    <w:p>
      <w:pPr>
        <w:ind w:left="80" w:right="160" w:firstLine="420"/>
        <w:spacing w:after="0" w:line="254" w:lineRule="auto"/>
        <w:rPr>
          <w:sz w:val="20"/>
          <w:szCs w:val="20"/>
          <w:color w:val="auto"/>
        </w:rPr>
      </w:pPr>
      <w:r>
        <w:rPr>
          <w:rFonts w:ascii="Times New Roman" w:cs="Times New Roman" w:eastAsia="Times New Roman" w:hAnsi="Times New Roman"/>
          <w:sz w:val="13"/>
          <w:szCs w:val="13"/>
          <w:color w:val="auto"/>
        </w:rPr>
        <w:t>We make long-term loans and debt investments, which may involve a high degree of repayment risk. Our investments with a deferred interest feature, such as OID income and PIK interest, could represent a higher credit risk than investments that must pay interest in full in cash on a regular basis. We invest in companies that may have limited financial resources, typically are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adversely affect our financial condition and results of operations.</w:t>
      </w:r>
    </w:p>
    <w:p>
      <w:pPr>
        <w:spacing w:after="0" w:line="9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i w:val="1"/>
          <w:iCs w:val="1"/>
          <w:color w:val="auto"/>
        </w:rPr>
        <w:t>Any unrealized losses we experience on our investment portfolio may be an indication of future realized losses, which could reduce our income available for distribution.</w:t>
      </w:r>
    </w:p>
    <w:p>
      <w:pPr>
        <w:spacing w:after="0" w:line="131" w:lineRule="exact"/>
        <w:rPr>
          <w:sz w:val="20"/>
          <w:szCs w:val="20"/>
          <w:color w:val="auto"/>
        </w:rPr>
      </w:pPr>
    </w:p>
    <w:p>
      <w:pPr>
        <w:ind w:left="80" w:right="140" w:firstLine="420"/>
        <w:spacing w:after="0" w:line="262" w:lineRule="auto"/>
        <w:rPr>
          <w:sz w:val="20"/>
          <w:szCs w:val="20"/>
          <w:color w:val="auto"/>
        </w:rPr>
      </w:pPr>
      <w:r>
        <w:rPr>
          <w:rFonts w:ascii="Times New Roman" w:cs="Times New Roman" w:eastAsia="Times New Roman" w:hAnsi="Times New Roman"/>
          <w:sz w:val="13"/>
          <w:szCs w:val="13"/>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1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425450</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1156" w:right="680" w:bottom="1440" w:gutter="0" w:footer="0" w:header="0"/>
        </w:sectPr>
      </w:pPr>
    </w:p>
    <w:bookmarkStart w:id="21" w:name="page22"/>
    <w:bookmarkEnd w:id="21"/>
    <w:p>
      <w:pPr>
        <w:ind w:right="200" w:firstLine="420"/>
        <w:spacing w:after="0" w:line="286" w:lineRule="auto"/>
        <w:rPr>
          <w:sz w:val="20"/>
          <w:szCs w:val="20"/>
          <w:color w:val="auto"/>
        </w:rPr>
      </w:pPr>
      <w:r>
        <w:rPr>
          <w:rFonts w:ascii="Times New Roman" w:cs="Times New Roman" w:eastAsia="Times New Roman" w:hAnsi="Times New Roman"/>
          <w:sz w:val="13"/>
          <w:szCs w:val="13"/>
          <w:color w:val="auto"/>
        </w:rPr>
        <w:t>If the fair value of our portfolio companies reflects unrealized losses that are subsequently realized, we could experience reductions of our income available for distribution in future periods that could materially harm our results of operations and cause a material decline in the value of our publicly traded common stock.</w:t>
      </w:r>
    </w:p>
    <w:p>
      <w:pPr>
        <w:spacing w:after="0" w:line="72"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72"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We depend on the diligence, skill and network of business contacts of the senior investment professionals of our Investment Adviser for our future success. We also depend, to a significant extent, on PennantPark Investment Advisers’ access to the investment information and deal flow generated by these senior investment professionals and any others that may be hired by PennantPark Investment Advisers. Subject to the overall supervision of our board of directors, the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96" w:lineRule="exact"/>
        <w:rPr>
          <w:sz w:val="20"/>
          <w:szCs w:val="20"/>
          <w:color w:val="auto"/>
        </w:rPr>
      </w:pPr>
    </w:p>
    <w:p>
      <w:pPr>
        <w:ind w:right="80" w:firstLine="420"/>
        <w:spacing w:after="0" w:line="268" w:lineRule="auto"/>
        <w:rPr>
          <w:sz w:val="20"/>
          <w:szCs w:val="20"/>
          <w:color w:val="auto"/>
        </w:rPr>
      </w:pPr>
      <w:r>
        <w:rPr>
          <w:rFonts w:ascii="Times New Roman" w:cs="Times New Roman" w:eastAsia="Times New Roman" w:hAnsi="Times New Roman"/>
          <w:sz w:val="13"/>
          <w:szCs w:val="13"/>
          <w:color w:val="auto"/>
        </w:rPr>
        <w:t>If our Investment Management Agreement is terminated, our costs under new agreements that we enter into may increase. In addition, we will likely incur significant time and expense in locating alternative parties to provide the services we expect to receive under our Investment Management Agreement. Any new investment management agreement would also be subject to approval by our stockholders.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are exposed to risks associated with changes in interest rates that may affect our cost of capital and net investment income.</w:t>
      </w:r>
    </w:p>
    <w:p>
      <w:pPr>
        <w:spacing w:after="0" w:line="131" w:lineRule="exact"/>
        <w:rPr>
          <w:sz w:val="20"/>
          <w:szCs w:val="20"/>
          <w:color w:val="auto"/>
        </w:rPr>
      </w:pPr>
    </w:p>
    <w:p>
      <w:pPr>
        <w:ind w:right="40" w:firstLine="420"/>
        <w:spacing w:after="0" w:line="254" w:lineRule="auto"/>
        <w:rPr>
          <w:sz w:val="20"/>
          <w:szCs w:val="20"/>
          <w:color w:val="auto"/>
        </w:rPr>
      </w:pPr>
      <w:r>
        <w:rPr>
          <w:rFonts w:ascii="Times New Roman" w:cs="Times New Roman" w:eastAsia="Times New Roman" w:hAnsi="Times New Roman"/>
          <w:sz w:val="13"/>
          <w:szCs w:val="13"/>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and the interest rate on investments with an interest rate floor will not increase until interest rates exceed the applicable floor, which will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which may diminish the actual benefits of any hedging strategy we employ. See “Management’s Discussion and Analysis of Financial Condition and Results of Operations—Quantitative and Qualitative Disclosures about Market Risk” for more information.</w:t>
      </w:r>
    </w:p>
    <w:p>
      <w:pPr>
        <w:spacing w:after="0" w:line="101" w:lineRule="exact"/>
        <w:rPr>
          <w:sz w:val="20"/>
          <w:szCs w:val="20"/>
          <w:color w:val="auto"/>
        </w:rPr>
      </w:pPr>
    </w:p>
    <w:p>
      <w:pPr>
        <w:ind w:right="80" w:firstLine="420"/>
        <w:spacing w:after="0" w:line="268" w:lineRule="auto"/>
        <w:rPr>
          <w:sz w:val="20"/>
          <w:szCs w:val="20"/>
          <w:color w:val="auto"/>
        </w:rPr>
      </w:pPr>
      <w:r>
        <w:rPr>
          <w:rFonts w:ascii="Times New Roman" w:cs="Times New Roman" w:eastAsia="Times New Roman" w:hAnsi="Times New Roman"/>
          <w:sz w:val="13"/>
          <w:szCs w:val="13"/>
          <w:color w:val="auto"/>
        </w:rPr>
        <w:t>A rise in the general level of interest rates can be expected to lead to higher interest rates applicable to our debt investments once the interest rate exceeds the applicable floor.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87"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General interest rate fluctuations may have a substantial negative impact on our investments, the value of our common stock and our rate of return on invested capital. A reduction in interest rates may result in both lower interest rates on new investments and higher repayments on current investments with higher interest rates, which may have an adverse impact on our net investment income. An increase in interest rates could decrease the value of any investments we hold which earn fixed interest rates or are subject to interest rate floors and also could increase our interest expense on our Truist Credit Facility, thereby decreasing our net investment income. Also, an increase in interest rates available to investors could make an investment in our common stock less attractive if we are not able to increase our dividend rate, which could reduce the value of our common stock.</w:t>
      </w:r>
    </w:p>
    <w:p>
      <w:pPr>
        <w:spacing w:after="0" w:line="94" w:lineRule="exact"/>
        <w:rPr>
          <w:sz w:val="20"/>
          <w:szCs w:val="20"/>
          <w:color w:val="auto"/>
        </w:rPr>
      </w:pPr>
    </w:p>
    <w:p>
      <w:pPr>
        <w:ind w:right="20" w:firstLine="420"/>
        <w:spacing w:after="0" w:line="260" w:lineRule="auto"/>
        <w:rPr>
          <w:sz w:val="20"/>
          <w:szCs w:val="20"/>
          <w:color w:val="auto"/>
        </w:rPr>
      </w:pPr>
      <w:r>
        <w:rPr>
          <w:rFonts w:ascii="Times New Roman" w:cs="Times New Roman" w:eastAsia="Times New Roman" w:hAnsi="Times New Roman"/>
          <w:sz w:val="13"/>
          <w:szCs w:val="13"/>
          <w:color w:val="auto"/>
        </w:rPr>
        <w:t>If general interest rates rise, there is a risk that the portfolio companies in which we hold floating rate securities will be unable to pay escalating interest amounts, which could result in a default under their loan documents with us. Rising interest rates could also cause portfolio companies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to our portfolio companies, which could adversely affect our net investment income, as any increases in our cost of borrowed funds would not be accompanied by increased interest income from such fixed-rate investments.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financial condition and results of operation depend on our ability to manage future growth effectively.</w:t>
      </w:r>
    </w:p>
    <w:p>
      <w:pPr>
        <w:spacing w:after="0" w:line="131" w:lineRule="exact"/>
        <w:rPr>
          <w:sz w:val="20"/>
          <w:szCs w:val="20"/>
          <w:color w:val="auto"/>
        </w:rPr>
      </w:pPr>
    </w:p>
    <w:p>
      <w:pPr>
        <w:ind w:firstLine="420"/>
        <w:spacing w:after="0" w:line="255" w:lineRule="auto"/>
        <w:rPr>
          <w:sz w:val="20"/>
          <w:szCs w:val="20"/>
          <w:color w:val="auto"/>
        </w:rPr>
      </w:pPr>
      <w:r>
        <w:rPr>
          <w:rFonts w:ascii="Times New Roman" w:cs="Times New Roman" w:eastAsia="Times New Roman" w:hAnsi="Times New Roman"/>
          <w:sz w:val="13"/>
          <w:szCs w:val="13"/>
          <w:color w:val="auto"/>
        </w:rPr>
        <w:t>Our ability to achieve our investment objectives depends on our ability to grow, which depends, in turn, on our Investment Adviser’s ability to identify, invest in and monitor companies that meet our investment selection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for us to grow, our Investment Adviser will need to hire, train, supervise and manage new employees. However, we can offer no assurance that any current or future employees will contribute effectively to the work of, or remain associated with, the Investment Adviser. We caution you that the principals of our Investment Adviser or Administrator may also be called upon to provide and currently do provide significant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are highly dependent on information systems and systems failures could have a material adverse effect on our business, financial condition and results of operations.</w:t>
      </w:r>
    </w:p>
    <w:p>
      <w:pPr>
        <w:spacing w:after="0" w:line="131" w:lineRule="exact"/>
        <w:rPr>
          <w:sz w:val="20"/>
          <w:szCs w:val="20"/>
          <w:color w:val="auto"/>
        </w:rPr>
      </w:pPr>
    </w:p>
    <w:p>
      <w:pPr>
        <w:ind w:right="80" w:firstLine="420"/>
        <w:spacing w:after="0" w:line="268" w:lineRule="auto"/>
        <w:rPr>
          <w:sz w:val="20"/>
          <w:szCs w:val="20"/>
          <w:color w:val="auto"/>
        </w:rPr>
      </w:pPr>
      <w:r>
        <w:rPr>
          <w:rFonts w:ascii="Times New Roman" w:cs="Times New Roman" w:eastAsia="Times New Roman" w:hAnsi="Times New Roman"/>
          <w:sz w:val="13"/>
          <w:szCs w:val="13"/>
          <w:color w:val="auto"/>
        </w:rPr>
        <w:t>Our business depends on the communications and information systems, including financial and accounting systems, of the Investment Adviser, the Administrator and our external service providers. Any failure or interruption of such systems could cause delays or other problems in our activities. This, in turn, could have a material adverse effect on our business, financial condition and results of operations.</w:t>
      </w: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78" w:right="660" w:bottom="1440" w:gutter="0" w:footer="0" w:header="0"/>
        </w:sectPr>
      </w:pPr>
    </w:p>
    <w:bookmarkStart w:id="22" w:name="page23"/>
    <w:bookmarkEnd w:id="22"/>
    <w:p>
      <w:pPr>
        <w:ind w:right="34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08" w:lineRule="exact"/>
        <w:rPr>
          <w:sz w:val="20"/>
          <w:szCs w:val="20"/>
          <w:color w:val="auto"/>
        </w:rPr>
      </w:pPr>
    </w:p>
    <w:p>
      <w:pPr>
        <w:ind w:firstLine="420"/>
        <w:spacing w:after="0" w:line="256" w:lineRule="auto"/>
        <w:rPr>
          <w:sz w:val="20"/>
          <w:szCs w:val="20"/>
          <w:color w:val="auto"/>
        </w:rPr>
      </w:pPr>
      <w:r>
        <w:rPr>
          <w:rFonts w:ascii="Times New Roman" w:cs="Times New Roman" w:eastAsia="Times New Roman" w:hAnsi="Times New Roman"/>
          <w:sz w:val="13"/>
          <w:szCs w:val="13"/>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of 2002, or the subsequent testing by our independent registered public accounting firm (when undertaken, as noted below), may reveal deficiencies in our internal controls over financial reporting that are deemed to be significant deficiencies, material weaknesses or that may require prospective or retroactive changes to our consolidated financial statements or identify other areas for further attention or improvement. We have identified material weaknesses in our internal controls over financial reporting in the past and may identify other material weaknesses or significant deficiencies in the future. Inferior internal controls could also cause investors and lenders to lose confidence in our reported financial information, which could have a negative effect on the trading price of our common stock.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not replicate the historical performance of other investment companies and funds with which our senior and other investment professionals have been or are affiliated.</w:t>
      </w:r>
    </w:p>
    <w:p>
      <w:pPr>
        <w:spacing w:after="0" w:line="131" w:lineRule="exact"/>
        <w:rPr>
          <w:sz w:val="20"/>
          <w:szCs w:val="20"/>
          <w:color w:val="auto"/>
        </w:rPr>
      </w:pPr>
    </w:p>
    <w:p>
      <w:pPr>
        <w:ind w:right="20" w:firstLine="420"/>
        <w:spacing w:after="0" w:line="257" w:lineRule="auto"/>
        <w:rPr>
          <w:sz w:val="20"/>
          <w:szCs w:val="20"/>
          <w:color w:val="auto"/>
        </w:rPr>
      </w:pPr>
      <w:r>
        <w:rPr>
          <w:rFonts w:ascii="Times New Roman" w:cs="Times New Roman" w:eastAsia="Times New Roman" w:hAnsi="Times New Roman"/>
          <w:sz w:val="13"/>
          <w:szCs w:val="13"/>
          <w:color w:val="auto"/>
        </w:rPr>
        <w:t>The 1940 Act imposes numerous constraints on the investment activities of BDCs. For example, BDCs are required to invest at least 70% of their total assets primarily in securities of U.S. private companies or thinly traded public companies (i.e.,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and funds advised by the Investment Adviser. Accordingly, we can offer no assurance that we will replicate the historical performance of other investment companies and funds with which our senior and other investment professionals have been affiliated, and we caution that our investment returns could be substantially lower than the returns achieved by such other companies.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Any failure on our part to maintain our status as a BDC would reduce our operating flexibility.</w:t>
      </w:r>
    </w:p>
    <w:p>
      <w:pPr>
        <w:spacing w:after="0" w:line="131" w:lineRule="exact"/>
        <w:rPr>
          <w:sz w:val="20"/>
          <w:szCs w:val="20"/>
          <w:color w:val="auto"/>
        </w:rPr>
      </w:pPr>
    </w:p>
    <w:p>
      <w:pPr>
        <w:ind w:right="260" w:firstLine="420"/>
        <w:spacing w:after="0" w:line="286" w:lineRule="auto"/>
        <w:rPr>
          <w:sz w:val="20"/>
          <w:szCs w:val="20"/>
          <w:color w:val="auto"/>
        </w:rPr>
      </w:pPr>
      <w:r>
        <w:rPr>
          <w:rFonts w:ascii="Times New Roman" w:cs="Times New Roman" w:eastAsia="Times New Roman" w:hAnsi="Times New Roman"/>
          <w:sz w:val="13"/>
          <w:szCs w:val="13"/>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Loss of RIC tax status would substantially reduce our net assets and income available for debt service and distributions.</w:t>
      </w:r>
    </w:p>
    <w:p>
      <w:pPr>
        <w:spacing w:after="0" w:line="131" w:lineRule="exact"/>
        <w:rPr>
          <w:sz w:val="20"/>
          <w:szCs w:val="20"/>
          <w:color w:val="auto"/>
        </w:rPr>
      </w:pPr>
    </w:p>
    <w:p>
      <w:pPr>
        <w:ind w:right="20" w:firstLine="420"/>
        <w:spacing w:after="0" w:line="256" w:lineRule="auto"/>
        <w:rPr>
          <w:sz w:val="20"/>
          <w:szCs w:val="20"/>
          <w:color w:val="auto"/>
        </w:rPr>
      </w:pPr>
      <w:r>
        <w:rPr>
          <w:rFonts w:ascii="Times New Roman" w:cs="Times New Roman" w:eastAsia="Times New Roman" w:hAnsi="Times New Roman"/>
          <w:sz w:val="13"/>
          <w:szCs w:val="13"/>
          <w:color w:val="auto"/>
        </w:rPr>
        <w:t>We have operated and continue to operate so as to maintain our election to be treated as a RIC under Subchapter M of the Code. If we meet the 90% Income Test, the Diversification Tests, and the Annual Distribution Requirement, we generally will not be subject to corporate-level income taxation on income we timely distribute, or are deemed to distribute, as dividends for U.S. federal income tax purposes to our stockholders. We would cease to qualify for such tax treatment if we were unable to comply with these requirements. In addition, we may have difficulty meeting our Annual Distribution Requirement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4% nondeductible excise tax if we do not distribute to our stockholders in respect of each calendar year an amount at least equal to the Excise Tax Avoidance Requirement.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have difficulty paying our Annual Distribution Requirement if we recognize income before or without receiving cash representing such income.</w:t>
      </w:r>
    </w:p>
    <w:p>
      <w:pPr>
        <w:spacing w:after="0" w:line="131"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For federal income tax purposes, we include in income certain amounts that we have not yet received in cash, such as OID and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 such as amounts attributable to foreign currency transactions. Our investments with a deferred interest feature, such as PIK interest, may represent a higher credit risk than loans for which interest must be paid in full in cash on a regular basis. For example, even if the accounting conditions for income accrual are met, the borrower could still default when our actual collection is scheduled to occur upon maturity of the obligation.</w:t>
      </w:r>
    </w:p>
    <w:p>
      <w:pPr>
        <w:spacing w:after="0" w:line="94" w:lineRule="exact"/>
        <w:rPr>
          <w:sz w:val="20"/>
          <w:szCs w:val="20"/>
          <w:color w:val="auto"/>
        </w:rPr>
      </w:pPr>
    </w:p>
    <w:p>
      <w:pPr>
        <w:ind w:right="160" w:firstLine="420"/>
        <w:spacing w:after="0" w:line="268" w:lineRule="auto"/>
        <w:rPr>
          <w:sz w:val="20"/>
          <w:szCs w:val="20"/>
          <w:color w:val="auto"/>
        </w:rPr>
      </w:pPr>
      <w:r>
        <w:rPr>
          <w:rFonts w:ascii="Times New Roman" w:cs="Times New Roman" w:eastAsia="Times New Roman" w:hAnsi="Times New Roman"/>
          <w:sz w:val="13"/>
          <w:szCs w:val="13"/>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PIK or OID interest, it is possible that accrued interest previously used in the calculation of the incentive fee will become uncollectible.</w:t>
      </w:r>
    </w:p>
    <w:p>
      <w:pPr>
        <w:spacing w:after="0" w:line="87" w:lineRule="exact"/>
        <w:rPr>
          <w:sz w:val="20"/>
          <w:szCs w:val="20"/>
          <w:color w:val="auto"/>
        </w:rPr>
      </w:pPr>
    </w:p>
    <w:p>
      <w:pPr>
        <w:ind w:right="120" w:firstLine="420"/>
        <w:spacing w:after="0" w:line="268" w:lineRule="auto"/>
        <w:rPr>
          <w:sz w:val="20"/>
          <w:szCs w:val="20"/>
          <w:color w:val="auto"/>
        </w:rPr>
      </w:pPr>
      <w:r>
        <w:rPr>
          <w:rFonts w:ascii="Times New Roman" w:cs="Times New Roman" w:eastAsia="Times New Roman" w:hAnsi="Times New Roman"/>
          <w:sz w:val="13"/>
          <w:szCs w:val="13"/>
          <w:color w:val="auto"/>
        </w:rPr>
        <w:t>If we are unable to satisfy the Annual Distribution Requirement, we may have to sell some of our investments at times or prices we would not consider advantageous, or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lose our ability to be subject to tax as a RIC and thus be subject to corporate-level income tax.</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274" w:right="70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3"/>
          <w:szCs w:val="13"/>
          <w:b w:val="1"/>
          <w:bCs w:val="1"/>
          <w:i w:val="1"/>
          <w:iCs w:val="1"/>
          <w:color w:val="auto"/>
        </w:rPr>
        <w:t>Legislation enacted in 2018 allows us to incur additional leverage.</w:t>
      </w:r>
    </w:p>
    <w:p>
      <w:pPr>
        <w:spacing w:after="0" w:line="167" w:lineRule="exact"/>
        <w:rPr>
          <w:sz w:val="20"/>
          <w:szCs w:val="20"/>
          <w:color w:val="auto"/>
        </w:rPr>
      </w:pPr>
    </w:p>
    <w:p>
      <w:pPr>
        <w:ind w:firstLine="420"/>
        <w:spacing w:after="0" w:line="254" w:lineRule="auto"/>
        <w:rPr>
          <w:sz w:val="20"/>
          <w:szCs w:val="20"/>
          <w:color w:val="auto"/>
        </w:rPr>
      </w:pPr>
      <w:r>
        <w:rPr>
          <w:rFonts w:ascii="Times New Roman" w:cs="Times New Roman" w:eastAsia="Times New Roman" w:hAnsi="Times New Roman"/>
          <w:sz w:val="13"/>
          <w:szCs w:val="13"/>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enacted which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 On February 5, 2019, our stockholders approved such reduction, as approved by our board of directors on November 13, 2018. As such, we are able to incur additional indebtedness so long as we comply with the applicable disclosure requirements, which may increase the risk of investing in us. Under the 200% minimum asset coverage ratio, we were permitted to borrow up to one dollar for investment purposes for every one dollar of investor equity and, under the 150% minimum asset coverage ratio, we are permitted to borrow up to two dollars for investment purposes for every one dollar of investor equity. In other words, Section 61(a)(2) of the 1940 Act permits BDCs to potentially increase their debt-to-equity ratio from a maximum of 1-to-1 to a maximum of 2-to-1. In addition, since our base management fee is determined and payable based upon our average adjusted gross assets, which includes any borrowings for investment purposes, our base management fee expense may increase if we incur additional leverage. Effective February 5, 2019, base management fees were reduced from 1.50% to 1.00% on gross assets that exceed 200% of our total net assets as of the immediately preceding quarter-end.</w:t>
      </w:r>
    </w:p>
    <w:p>
      <w:pPr>
        <w:spacing w:after="0" w:line="92" w:lineRule="exact"/>
        <w:rPr>
          <w:sz w:val="20"/>
          <w:szCs w:val="20"/>
          <w:color w:val="auto"/>
        </w:rPr>
      </w:pPr>
    </w:p>
    <w:p>
      <w:pPr>
        <w:ind w:right="32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Because we intend to distribute substantially all of our income to our stockholders to maintain our ability to be subject to tax as a RIC, we may need to raise additional capital to finance our growth. If funds are not available to us, we may need to curtail new investments, and our common stock value could decline.</w:t>
      </w:r>
    </w:p>
    <w:p>
      <w:pPr>
        <w:spacing w:after="0" w:line="72" w:lineRule="exact"/>
        <w:rPr>
          <w:sz w:val="20"/>
          <w:szCs w:val="20"/>
          <w:color w:val="auto"/>
        </w:rPr>
      </w:pPr>
    </w:p>
    <w:p>
      <w:pPr>
        <w:ind w:right="100" w:firstLine="420"/>
        <w:spacing w:after="0" w:line="268" w:lineRule="auto"/>
        <w:rPr>
          <w:sz w:val="20"/>
          <w:szCs w:val="20"/>
          <w:color w:val="auto"/>
        </w:rPr>
      </w:pPr>
      <w:r>
        <w:rPr>
          <w:rFonts w:ascii="Times New Roman" w:cs="Times New Roman" w:eastAsia="Times New Roman" w:hAnsi="Times New Roman"/>
          <w:sz w:val="13"/>
          <w:szCs w:val="13"/>
          <w:color w:val="auto"/>
        </w:rPr>
        <w:t>In connection with satisfying the requirements to be subject to tax as a RIC, we intend to distribute to our stockholders substantially all of our investment company taxable income and net capital gains each taxable year. However, we may retain all or a portion of our net capital gains and incur applicable income taxes with respect thereto and elect to treat such retained net capital gains as deemed dividend distributions to our stockholders.</w:t>
      </w:r>
    </w:p>
    <w:p>
      <w:pPr>
        <w:spacing w:after="0" w:line="87"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As noted above, on November 13, 2018 and February 5, 2019, our board of directors, including a “required majority” (as such term is defined in Section 57(o) of the 1940 Act), and our stockholders, respectively, approved a reduction of our asset coverage ratio from 200% to 150%. The asset coverage requirement applicable to us for senior securities was reduced from 200% (i.e., $1 of debt outstanding for each $1 of equity) to 150% (i.e., $2 of debt outstanding for each $1 of equity). If we incur additional indebtedness under this provision, the risk of investing in us will increase. If the value of our assets declines, we may be unable to satisfy this asset coverage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Regulations governing our operation as a BDC will affect our ability to, and the way in which we raise additional capital.</w:t>
      </w:r>
    </w:p>
    <w:p>
      <w:pPr>
        <w:spacing w:after="0" w:line="131" w:lineRule="exact"/>
        <w:rPr>
          <w:sz w:val="20"/>
          <w:szCs w:val="20"/>
          <w:color w:val="auto"/>
        </w:rPr>
      </w:pPr>
    </w:p>
    <w:p>
      <w:pPr>
        <w:ind w:right="20" w:firstLine="420"/>
        <w:spacing w:after="0" w:line="255" w:lineRule="auto"/>
        <w:rPr>
          <w:sz w:val="20"/>
          <w:szCs w:val="20"/>
          <w:color w:val="auto"/>
        </w:rPr>
      </w:pPr>
      <w:r>
        <w:rPr>
          <w:rFonts w:ascii="Times New Roman" w:cs="Times New Roman" w:eastAsia="Times New Roman" w:hAnsi="Times New Roman"/>
          <w:sz w:val="13"/>
          <w:szCs w:val="13"/>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or through SBA debentures. However, we may not be able to raise additional capital in the future on favorable terms or at all. We may issue debt securities or preferred securities, which we refer to collectively as “senior securities,” and we may borrow money from banks, through the SBA debenture program or other financial institutions, up to the maximum amount permitted by the 1940 Act. Under the 1940 Act, the asset coverage ratio requirements permit us to issue senior securities or incur indebtedness subject to certain limitations, exclusive of the SBA debentures pursuant to our SEC exemptive relief. Our ability to pay distributions or issue additional senior securities would be restricted if our asset coverage ratio was not met. If the value of our assets declines, we may be unable to satisfy the asset coverage ratio. If that happens, we may be required to liquidate a portion of our investments and repay a portion of our indebtedness at a time when such sales may be disadvantageous, which could materially harm our business, financial condition and results of operations.</w:t>
      </w:r>
    </w:p>
    <w:p>
      <w:pPr>
        <w:spacing w:after="0" w:line="94" w:lineRule="exact"/>
        <w:rPr>
          <w:sz w:val="20"/>
          <w:szCs w:val="20"/>
          <w:color w:val="auto"/>
        </w:rPr>
      </w:pPr>
    </w:p>
    <w:p>
      <w:pPr>
        <w:ind w:left="540" w:right="20"/>
        <w:spacing w:after="0" w:line="26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Senior Securities.</w:t>
      </w:r>
      <w:r>
        <w:rPr>
          <w:rFonts w:ascii="Times New Roman" w:cs="Times New Roman" w:eastAsia="Times New Roman" w:hAnsi="Times New Roman"/>
          <w:sz w:val="13"/>
          <w:szCs w:val="13"/>
          <w:color w:val="auto"/>
        </w:rPr>
        <w:t xml:space="preserve"> As a result of issuing senior securities, we are exposed to typical risks associated with leverage, including an increased risk of 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87" w:lineRule="exact"/>
        <w:rPr>
          <w:sz w:val="20"/>
          <w:szCs w:val="20"/>
          <w:color w:val="auto"/>
        </w:rPr>
      </w:pPr>
    </w:p>
    <w:p>
      <w:pPr>
        <w:ind w:left="540" w:right="20"/>
        <w:spacing w:after="0" w:line="25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Additional Common Stock.</w:t>
      </w:r>
      <w:r>
        <w:rPr>
          <w:rFonts w:ascii="Times New Roman" w:cs="Times New Roman" w:eastAsia="Times New Roman" w:hAnsi="Times New Roman"/>
          <w:sz w:val="13"/>
          <w:szCs w:val="13"/>
          <w:color w:val="auto"/>
        </w:rPr>
        <w:t xml:space="preserve"> Our board of directors may decide to issue common stock to finance our operations rather than issuing debt or other senior securities. As a BDC, we are generally not able to issue our common stock at a price below NAV per share without first obtaining certain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However, when required to be undertaken, the procedures used by the board of directors to determine the NAV per share of our common stock within 48 hours of each offering of our common stock may differ materially from and will necessarily be more abbreviated than the procedures used by the board of directors to determine the NAV per share of our common stock at the end of each quarter because there is a an extensive process each quarter to determine the NAV per share of our common stock which cannot be completed in 48 hours. The quarterly process includes preliminary valuation conclusions, engagement of independent valuation firms and review by those firms of preliminary valuation conclusions. By contrast, the procedures in connection with an offering may yield a NAV that is less precise than the NAV determined at the end of each quarter.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for us to file a post-effective amendment to a registration statement on Form N- 2,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74" w:right="680" w:bottom="1440" w:gutter="0" w:footer="0" w:header="0"/>
        </w:sectPr>
      </w:pPr>
    </w:p>
    <w:bookmarkStart w:id="24" w:name="page25"/>
    <w:bookmarkEnd w:id="24"/>
    <w:p>
      <w:pPr>
        <w:ind w:left="540" w:right="20"/>
        <w:spacing w:after="0" w:line="25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Securitization.</w:t>
      </w:r>
      <w:r>
        <w:rPr>
          <w:rFonts w:ascii="Times New Roman" w:cs="Times New Roman" w:eastAsia="Times New Roman" w:hAnsi="Times New Roman"/>
          <w:sz w:val="13"/>
          <w:szCs w:val="13"/>
          <w:color w:val="auto"/>
        </w:rPr>
        <w:t xml:space="preserve"> In addition to issuing securities to raise capital as described above, we anticipate that in the future, as market conditions and the rules and regulations of the SEC permit, we may 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92" w:lineRule="exact"/>
        <w:rPr>
          <w:sz w:val="20"/>
          <w:szCs w:val="20"/>
          <w:color w:val="auto"/>
        </w:rPr>
      </w:pPr>
    </w:p>
    <w:p>
      <w:pPr>
        <w:ind w:left="540" w:right="240"/>
        <w:spacing w:after="0" w:line="26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SBA Debentures.</w:t>
      </w:r>
      <w:r>
        <w:rPr>
          <w:rFonts w:ascii="Times New Roman" w:cs="Times New Roman" w:eastAsia="Times New Roman" w:hAnsi="Times New Roman"/>
          <w:sz w:val="13"/>
          <w:szCs w:val="13"/>
          <w:color w:val="auto"/>
        </w:rPr>
        <w:t xml:space="preserve"> In addition to issuing securities and using securitizations to raise capital as described above, we have historically issued and may in the future issue, as permitted under SBA regulations and through our wholly-owned subsidiary, SBIC II, and any future SBIC subsidiary, SBA debentures to generate cash for funding new investments. To issue SBA debentures, we may request commitments for debt capital from the SBA. SBIC II is, and any future SBIC subsidiary has historically been exposed to any losses on its portfolio of loans;, however, such debentures are non-recourse to us.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currently use borrowed funds to make investments and are exposed to the typical risks associated with leverage.</w:t>
      </w:r>
    </w:p>
    <w:p>
      <w:pPr>
        <w:spacing w:after="0" w:line="131" w:lineRule="exact"/>
        <w:rPr>
          <w:sz w:val="20"/>
          <w:szCs w:val="20"/>
          <w:color w:val="auto"/>
        </w:rPr>
      </w:pPr>
    </w:p>
    <w:p>
      <w:pPr>
        <w:ind w:right="180" w:firstLine="420"/>
        <w:spacing w:after="0" w:line="268" w:lineRule="auto"/>
        <w:rPr>
          <w:sz w:val="20"/>
          <w:szCs w:val="20"/>
          <w:color w:val="auto"/>
        </w:rPr>
      </w:pPr>
      <w:r>
        <w:rPr>
          <w:rFonts w:ascii="Times New Roman" w:cs="Times New Roman" w:eastAsia="Times New Roman" w:hAnsi="Times New Roman"/>
          <w:sz w:val="13"/>
          <w:szCs w:val="13"/>
          <w:color w:val="auto"/>
        </w:rPr>
        <w:t>Because we borrow funds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may be restricted when our asset coverage ratio is not met, exclusive of the SBA debentures pursuant to SEC exemptive relief, and any cash that we use to service our indebtedness is not available for distribution to our common stockholders.</w:t>
      </w:r>
    </w:p>
    <w:p>
      <w:pPr>
        <w:spacing w:after="0" w:line="87" w:lineRule="exact"/>
        <w:rPr>
          <w:sz w:val="20"/>
          <w:szCs w:val="20"/>
          <w:color w:val="auto"/>
        </w:rPr>
      </w:pPr>
    </w:p>
    <w:p>
      <w:pPr>
        <w:ind w:right="100" w:firstLine="420"/>
        <w:spacing w:after="0" w:line="262" w:lineRule="auto"/>
        <w:rPr>
          <w:sz w:val="20"/>
          <w:szCs w:val="20"/>
          <w:color w:val="auto"/>
        </w:rPr>
      </w:pPr>
      <w:r>
        <w:rPr>
          <w:rFonts w:ascii="Times New Roman" w:cs="Times New Roman" w:eastAsia="Times New Roman" w:hAnsi="Times New Roman"/>
          <w:sz w:val="13"/>
          <w:szCs w:val="13"/>
          <w:color w:val="auto"/>
        </w:rPr>
        <w:t>Our current debt is governed by the terms of our Facilities, 2026 Notes, and 2026 Notes-2 and future debt may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 and may also carry leverage related risks. Leverage magnifies the potential risks for loss and the risks of investing in us, both as detailed below.</w:t>
      </w:r>
    </w:p>
    <w:p>
      <w:pPr>
        <w:spacing w:after="0" w:line="91"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Additionally, we may in the future, through one or more of our subsidiaries, receive funds from the SBA through its debenture program. In connection with the filing of its initial SBA license application, PennantPark Investment received exemptive relief, in 2011, from the SEC to permit us to exclude the debt of our SBICs from our consolidated asset coverage ratio. Our ratio of total assets on a consolidated basis to outstanding indebtedness may be less than the applicable asset coverage ratio, which while providing increased investment flexibility, would also increase our exposure to risks associated with leverage.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we incur additional debt, it could increase the risk of investing in our shares.</w:t>
      </w:r>
    </w:p>
    <w:p>
      <w:pPr>
        <w:spacing w:after="0" w:line="167" w:lineRule="exact"/>
        <w:rPr>
          <w:sz w:val="20"/>
          <w:szCs w:val="20"/>
          <w:color w:val="auto"/>
        </w:rPr>
      </w:pPr>
    </w:p>
    <w:p>
      <w:pPr>
        <w:ind w:right="60" w:firstLine="420"/>
        <w:spacing w:after="0" w:line="254" w:lineRule="auto"/>
        <w:rPr>
          <w:sz w:val="20"/>
          <w:szCs w:val="20"/>
          <w:color w:val="auto"/>
        </w:rPr>
      </w:pPr>
      <w:r>
        <w:rPr>
          <w:rFonts w:ascii="Times New Roman" w:cs="Times New Roman" w:eastAsia="Times New Roman" w:hAnsi="Times New Roman"/>
          <w:sz w:val="13"/>
          <w:szCs w:val="13"/>
          <w:color w:val="auto"/>
        </w:rPr>
        <w:t>We have indebtedness outstanding pursuant to our Truist Credit Facility, 2026 Notes, and 2026 Notes- 2 and expect in the future to borrow additional amounts under our Truist Credit Facility or otherwise, subject to market availability, and, may increase the size of our Truist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our assets, excluding those of SBIC II, in connection with borrowings under our Truist Credit Facility. In the case of a liquidation event, those lenders would receive proceeds before our stockholders. Any future debt issuance will increase our leverage and may be subordinate to our Truist Credit Facility and SBA debentures. In addition, borrowings or debt issuances and SBA debentures, also known as leverage, magnify the potential for loss or gain on amounts invested and, therefore, increase the risks associated with investing in our securities. Leverage is generally considered a speculative investment technique. If the value of our assets decreases, then the use of leverage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34" w:lineRule="exact"/>
        <w:rPr>
          <w:sz w:val="20"/>
          <w:szCs w:val="20"/>
          <w:color w:val="auto"/>
        </w:rPr>
      </w:pPr>
    </w:p>
    <w:p>
      <w:pPr>
        <w:ind w:right="100" w:firstLine="420"/>
        <w:spacing w:after="0" w:line="268" w:lineRule="auto"/>
        <w:rPr>
          <w:sz w:val="20"/>
          <w:szCs w:val="20"/>
          <w:color w:val="auto"/>
        </w:rPr>
      </w:pPr>
      <w:r>
        <w:rPr>
          <w:rFonts w:ascii="Times New Roman" w:cs="Times New Roman" w:eastAsia="Times New Roman" w:hAnsi="Times New Roman"/>
          <w:sz w:val="13"/>
          <w:szCs w:val="13"/>
          <w:color w:val="auto"/>
        </w:rPr>
        <w:t>As noted above, on November 13, 2018 and February 5, 2019, our board of directors, including a “required majority” (as such term is defined in Section 57(o) of the 1940 Act), and our stockholders, respectively, approved a reduction of our asset coverage ratio. As a result, since February 5, 2019, the asset coverage requirement applicable to us for senior securities was reduced from 200% to 150%, so long as we comply with the applicable disclosure requirements, which may increase the risk of investing in us.</w:t>
      </w:r>
    </w:p>
    <w:p>
      <w:pPr>
        <w:spacing w:after="0" w:line="123" w:lineRule="exact"/>
        <w:rPr>
          <w:sz w:val="20"/>
          <w:szCs w:val="20"/>
          <w:color w:val="auto"/>
        </w:rPr>
      </w:pPr>
    </w:p>
    <w:p>
      <w:pPr>
        <w:ind w:right="100" w:firstLine="420"/>
        <w:spacing w:after="0" w:line="268" w:lineRule="auto"/>
        <w:rPr>
          <w:sz w:val="20"/>
          <w:szCs w:val="20"/>
          <w:color w:val="auto"/>
        </w:rPr>
      </w:pPr>
      <w:r>
        <w:rPr>
          <w:rFonts w:ascii="Times New Roman" w:cs="Times New Roman" w:eastAsia="Times New Roman" w:hAnsi="Times New Roman"/>
          <w:sz w:val="13"/>
          <w:szCs w:val="13"/>
          <w:color w:val="auto"/>
        </w:rPr>
        <w:t>As of September 30, 2024 and 2023, our asset coverage ratio, as computed in accordance with the 1940 Act, was 164% and 195%, respectively. Since our leverage, including SBA debentures outstanding, was 157% and 105% of our net assets as of September 30, 2024 and 2023, respectively, we would have to receive an annual return of at least 3.7% and 2.5%, respectively, to cover annual interest payments.</w:t>
      </w:r>
    </w:p>
    <w:p>
      <w:pPr>
        <w:spacing w:after="0" w:line="123" w:lineRule="exact"/>
        <w:rPr>
          <w:sz w:val="20"/>
          <w:szCs w:val="20"/>
          <w:color w:val="auto"/>
        </w:rPr>
      </w:pPr>
    </w:p>
    <w:p>
      <w:pPr>
        <w:ind w:right="100" w:firstLine="420"/>
        <w:spacing w:after="0" w:line="262" w:lineRule="auto"/>
        <w:rPr>
          <w:sz w:val="20"/>
          <w:szCs w:val="20"/>
          <w:color w:val="auto"/>
        </w:rPr>
      </w:pPr>
      <w:r>
        <w:rPr>
          <w:rFonts w:ascii="Times New Roman" w:cs="Times New Roman" w:eastAsia="Times New Roman" w:hAnsi="Times New Roman"/>
          <w:sz w:val="13"/>
          <w:szCs w:val="13"/>
          <w:color w:val="auto"/>
        </w:rPr>
        <w:t>As of September 30, 2024, we had outstanding borrowings of $461.5 million under our Truist Credit Facility, $150.0 million of 2026 Notes and $165.0 million of 2026 Notes-2. Our consolidated debt outstanding was $776.5 million and had a weighted average annual interest rate at the time of 6.0%, exclusive of the fee on undrawn commitment on our Truist Credit Facility. This example is for illustrative purposes only, and actual interest rates on our Truist Credit Facility or any future borrowings are likely to fluctuate. The costs associated with our borrowings, including any increase in the management fee or incentive fee payable to our Investment Adviser, are and will be borne by our common stockholders.</w:t>
      </w:r>
    </w:p>
    <w:p>
      <w:pPr>
        <w:spacing w:after="0" w:line="127"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3"/>
          <w:szCs w:val="13"/>
          <w:color w:val="auto"/>
        </w:rPr>
        <w:t>The following table is designed to illustrate the effect on the return to a holder of our common stock of the leverage created by our use of borrowing as of September 30, 2024 of 56% of total assets (including such borrowed funds), at the current interest rate at the time of 6.0%, and assumes hypothetical annual returns on our portfolio of minus 10 to plus 10 percent. The table also assumes that we will maintain a constant level of leverage and weighted average interest rate.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Assumed return on portfolio (net of expenses) </w:t>
            </w:r>
            <w:r>
              <w:rPr>
                <w:rFonts w:ascii="Times New Roman" w:cs="Times New Roman" w:eastAsia="Times New Roman" w:hAnsi="Times New Roman"/>
                <w:sz w:val="16"/>
                <w:szCs w:val="16"/>
                <w:color w:val="auto"/>
                <w:vertAlign w:val="superscript"/>
              </w:rPr>
              <w:t>(1)</w:t>
            </w:r>
          </w:p>
        </w:tc>
        <w:tc>
          <w:tcPr>
            <w:tcW w:w="1820" w:type="dxa"/>
            <w:vAlign w:val="bottom"/>
          </w:tcPr>
          <w:p>
            <w:pPr>
              <w:jc w:val="right"/>
              <w:ind w:right="434"/>
              <w:spacing w:after="0"/>
              <w:rPr>
                <w:sz w:val="20"/>
                <w:szCs w:val="20"/>
                <w:color w:val="auto"/>
              </w:rPr>
            </w:pPr>
            <w:r>
              <w:rPr>
                <w:rFonts w:ascii="Times New Roman" w:cs="Times New Roman" w:eastAsia="Times New Roman" w:hAnsi="Times New Roman"/>
                <w:sz w:val="13"/>
                <w:szCs w:val="13"/>
                <w:color w:val="auto"/>
              </w:rPr>
              <w:t>(10.0 )%</w:t>
            </w:r>
          </w:p>
        </w:tc>
        <w:tc>
          <w:tcPr>
            <w:tcW w:w="1500" w:type="dxa"/>
            <w:vAlign w:val="bottom"/>
          </w:tcPr>
          <w:p>
            <w:pPr>
              <w:jc w:val="right"/>
              <w:ind w:right="474"/>
              <w:spacing w:after="0"/>
              <w:rPr>
                <w:sz w:val="20"/>
                <w:szCs w:val="20"/>
                <w:color w:val="auto"/>
              </w:rPr>
            </w:pPr>
            <w:r>
              <w:rPr>
                <w:rFonts w:ascii="Times New Roman" w:cs="Times New Roman" w:eastAsia="Times New Roman" w:hAnsi="Times New Roman"/>
                <w:sz w:val="13"/>
                <w:szCs w:val="13"/>
                <w:color w:val="auto"/>
              </w:rPr>
              <w:t>(5.0 )%</w:t>
            </w:r>
          </w:p>
        </w:tc>
        <w:tc>
          <w:tcPr>
            <w:tcW w:w="1460" w:type="dxa"/>
            <w:vAlign w:val="bottom"/>
          </w:tcPr>
          <w:p>
            <w:pPr>
              <w:jc w:val="right"/>
              <w:ind w:right="514"/>
              <w:spacing w:after="0"/>
              <w:rPr>
                <w:sz w:val="20"/>
                <w:szCs w:val="20"/>
                <w:color w:val="auto"/>
              </w:rPr>
            </w:pPr>
            <w:r>
              <w:rPr>
                <w:rFonts w:ascii="Times New Roman" w:cs="Times New Roman" w:eastAsia="Times New Roman" w:hAnsi="Times New Roman"/>
                <w:sz w:val="13"/>
                <w:szCs w:val="13"/>
                <w:color w:val="auto"/>
              </w:rPr>
              <w:t>0 %</w:t>
            </w:r>
          </w:p>
        </w:tc>
        <w:tc>
          <w:tcPr>
            <w:tcW w:w="146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10.0 %</w:t>
            </w: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w w:val="92"/>
              </w:rPr>
              <w:t>5.0 %</w:t>
            </w:r>
          </w:p>
        </w:tc>
      </w:tr>
      <w:tr>
        <w:trPr>
          <w:trHeight w:val="156"/>
        </w:trPr>
        <w:tc>
          <w:tcPr>
            <w:tcW w:w="348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Corresponding return to common stockholders </w:t>
            </w:r>
            <w:r>
              <w:rPr>
                <w:rFonts w:ascii="Times New Roman" w:cs="Times New Roman" w:eastAsia="Times New Roman" w:hAnsi="Times New Roman"/>
                <w:sz w:val="16"/>
                <w:szCs w:val="16"/>
                <w:color w:val="auto"/>
                <w:vertAlign w:val="superscript"/>
              </w:rPr>
              <w:t>(2)</w:t>
            </w:r>
          </w:p>
        </w:tc>
        <w:tc>
          <w:tcPr>
            <w:tcW w:w="1820" w:type="dxa"/>
            <w:vAlign w:val="bottom"/>
            <w:shd w:val="clear" w:color="auto" w:fill="CCECFF"/>
          </w:tcPr>
          <w:p>
            <w:pPr>
              <w:jc w:val="right"/>
              <w:ind w:right="434"/>
              <w:spacing w:after="0"/>
              <w:rPr>
                <w:sz w:val="20"/>
                <w:szCs w:val="20"/>
                <w:color w:val="auto"/>
              </w:rPr>
            </w:pPr>
            <w:r>
              <w:rPr>
                <w:rFonts w:ascii="Times New Roman" w:cs="Times New Roman" w:eastAsia="Times New Roman" w:hAnsi="Times New Roman"/>
                <w:sz w:val="13"/>
                <w:szCs w:val="13"/>
                <w:color w:val="auto"/>
              </w:rPr>
              <w:t>(37.6 )%</w:t>
            </w:r>
          </w:p>
        </w:tc>
        <w:tc>
          <w:tcPr>
            <w:tcW w:w="1500" w:type="dxa"/>
            <w:vAlign w:val="bottom"/>
            <w:shd w:val="clear" w:color="auto" w:fill="CCECFF"/>
          </w:tcPr>
          <w:p>
            <w:pPr>
              <w:jc w:val="right"/>
              <w:ind w:right="474"/>
              <w:spacing w:after="0"/>
              <w:rPr>
                <w:sz w:val="20"/>
                <w:szCs w:val="20"/>
                <w:color w:val="auto"/>
              </w:rPr>
            </w:pPr>
            <w:r>
              <w:rPr>
                <w:rFonts w:ascii="Times New Roman" w:cs="Times New Roman" w:eastAsia="Times New Roman" w:hAnsi="Times New Roman"/>
                <w:sz w:val="13"/>
                <w:szCs w:val="13"/>
                <w:color w:val="auto"/>
              </w:rPr>
              <w:t>(23.5 )%</w:t>
            </w:r>
          </w:p>
        </w:tc>
        <w:tc>
          <w:tcPr>
            <w:tcW w:w="1460" w:type="dxa"/>
            <w:vAlign w:val="bottom"/>
            <w:shd w:val="clear" w:color="auto" w:fill="CCECFF"/>
          </w:tcPr>
          <w:p>
            <w:pPr>
              <w:jc w:val="right"/>
              <w:ind w:right="454"/>
              <w:spacing w:after="0"/>
              <w:rPr>
                <w:sz w:val="20"/>
                <w:szCs w:val="20"/>
                <w:color w:val="auto"/>
              </w:rPr>
            </w:pPr>
            <w:r>
              <w:rPr>
                <w:rFonts w:ascii="Times New Roman" w:cs="Times New Roman" w:eastAsia="Times New Roman" w:hAnsi="Times New Roman"/>
                <w:sz w:val="13"/>
                <w:szCs w:val="13"/>
                <w:color w:val="auto"/>
              </w:rPr>
              <w:t>(9.5 )%</w:t>
            </w:r>
          </w:p>
        </w:tc>
        <w:tc>
          <w:tcPr>
            <w:tcW w:w="1460" w:type="dxa"/>
            <w:vAlign w:val="bottom"/>
            <w:shd w:val="clear" w:color="auto" w:fill="CCECFF"/>
          </w:tcPr>
          <w:p>
            <w:pPr>
              <w:jc w:val="right"/>
              <w:ind w:right="494"/>
              <w:spacing w:after="0"/>
              <w:rPr>
                <w:sz w:val="20"/>
                <w:szCs w:val="20"/>
                <w:color w:val="auto"/>
              </w:rPr>
            </w:pPr>
            <w:r>
              <w:rPr>
                <w:rFonts w:ascii="Times New Roman" w:cs="Times New Roman" w:eastAsia="Times New Roman" w:hAnsi="Times New Roman"/>
                <w:sz w:val="13"/>
                <w:szCs w:val="13"/>
                <w:color w:val="auto"/>
              </w:rPr>
              <w:t>18.7 %</w:t>
            </w:r>
          </w:p>
        </w:tc>
        <w:tc>
          <w:tcPr>
            <w:tcW w:w="84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3"/>
                <w:szCs w:val="13"/>
                <w:color w:val="auto"/>
                <w:w w:val="78"/>
              </w:rPr>
              <w:t>4.6 %</w:t>
            </w:r>
          </w:p>
        </w:tc>
        <w:tc>
          <w:tcPr>
            <w:tcW w:w="40" w:type="dxa"/>
            <w:vAlign w:val="bottom"/>
          </w:tcPr>
          <w:p>
            <w:pPr>
              <w:spacing w:after="0"/>
              <w:rPr>
                <w:sz w:val="13"/>
                <w:szCs w:val="13"/>
                <w:color w:val="auto"/>
              </w:rPr>
            </w:pP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1"/>
          <w:szCs w:val="11"/>
          <w:color w:val="auto"/>
        </w:rPr>
        <w:t>The assumed portfolio return is required by regulation of the SEC and is not a prediction of, and does not represent, our projected or actual performance.</w:t>
      </w:r>
    </w:p>
    <w:p>
      <w:pPr>
        <w:spacing w:after="0" w:line="1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274" w:right="640" w:bottom="1440" w:gutter="0" w:footer="0" w:header="0"/>
        </w:sectPr>
      </w:pPr>
    </w:p>
    <w:bookmarkStart w:id="25" w:name="page26"/>
    <w:bookmarkEnd w:id="25"/>
    <w:p>
      <w:pPr>
        <w:ind w:right="100"/>
        <w:spacing w:after="0" w:line="232" w:lineRule="auto"/>
        <w:rPr>
          <w:sz w:val="20"/>
          <w:szCs w:val="20"/>
          <w:color w:val="auto"/>
        </w:rPr>
      </w:pPr>
      <w:r>
        <w:rPr>
          <w:rFonts w:ascii="Times New Roman" w:cs="Times New Roman" w:eastAsia="Times New Roman" w:hAnsi="Times New Roman"/>
          <w:sz w:val="21"/>
          <w:szCs w:val="21"/>
          <w:b w:val="1"/>
          <w:bCs w:val="1"/>
          <w:color w:val="auto"/>
          <w:vertAlign w:val="superscript"/>
        </w:rPr>
        <w:t>(2)</w:t>
      </w:r>
      <w:r>
        <w:rPr>
          <w:rFonts w:ascii="Times New Roman" w:cs="Times New Roman" w:eastAsia="Times New Roman" w:hAnsi="Times New Roman"/>
          <w:sz w:val="11"/>
          <w:szCs w:val="11"/>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97" w:lineRule="exact"/>
        <w:rPr>
          <w:sz w:val="20"/>
          <w:szCs w:val="20"/>
          <w:color w:val="auto"/>
        </w:rPr>
      </w:pPr>
    </w:p>
    <w:p>
      <w:pPr>
        <w:ind w:right="8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We may in the future determine to fund a portion of our investments with preferred stock, which is another form of leverage and would magnify the potential for loss and the risks of investing in us.</w:t>
      </w:r>
    </w:p>
    <w:p>
      <w:pPr>
        <w:spacing w:after="0" w:line="72" w:lineRule="exact"/>
        <w:rPr>
          <w:sz w:val="20"/>
          <w:szCs w:val="20"/>
          <w:color w:val="auto"/>
        </w:rPr>
      </w:pPr>
    </w:p>
    <w:p>
      <w:pPr>
        <w:ind w:right="20" w:firstLine="420"/>
        <w:spacing w:after="0" w:line="257" w:lineRule="auto"/>
        <w:rPr>
          <w:sz w:val="20"/>
          <w:szCs w:val="20"/>
          <w:color w:val="auto"/>
        </w:rPr>
      </w:pPr>
      <w:r>
        <w:rPr>
          <w:rFonts w:ascii="Times New Roman" w:cs="Times New Roman" w:eastAsia="Times New Roman" w:hAnsi="Times New Roman"/>
          <w:sz w:val="13"/>
          <w:szCs w:val="13"/>
          <w:color w:val="auto"/>
        </w:rPr>
        <w:t>Preferred stock, which is another form of leverage, has the same risks to our common stockholders as borrowings because the distributions on any preferred stock we issue must be cumulative. If we issue preferred securities they would rank “senior” to common stock in our capital structure. Payment of distributions on, and repayment of the liquidation preference of, such preferred stock would typically take preference over any distributions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the best interest of stockholders.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in the future determine to fund a portion of our investments with debt securities, which would magnify the potential for loss and the risks of investing in us.</w:t>
      </w:r>
    </w:p>
    <w:p>
      <w:pPr>
        <w:spacing w:after="0" w:line="131" w:lineRule="exact"/>
        <w:rPr>
          <w:sz w:val="20"/>
          <w:szCs w:val="20"/>
          <w:color w:val="auto"/>
        </w:rPr>
      </w:pPr>
    </w:p>
    <w:p>
      <w:pPr>
        <w:ind w:right="280" w:firstLine="420"/>
        <w:spacing w:after="0" w:line="257" w:lineRule="auto"/>
        <w:rPr>
          <w:sz w:val="20"/>
          <w:szCs w:val="20"/>
          <w:color w:val="auto"/>
        </w:rPr>
      </w:pPr>
      <w:r>
        <w:rPr>
          <w:rFonts w:ascii="Times New Roman" w:cs="Times New Roman" w:eastAsia="Times New Roman" w:hAnsi="Times New Roman"/>
          <w:sz w:val="13"/>
          <w:szCs w:val="13"/>
          <w:color w:val="auto"/>
        </w:rPr>
        <w:t>As a result of the borrowings under our Truist Credit Facility, and issuance of our 2026 Notes and 2026 Notes-2, we are exposed to typical risks associated with leverage, including an increased risk of loss and an increase in expenses, which are ultimately borne by our common stockholders. Payment of interest on such debt securities must take preference over any other distributions or other payments to our common stockholders. If we issue additional debt securities in the future,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cash that we use to service our indebtedness would not be available for the payment of distributions to our common stockholders.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credit ratings may not reflect all risks of an investment in our debt securities.</w:t>
      </w:r>
    </w:p>
    <w:p>
      <w:pPr>
        <w:spacing w:after="0" w:line="131" w:lineRule="exact"/>
        <w:rPr>
          <w:sz w:val="20"/>
          <w:szCs w:val="20"/>
          <w:color w:val="auto"/>
        </w:rPr>
      </w:pPr>
    </w:p>
    <w:p>
      <w:pPr>
        <w:jc w:val="both"/>
        <w:ind w:right="200" w:firstLine="420"/>
        <w:spacing w:after="0" w:line="262" w:lineRule="auto"/>
        <w:rPr>
          <w:sz w:val="20"/>
          <w:szCs w:val="20"/>
          <w:color w:val="auto"/>
        </w:rPr>
      </w:pPr>
      <w:r>
        <w:rPr>
          <w:rFonts w:ascii="Times New Roman" w:cs="Times New Roman" w:eastAsia="Times New Roman" w:hAnsi="Times New Roman"/>
          <w:sz w:val="13"/>
          <w:szCs w:val="13"/>
          <w:color w:val="auto"/>
        </w:rPr>
        <w:t>Our credit ratings, if any, are an assessment of our ability to pay our obligations. Consequently, real or anticipated changes in our credit ratings will generally affect the market value of any publicly issued debt securities. Our credit ratings may not reflect the potential impact of risks related to market conditions or other factors discussed above on the market value of, or trading market for, any publicly issued debt securities. Rating agencies have reviewed, and may continue to review, our credit ratings and those of other business development companies in light of the SBCAA as well as any corresponding changes to asset coverage ratios and, in certain cases, downgrade such ratings. Such a downgrade in our credit ratings may adversely affect our securities.</w:t>
      </w:r>
    </w:p>
    <w:p>
      <w:pPr>
        <w:spacing w:after="0" w:line="123" w:lineRule="exact"/>
        <w:rPr>
          <w:sz w:val="20"/>
          <w:szCs w:val="20"/>
          <w:color w:val="auto"/>
        </w:rPr>
      </w:pPr>
    </w:p>
    <w:p>
      <w:pPr>
        <w:ind w:right="8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A downgrade, suspension or withdrawal of the credit rating assigned by a rating agency to us, our 2026 Notes or our 2026 Notes-2, if any, or change in the debt markets could cause the liquidity or market value of our 2026 Notes or our 2026 Notes-2 to decline significantly.</w:t>
      </w:r>
    </w:p>
    <w:p>
      <w:pPr>
        <w:spacing w:after="0" w:line="108" w:lineRule="exact"/>
        <w:rPr>
          <w:sz w:val="20"/>
          <w:szCs w:val="20"/>
          <w:color w:val="auto"/>
        </w:rPr>
      </w:pPr>
    </w:p>
    <w:p>
      <w:pPr>
        <w:ind w:right="100" w:firstLine="420"/>
        <w:spacing w:after="0" w:line="256" w:lineRule="auto"/>
        <w:rPr>
          <w:sz w:val="20"/>
          <w:szCs w:val="20"/>
          <w:color w:val="auto"/>
        </w:rPr>
      </w:pPr>
      <w:r>
        <w:rPr>
          <w:rFonts w:ascii="Times New Roman" w:cs="Times New Roman" w:eastAsia="Times New Roman" w:hAnsi="Times New Roman"/>
          <w:sz w:val="13"/>
          <w:szCs w:val="13"/>
          <w:color w:val="auto"/>
        </w:rPr>
        <w:t>Our credit ratings are an assessment by rating agencies of our ability to pay our debts when due. Consequently, real or anticipated changes in our credit ratings will generally affect the market value of our 2026 Notes or our 2026 Notes-2. Our credit ratings may not reflect the potential impact of risks relating to the structure or marketing of our 2026 Notes or our 2026 Notes-2.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our 2026 Notes or our 2026 Notes-2 of any changes in our credit ratings. There can be no assurance that our credit ratings will remain for any given period of time or that such credit ratings will not be lowered or withdrawn entirely by any of the rating agencies if in their respective judgments future circumstances relating to the basis of the credit rating, such as adverse changes in our Company, so warrant. The conditions of the financial markets and prevailing interest rates have fluctuated in the past and are likely to fluctuate in the future.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Market conditions may make it difficult to extend the maturity of or refinance our existing indebtedness and any failure to do so could have a material adverse effect on our business.</w:t>
      </w:r>
    </w:p>
    <w:p>
      <w:pPr>
        <w:spacing w:after="0" w:line="167" w:lineRule="exact"/>
        <w:rPr>
          <w:sz w:val="20"/>
          <w:szCs w:val="20"/>
          <w:color w:val="auto"/>
        </w:rPr>
      </w:pPr>
    </w:p>
    <w:p>
      <w:pPr>
        <w:ind w:right="20" w:firstLine="420"/>
        <w:spacing w:after="0" w:line="254" w:lineRule="auto"/>
        <w:rPr>
          <w:sz w:val="20"/>
          <w:szCs w:val="20"/>
          <w:color w:val="auto"/>
        </w:rPr>
      </w:pPr>
      <w:r>
        <w:rPr>
          <w:rFonts w:ascii="Times New Roman" w:cs="Times New Roman" w:eastAsia="Times New Roman" w:hAnsi="Times New Roman"/>
          <w:sz w:val="13"/>
          <w:szCs w:val="13"/>
          <w:color w:val="auto"/>
        </w:rPr>
        <w:t>Our Truist Credit Facility matures in July 2027, our 2026 Notes mature in November 2026 and our 2026 Notes-2 mature in May 2026. Additionally, our SBA debentures mature between March 2026 and March 2028. We utilize proceeds from the Truist Credit Facility, our 2026 Notes, our 2026 Notes-2 and our SBA debentures to make investments in our portfolio companies. The duration of many of our investments exceeds or will exceed the duration of our indebtedness under our Truist Credit Facility, our 2026 Notes and our 2026 Notes-2. This means that we will have to extend the maturity of our Truist Credit Facility or refinance our indebtedness in order to avoid selling investments at maturity of any of our debt investments, at which time such sales may be at prices that are disadvantageous to us, which could materially damage our business. In addition, future market conditions may affect our ability to renew or refinance our Truist Credit Facility, our 2026 Notes and our 2026 Notes-2 on terms as favorable as those in our existing indebtedness. If we fail to extend or refinance the indebtedness by the time it becomes due and payable, holders of the debt and/or the administrative agent may elect to exercise various remedies, including the sale of all or a portion of the collateral securing such indebtedness,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There are significant potential conflicts of interest which could impact our investment returns.</w:t>
      </w:r>
    </w:p>
    <w:p>
      <w:pPr>
        <w:spacing w:after="0" w:line="131" w:lineRule="exact"/>
        <w:rPr>
          <w:sz w:val="20"/>
          <w:szCs w:val="20"/>
          <w:color w:val="auto"/>
        </w:rPr>
      </w:pPr>
    </w:p>
    <w:p>
      <w:pPr>
        <w:ind w:firstLine="420"/>
        <w:spacing w:after="0" w:line="254" w:lineRule="auto"/>
        <w:rPr>
          <w:sz w:val="20"/>
          <w:szCs w:val="20"/>
          <w:color w:val="auto"/>
        </w:rPr>
      </w:pPr>
      <w:r>
        <w:rPr>
          <w:rFonts w:ascii="Times New Roman" w:cs="Times New Roman" w:eastAsia="Times New Roman" w:hAnsi="Times New Roman"/>
          <w:sz w:val="13"/>
          <w:szCs w:val="13"/>
          <w:color w:val="auto"/>
        </w:rPr>
        <w:t>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controlled affiliates and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our exemptive relief and our allocation procedures.</w:t>
      </w:r>
    </w:p>
    <w:p>
      <w:pPr>
        <w:spacing w:after="0" w:line="96" w:lineRule="exact"/>
        <w:rPr>
          <w:sz w:val="20"/>
          <w:szCs w:val="20"/>
          <w:color w:val="auto"/>
        </w:rPr>
      </w:pPr>
    </w:p>
    <w:p>
      <w:pPr>
        <w:ind w:right="20" w:firstLine="420"/>
        <w:spacing w:after="0" w:line="268" w:lineRule="auto"/>
        <w:rPr>
          <w:sz w:val="20"/>
          <w:szCs w:val="20"/>
          <w:color w:val="auto"/>
        </w:rPr>
      </w:pPr>
      <w:r>
        <w:rPr>
          <w:rFonts w:ascii="Times New Roman" w:cs="Times New Roman" w:eastAsia="Times New Roman" w:hAnsi="Times New Roman"/>
          <w:sz w:val="13"/>
          <w:szCs w:val="13"/>
          <w:color w:val="auto"/>
        </w:rPr>
        <w:t>In the ordinary course of our investing activities, we pay investment advisory and incentive fees to the Investment Adviser, and reimburse the Investment Adviser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Adviser has</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67" w:right="660" w:bottom="1440" w:gutter="0" w:footer="0" w:header="0"/>
        </w:sectPr>
      </w:pPr>
    </w:p>
    <w:bookmarkStart w:id="26" w:name="page27"/>
    <w:bookmarkEnd w:id="26"/>
    <w:p>
      <w:pPr>
        <w:ind w:right="140"/>
        <w:spacing w:after="0" w:line="286" w:lineRule="auto"/>
        <w:rPr>
          <w:sz w:val="20"/>
          <w:szCs w:val="20"/>
          <w:color w:val="auto"/>
        </w:rPr>
      </w:pPr>
      <w:r>
        <w:rPr>
          <w:rFonts w:ascii="Times New Roman" w:cs="Times New Roman" w:eastAsia="Times New Roman" w:hAnsi="Times New Roman"/>
          <w:sz w:val="13"/>
          <w:szCs w:val="13"/>
          <w:color w:val="auto"/>
        </w:rPr>
        <w:t>interests that differ from those of our stockholders, giving rise to a conflict. For example, the Investment Adviser may seek to invest in more speculative investments in order to increase its incentive fee, which practice could result in higher investment losses, particularly during economic downturns.</w:t>
      </w:r>
    </w:p>
    <w:p>
      <w:pPr>
        <w:spacing w:after="0" w:line="76" w:lineRule="exact"/>
        <w:rPr>
          <w:sz w:val="20"/>
          <w:szCs w:val="20"/>
          <w:color w:val="auto"/>
        </w:rPr>
      </w:pPr>
    </w:p>
    <w:p>
      <w:pPr>
        <w:ind w:right="140" w:firstLine="420"/>
        <w:spacing w:after="0" w:line="262" w:lineRule="auto"/>
        <w:rPr>
          <w:sz w:val="20"/>
          <w:szCs w:val="20"/>
          <w:color w:val="auto"/>
        </w:rPr>
      </w:pPr>
      <w:r>
        <w:rPr>
          <w:rFonts w:ascii="Times New Roman" w:cs="Times New Roman" w:eastAsia="Times New Roman" w:hAnsi="Times New Roman"/>
          <w:sz w:val="13"/>
          <w:szCs w:val="13"/>
          <w:color w:val="auto"/>
        </w:rPr>
        <w:t>We have entered into the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91" w:lineRule="exact"/>
        <w:rPr>
          <w:sz w:val="20"/>
          <w:szCs w:val="20"/>
          <w:color w:val="auto"/>
        </w:rPr>
      </w:pPr>
    </w:p>
    <w:p>
      <w:pPr>
        <w:ind w:right="20" w:firstLine="420"/>
        <w:spacing w:after="0" w:line="268" w:lineRule="auto"/>
        <w:rPr>
          <w:sz w:val="20"/>
          <w:szCs w:val="20"/>
          <w:color w:val="auto"/>
        </w:rPr>
      </w:pPr>
      <w:r>
        <w:rPr>
          <w:rFonts w:ascii="Times New Roman" w:cs="Times New Roman" w:eastAsia="Times New Roman" w:hAnsi="Times New Roman"/>
          <w:sz w:val="13"/>
          <w:szCs w:val="13"/>
          <w:color w:val="auto"/>
        </w:rPr>
        <w:t>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are subject to risks associated with cybersecurity and cyber incidents.</w:t>
      </w:r>
    </w:p>
    <w:p>
      <w:pPr>
        <w:spacing w:after="0" w:line="167" w:lineRule="exact"/>
        <w:rPr>
          <w:sz w:val="20"/>
          <w:szCs w:val="20"/>
          <w:color w:val="auto"/>
        </w:rPr>
      </w:pPr>
    </w:p>
    <w:p>
      <w:pPr>
        <w:ind w:firstLine="420"/>
        <w:spacing w:after="0" w:line="254" w:lineRule="auto"/>
        <w:rPr>
          <w:sz w:val="20"/>
          <w:szCs w:val="20"/>
          <w:color w:val="auto"/>
        </w:rPr>
      </w:pPr>
      <w:r>
        <w:rPr>
          <w:rFonts w:ascii="Times New Roman" w:cs="Times New Roman" w:eastAsia="Times New Roman" w:hAnsi="Times New Roman"/>
          <w:sz w:val="13"/>
          <w:szCs w:val="13"/>
          <w:color w:val="auto"/>
        </w:rPr>
        <w:t>Our business relies on secure information technology systems. These systems are subject to potential attacks, including through adverse events that threaten the confidentiality, integrity or availability of our information resources (i.e., cyber incidents). These attacks could involve gaining unauthorized access to our information systems for purposes of misappropriating assets, stealing confidential information, corrupting data or causing operational disruption and result in disrupted operations, misstated or unreliable financial data, liability for stolen assets or information, increased cybersecurity protection and insurance costs, litigation and damage to our business relationships, any of which could have a material adverse effect on our business, financial condition and results of operations. As our reliance on technology has increased, so have the risks posed to our information systems, both internal and those provided by the Investment Adviser and third-party service providers. We, along with our Investment Adviser, have implemented processes, procedures and internal controls to help mitigate cybersecurity risks and cyber intrusions, but these measures, as well as our increased awareness of the nature and extent of the risk of a cyber incident, may be ineffective and do not guarantee that a cyber incident will not occur or that our financial results, operations or confidential information will not be negatively impacted by such an incident. In addition, the costs related to cyber or other security threats or disruptions may not be fully insured or indemnified by other means. Furthermore, cybersecurity continues to be a key priority for regulators around the world, and some jurisdictions have enacted laws requiring companies to notify individuals of data security breaches involving certain types of personal data. If we fail to comply with the relevant laws and regulations, we could suffer financial losses, a disruption of our businesses, liability to investors, regulatory intervention or reputational damage.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experience fluctuations in our quarterly results.</w:t>
      </w:r>
    </w:p>
    <w:p>
      <w:pPr>
        <w:spacing w:after="0" w:line="131" w:lineRule="exact"/>
        <w:rPr>
          <w:sz w:val="20"/>
          <w:szCs w:val="20"/>
          <w:color w:val="auto"/>
        </w:rPr>
      </w:pPr>
    </w:p>
    <w:p>
      <w:pPr>
        <w:ind w:right="20" w:firstLine="420"/>
        <w:spacing w:after="0" w:line="257" w:lineRule="auto"/>
        <w:rPr>
          <w:sz w:val="20"/>
          <w:szCs w:val="20"/>
          <w:color w:val="auto"/>
        </w:rPr>
      </w:pPr>
      <w:r>
        <w:rPr>
          <w:rFonts w:ascii="Times New Roman" w:cs="Times New Roman" w:eastAsia="Times New Roman" w:hAnsi="Times New Roman"/>
          <w:sz w:val="13"/>
          <w:szCs w:val="13"/>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Truist Credit Facility, future decreases of fair value of our debt is expected to have a corresponding increase to our NAV. Similarly, future increases in the fair value of our debt may have a corresponding decrease to our NAV. Any future indebtedness that we elect the fair value option for may have similar effects on our NAV as our Truist Credit Facility. This is expected to mitigate volatility in our earnings and NAV. As a result, results for any period should not be relied upon as being indicative of future performance.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Holders of any preferred stock that we may issue will have the right to elect members of the board of directors and have class voting rights on certain matters.</w:t>
      </w:r>
    </w:p>
    <w:p>
      <w:pPr>
        <w:spacing w:after="0" w:line="131" w:lineRule="exact"/>
        <w:rPr>
          <w:sz w:val="20"/>
          <w:szCs w:val="20"/>
          <w:color w:val="auto"/>
        </w:rPr>
      </w:pPr>
    </w:p>
    <w:p>
      <w:pPr>
        <w:ind w:right="20" w:firstLine="420"/>
        <w:spacing w:after="0" w:line="257" w:lineRule="auto"/>
        <w:rPr>
          <w:sz w:val="20"/>
          <w:szCs w:val="20"/>
          <w:color w:val="auto"/>
        </w:rPr>
      </w:pPr>
      <w:r>
        <w:rPr>
          <w:rFonts w:ascii="Times New Roman" w:cs="Times New Roman" w:eastAsia="Times New Roman" w:hAnsi="Times New Roman"/>
          <w:sz w:val="13"/>
          <w:szCs w:val="13"/>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conversion to open-end status and, accordingly, preferred stockholders could veto any such changes in addition to any ability of common and preferred stockholders, voting together as a single class, to veto such matters. Restrictions imposed on the declarations and payment of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we issue preferred stock, debt securities or convertible debt securities, the NAV and market value of our common stock may become more volatile.</w:t>
      </w:r>
    </w:p>
    <w:p>
      <w:pPr>
        <w:spacing w:after="0" w:line="131" w:lineRule="exact"/>
        <w:rPr>
          <w:sz w:val="20"/>
          <w:szCs w:val="20"/>
          <w:color w:val="auto"/>
        </w:rPr>
      </w:pPr>
    </w:p>
    <w:p>
      <w:pPr>
        <w:ind w:right="140" w:firstLine="420"/>
        <w:spacing w:after="0" w:line="256" w:lineRule="auto"/>
        <w:rPr>
          <w:sz w:val="20"/>
          <w:szCs w:val="20"/>
          <w:color w:val="auto"/>
        </w:rPr>
      </w:pPr>
      <w:r>
        <w:rPr>
          <w:rFonts w:ascii="Times New Roman" w:cs="Times New Roman" w:eastAsia="Times New Roman" w:hAnsi="Times New Roman"/>
          <w:sz w:val="13"/>
          <w:szCs w:val="13"/>
          <w:color w:val="auto"/>
        </w:rPr>
        <w:t>We cannot assure you that the issuance of preferred stock and/or debt securities would result in a higher yield or return to the holders of our common stock. The issuance of preferred stock, debt securities and/or convertible debt would likely cause the NAV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or entirely eliminated.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96"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There is also a risk that, in the event of a sharp decline in the value of our net assets, we would be in danger of failing to maintain required asset coverage ratios or other covenants which may be required by the preferred stock, debt securities and/or convertible debt or risk a downgrade in the ratings of the preferred stock, debt securities and/or convertible debt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or convertible debt.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any combination of these securities may have different interests than holders of common stock and may at times have disproportionate influence over our business.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trading market or market value of any publicly issued debt or convertible debt securities may be volatile.</w:t>
      </w:r>
    </w:p>
    <w:p>
      <w:pPr>
        <w:spacing w:after="0" w:line="131" w:lineRule="exact"/>
        <w:rPr>
          <w:sz w:val="20"/>
          <w:szCs w:val="20"/>
          <w:color w:val="auto"/>
        </w:rPr>
      </w:pPr>
    </w:p>
    <w:p>
      <w:pPr>
        <w:jc w:val="both"/>
        <w:ind w:right="100" w:firstLine="420"/>
        <w:spacing w:after="0" w:line="268" w:lineRule="auto"/>
        <w:rPr>
          <w:sz w:val="20"/>
          <w:szCs w:val="20"/>
          <w:color w:val="auto"/>
        </w:rPr>
      </w:pPr>
      <w:r>
        <w:rPr>
          <w:rFonts w:ascii="Times New Roman" w:cs="Times New Roman" w:eastAsia="Times New Roman" w:hAnsi="Times New Roman"/>
          <w:sz w:val="13"/>
          <w:szCs w:val="13"/>
          <w:color w:val="auto"/>
        </w:rPr>
        <w:t>If we publicly issue debt or convertible debt securities, they initially will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w:t>
      </w:r>
    </w:p>
    <w:p>
      <w:pPr>
        <w:spacing w:after="0" w:line="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These factors include the following:</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time remaining to the maturity of these debt securities;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outstanding principal amount of debt securities with terms identical or similar to these debt securities;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supply of debt securities trading in the secondary market, if any;</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78" w:right="680" w:bottom="1440" w:gutter="0" w:footer="0" w:header="0"/>
        </w:sectPr>
      </w:pPr>
    </w:p>
    <w:bookmarkStart w:id="27" w:name="page28"/>
    <w:bookmarkEnd w:id="27"/>
    <w:p>
      <w:pPr>
        <w:ind w:left="540"/>
        <w:spacing w:after="0"/>
        <w:rPr>
          <w:sz w:val="20"/>
          <w:szCs w:val="20"/>
          <w:color w:val="auto"/>
        </w:rPr>
      </w:pPr>
      <w:r>
        <w:rPr>
          <w:rFonts w:ascii="Times New Roman" w:cs="Times New Roman" w:eastAsia="Times New Roman" w:hAnsi="Times New Roman"/>
          <w:sz w:val="13"/>
          <w:szCs w:val="13"/>
          <w:color w:val="auto"/>
        </w:rPr>
        <w:t>•the redemption, repayment or convertible features, if any, of these debt securities;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level, direction and volatility of market interest rates; and</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•market rates of interest higher or lower than rates borne by the debt securities.</w:t>
      </w:r>
    </w:p>
    <w:p>
      <w:pPr>
        <w:spacing w:after="0" w:line="127" w:lineRule="exact"/>
        <w:rPr>
          <w:sz w:val="20"/>
          <w:szCs w:val="20"/>
          <w:color w:val="auto"/>
        </w:rPr>
      </w:pPr>
    </w:p>
    <w:p>
      <w:pPr>
        <w:ind w:right="180" w:firstLine="420"/>
        <w:spacing w:after="0" w:line="286" w:lineRule="auto"/>
        <w:rPr>
          <w:sz w:val="20"/>
          <w:szCs w:val="20"/>
          <w:color w:val="auto"/>
        </w:rPr>
      </w:pPr>
      <w:r>
        <w:rPr>
          <w:rFonts w:ascii="Times New Roman" w:cs="Times New Roman" w:eastAsia="Times New Roman" w:hAnsi="Times New Roman"/>
          <w:sz w:val="13"/>
          <w:szCs w:val="13"/>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Terms relating to debt redemption may have a material adverse effect on the return on any debt securities.</w:t>
      </w:r>
    </w:p>
    <w:p>
      <w:pPr>
        <w:spacing w:after="0" w:line="131" w:lineRule="exact"/>
        <w:rPr>
          <w:sz w:val="20"/>
          <w:szCs w:val="20"/>
          <w:color w:val="auto"/>
        </w:rPr>
      </w:pPr>
    </w:p>
    <w:p>
      <w:pPr>
        <w:ind w:right="20" w:firstLine="420"/>
        <w:spacing w:after="0" w:line="262" w:lineRule="auto"/>
        <w:rPr>
          <w:sz w:val="20"/>
          <w:szCs w:val="20"/>
          <w:color w:val="auto"/>
        </w:rPr>
      </w:pPr>
      <w:r>
        <w:rPr>
          <w:rFonts w:ascii="Times New Roman" w:cs="Times New Roman" w:eastAsia="Times New Roman" w:hAnsi="Times New Roman"/>
          <w:sz w:val="13"/>
          <w:szCs w:val="13"/>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we issue subscription rights or warrants for our common stock, your interest in us may be diluted as a result of such rights or warrants offering.</w:t>
      </w:r>
    </w:p>
    <w:p>
      <w:pPr>
        <w:spacing w:after="0" w:line="131" w:lineRule="exact"/>
        <w:rPr>
          <w:sz w:val="20"/>
          <w:szCs w:val="20"/>
          <w:color w:val="auto"/>
        </w:rPr>
      </w:pPr>
    </w:p>
    <w:p>
      <w:pPr>
        <w:ind w:right="140" w:firstLine="420"/>
        <w:spacing w:after="0" w:line="268" w:lineRule="auto"/>
        <w:rPr>
          <w:sz w:val="20"/>
          <w:szCs w:val="20"/>
          <w:color w:val="auto"/>
        </w:rPr>
      </w:pPr>
      <w:r>
        <w:rPr>
          <w:rFonts w:ascii="Times New Roman" w:cs="Times New Roman" w:eastAsia="Times New Roman" w:hAnsi="Times New Roman"/>
          <w:sz w:val="13"/>
          <w:szCs w:val="13"/>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87" w:lineRule="exact"/>
        <w:rPr>
          <w:sz w:val="20"/>
          <w:szCs w:val="20"/>
          <w:color w:val="auto"/>
        </w:rPr>
      </w:pPr>
    </w:p>
    <w:p>
      <w:pPr>
        <w:ind w:right="60" w:firstLine="420"/>
        <w:spacing w:after="0" w:line="268" w:lineRule="auto"/>
        <w:rPr>
          <w:sz w:val="20"/>
          <w:szCs w:val="20"/>
          <w:color w:val="auto"/>
        </w:rPr>
      </w:pPr>
      <w:r>
        <w:rPr>
          <w:rFonts w:ascii="Times New Roman" w:cs="Times New Roman" w:eastAsia="Times New Roman" w:hAnsi="Times New Roman"/>
          <w:sz w:val="13"/>
          <w:szCs w:val="13"/>
          <w:color w:val="auto"/>
        </w:rPr>
        <w:t>In addition, if the subscription price or warrant exercise price is less than our NAV per share of common stock at the time of an offering, then our stockholders would experience an immediate dilution of the aggregate NAV of their shares as a result of the offering. The amount of any such decrease in NAV is not predictable because it is not known at this time what the subscription price, warrant exercise price or NAV per share will be on the expiration date of such rights offering or what proportion of our common stock will be purchased as a result of any such offering.</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Changes in laws or regulations governing our operations or those of our portfolio companies may adversely affect our business.</w:t>
      </w:r>
    </w:p>
    <w:p>
      <w:pPr>
        <w:spacing w:after="0" w:line="167" w:lineRule="exact"/>
        <w:rPr>
          <w:sz w:val="20"/>
          <w:szCs w:val="20"/>
          <w:color w:val="auto"/>
        </w:rPr>
      </w:pPr>
    </w:p>
    <w:p>
      <w:pPr>
        <w:ind w:right="100" w:firstLine="420"/>
        <w:spacing w:after="0" w:line="262" w:lineRule="auto"/>
        <w:rPr>
          <w:sz w:val="20"/>
          <w:szCs w:val="20"/>
          <w:color w:val="auto"/>
        </w:rPr>
      </w:pPr>
      <w:r>
        <w:rPr>
          <w:rFonts w:ascii="Times New Roman" w:cs="Times New Roman" w:eastAsia="Times New Roman" w:hAnsi="Times New Roman"/>
          <w:sz w:val="13"/>
          <w:szCs w:val="13"/>
          <w:color w:val="auto"/>
        </w:rPr>
        <w:t>We and our portfolio companies are subject to laws and regulations at the U.S. federal, state and local levels and in some cases, foreign levels. These laws and regulations, as well as their interpretation, may change from time to time, and new laws, regulations and interpretations may come into effect. Accordingly, any change in law and regulations, changes in administration or control U.S. Congress, changes in interpretations, or newly enacted laws or regulations could have a material adverse effect on our business or the business of our portfolio companies. See "Business —Regulation" for more information.</w:t>
      </w:r>
    </w:p>
    <w:p>
      <w:pPr>
        <w:spacing w:after="0" w:line="127" w:lineRule="exact"/>
        <w:rPr>
          <w:sz w:val="20"/>
          <w:szCs w:val="20"/>
          <w:color w:val="auto"/>
        </w:rPr>
      </w:pPr>
    </w:p>
    <w:p>
      <w:pPr>
        <w:ind w:right="60" w:firstLine="420"/>
        <w:spacing w:after="0" w:line="268" w:lineRule="auto"/>
        <w:rPr>
          <w:sz w:val="20"/>
          <w:szCs w:val="20"/>
          <w:color w:val="auto"/>
        </w:rPr>
      </w:pPr>
      <w:r>
        <w:rPr>
          <w:rFonts w:ascii="Times New Roman" w:cs="Times New Roman" w:eastAsia="Times New Roman" w:hAnsi="Times New Roman"/>
          <w:sz w:val="13"/>
          <w:szCs w:val="13"/>
          <w:color w:val="auto"/>
        </w:rPr>
        <w:t>Over the past several years, there also has been increasing regulatory attention to the extension of credit outside of the traditional banking sector, raising the possibility that some portion of the non-bank financial sector may be subject to new regulation. While it cannot be known at this time whether any regulation will be implemented or what form it will take, increased regulation of non-bank lending could be materially adverse to our business, financial conditions and result of operations. We may experience fluctuations in our quarterly results.</w:t>
      </w:r>
    </w:p>
    <w:p>
      <w:pPr>
        <w:spacing w:after="0" w:line="123" w:lineRule="exact"/>
        <w:rPr>
          <w:sz w:val="20"/>
          <w:szCs w:val="20"/>
          <w:color w:val="auto"/>
        </w:rPr>
      </w:pPr>
    </w:p>
    <w:p>
      <w:pPr>
        <w:jc w:val="both"/>
        <w:ind w:right="120" w:firstLine="420"/>
        <w:spacing w:after="0" w:line="268" w:lineRule="auto"/>
        <w:rPr>
          <w:sz w:val="20"/>
          <w:szCs w:val="20"/>
          <w:color w:val="auto"/>
        </w:rPr>
      </w:pPr>
      <w:r>
        <w:rPr>
          <w:rFonts w:ascii="Times New Roman" w:cs="Times New Roman" w:eastAsia="Times New Roman" w:hAnsi="Times New Roman"/>
          <w:sz w:val="13"/>
          <w:szCs w:val="13"/>
          <w:color w:val="auto"/>
        </w:rPr>
        <w:t>The United States may also potentially withdraw from or renegotiate various trade agreements and take other actions that would change current trade policies of the United States. We cannot predict which, if any, of these actions will be taken or, if taken, their effect on the financial stability of the United States. Such actions could have a material adverse effect on our business, financial condition and results of operations.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board of directors may change our investment objectives, operating policies and strategies without prior notice or stockholder approval.</w:t>
      </w:r>
    </w:p>
    <w:p>
      <w:pPr>
        <w:spacing w:after="0" w:line="131" w:lineRule="exact"/>
        <w:rPr>
          <w:sz w:val="20"/>
          <w:szCs w:val="20"/>
          <w:color w:val="auto"/>
        </w:rPr>
      </w:pPr>
    </w:p>
    <w:p>
      <w:pPr>
        <w:ind w:right="180" w:firstLine="420"/>
        <w:spacing w:after="0" w:line="262" w:lineRule="auto"/>
        <w:rPr>
          <w:sz w:val="20"/>
          <w:szCs w:val="20"/>
          <w:color w:val="auto"/>
        </w:rPr>
      </w:pPr>
      <w:r>
        <w:rPr>
          <w:rFonts w:ascii="Times New Roman" w:cs="Times New Roman" w:eastAsia="Times New Roman" w:hAnsi="Times New Roman"/>
          <w:sz w:val="13"/>
          <w:szCs w:val="13"/>
          <w:color w:val="auto"/>
        </w:rPr>
        <w:t>Our board of directors has the authority to modify or waive certain of our operating policies and strategies without prior notice and without stockholder approval (except as required by the 1940 Act) .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common stock. Nevertheless, the effects may adversely affect our business and impact our ability to make distributions.</w:t>
      </w:r>
    </w:p>
    <w:p>
      <w:pPr>
        <w:spacing w:after="0" w:line="87" w:lineRule="exact"/>
        <w:rPr>
          <w:sz w:val="20"/>
          <w:szCs w:val="20"/>
          <w:color w:val="auto"/>
        </w:rPr>
      </w:pPr>
    </w:p>
    <w:p>
      <w:pPr>
        <w:ind w:right="12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Our business and operations could be negatively affected if we become subject to stockholder activism, which could cause us to incur significant expense, hinder the execution of our investment strategy or impact our stock price.</w:t>
      </w:r>
    </w:p>
    <w:p>
      <w:pPr>
        <w:spacing w:after="0" w:line="72" w:lineRule="exact"/>
        <w:rPr>
          <w:sz w:val="20"/>
          <w:szCs w:val="20"/>
          <w:color w:val="auto"/>
        </w:rPr>
      </w:pPr>
    </w:p>
    <w:p>
      <w:pPr>
        <w:ind w:right="60" w:firstLine="420"/>
        <w:spacing w:after="0" w:line="256" w:lineRule="auto"/>
        <w:rPr>
          <w:sz w:val="20"/>
          <w:szCs w:val="20"/>
          <w:color w:val="auto"/>
        </w:rPr>
      </w:pPr>
      <w:r>
        <w:rPr>
          <w:rFonts w:ascii="Times New Roman" w:cs="Times New Roman" w:eastAsia="Times New Roman" w:hAnsi="Times New Roman"/>
          <w:sz w:val="13"/>
          <w:szCs w:val="13"/>
          <w:color w:val="auto"/>
        </w:rPr>
        <w:t>Stockholder activism, which could take many forms, including making public demands that we consider certain strategic alternatives, engaging in public campaigns to attempt to influence our corporate governance and/or our management, and commencing proxy contests to attempt to elect the activists’ representatives or others to our board of directors, or arise in a variety of situations, has impacted the BDC space. While we are currently not subject to any stockholder activism, due to the potential volatility of our stock price and for a variety of other reasons, we may in the future become the target of stockholder activism. Stockholder activism could result in substantial costs and divert management’s and our board of directors’ attention and resources from our business. Additionally, such stockholder activism could give rise to perceived uncertainties as to our future and adversely affect our relationships with service providers and our portfolio companies. Also, we may be required to incur significant legal and other expenses related to any activist stockholder matters. Further, our stock price could be subject to significant fluctuation or otherwise be adversely affected by the events, risks and uncertainties of any stockholder activism.</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RELATING TO THE ILLIQUID NATURE OF OUR PORTFOLIO ASSETS</w:t>
      </w:r>
    </w:p>
    <w:p>
      <w:pPr>
        <w:spacing w:after="0" w:line="125" w:lineRule="exact"/>
        <w:rPr>
          <w:sz w:val="20"/>
          <w:szCs w:val="20"/>
          <w:color w:val="auto"/>
        </w:rPr>
      </w:pPr>
    </w:p>
    <w:p>
      <w:pPr>
        <w:ind w:right="46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72" w:lineRule="exact"/>
        <w:rPr>
          <w:sz w:val="20"/>
          <w:szCs w:val="20"/>
          <w:color w:val="auto"/>
        </w:rPr>
      </w:pPr>
    </w:p>
    <w:p>
      <w:pPr>
        <w:ind w:firstLine="420"/>
        <w:spacing w:after="0" w:line="256" w:lineRule="auto"/>
        <w:rPr>
          <w:sz w:val="20"/>
          <w:szCs w:val="20"/>
          <w:color w:val="auto"/>
        </w:rPr>
      </w:pPr>
      <w:r>
        <w:rPr>
          <w:rFonts w:ascii="Times New Roman" w:cs="Times New Roman" w:eastAsia="Times New Roman" w:hAnsi="Times New Roman"/>
          <w:sz w:val="13"/>
          <w:szCs w:val="13"/>
          <w:color w:val="auto"/>
        </w:rPr>
        <w:t>All of our investments are recorded using broker or dealer quotes, if available, or at fair value as determined in good faith by our board of directors. We expect that most, if not all, of our investments (other than cash and cash equivalents) and the fair value of the Truist Credit Facility will be classified as Level 3 under the Financial Accounting Standards Board, or FASB, Accounting Standards Codification, or ASC, Topic 820, Fair Value Measurements and Disclosures, or ASC 820. This means that the portfolio valuations will be based on unobservable inputs and our own assumptions about how market participants would price the asset or liability. We expect that inputs into the determination of fair values of our portfolio investments and borrowings under our Truist Credit Facility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 -binding nature of consensus pricing and/or quotes accompanied by such a disclaimer materially reduces the reliability of such information. As a result, there will be uncertainty as to the value of our portfolio investments.</w:t>
      </w: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78" w:right="660" w:bottom="1440" w:gutter="0" w:footer="0" w:header="0"/>
        </w:sectPr>
      </w:pPr>
    </w:p>
    <w:bookmarkStart w:id="28" w:name="page29"/>
    <w:bookmarkEnd w:id="28"/>
    <w:p>
      <w:pPr>
        <w:ind w:right="60" w:firstLine="420"/>
        <w:spacing w:after="0" w:line="257" w:lineRule="auto"/>
        <w:rPr>
          <w:sz w:val="20"/>
          <w:szCs w:val="20"/>
          <w:color w:val="auto"/>
        </w:rPr>
      </w:pPr>
      <w:r>
        <w:rPr>
          <w:rFonts w:ascii="Times New Roman" w:cs="Times New Roman" w:eastAsia="Times New Roman" w:hAnsi="Times New Roman"/>
          <w:sz w:val="13"/>
          <w:szCs w:val="13"/>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our investment has appreciated in value. Likewise, we record unrealized depreciation if we believe that our investment has depreciated in value. We adjust quarterly the valuation of our portfolio to reflect our board of directors’ determination of the fair value of each investment in our portfolio. Any changes in fair value are recorded on our Consolidated Statements of Operations as net change in unrealized appreciation or depreciation.</w:t>
      </w:r>
    </w:p>
    <w:p>
      <w:pPr>
        <w:spacing w:after="0" w:line="96" w:lineRule="exact"/>
        <w:rPr>
          <w:sz w:val="20"/>
          <w:szCs w:val="20"/>
          <w:color w:val="auto"/>
        </w:rPr>
      </w:pPr>
    </w:p>
    <w:p>
      <w:pPr>
        <w:ind w:right="100" w:firstLine="420"/>
        <w:spacing w:after="0" w:line="257" w:lineRule="auto"/>
        <w:rPr>
          <w:sz w:val="20"/>
          <w:szCs w:val="20"/>
          <w:color w:val="auto"/>
        </w:rPr>
      </w:pPr>
      <w:r>
        <w:rPr>
          <w:rFonts w:ascii="Times New Roman" w:cs="Times New Roman" w:eastAsia="Times New Roman" w:hAnsi="Times New Roman"/>
          <w:sz w:val="13"/>
          <w:szCs w:val="13"/>
          <w:color w:val="auto"/>
        </w:rPr>
        <w:t>All of our investments are recorded at fair value as determined in good faith by our board of directors. Our board of directors uses the services of nationally recognized independent valuation firms to aid it in determining the fair value of our investments.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lower than the values that we ultimately realize upon the disposal of such investments.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lack of liquidity in our investments may adversely affect our business.</w:t>
      </w:r>
    </w:p>
    <w:p>
      <w:pPr>
        <w:spacing w:after="0" w:line="131" w:lineRule="exact"/>
        <w:rPr>
          <w:sz w:val="20"/>
          <w:szCs w:val="20"/>
          <w:color w:val="auto"/>
        </w:rPr>
      </w:pPr>
    </w:p>
    <w:p>
      <w:pPr>
        <w:jc w:val="both"/>
        <w:ind w:right="320" w:firstLine="420"/>
        <w:spacing w:after="0" w:line="268" w:lineRule="auto"/>
        <w:rPr>
          <w:sz w:val="20"/>
          <w:szCs w:val="20"/>
          <w:color w:val="auto"/>
        </w:rPr>
      </w:pPr>
      <w:r>
        <w:rPr>
          <w:rFonts w:ascii="Times New Roman" w:cs="Times New Roman" w:eastAsia="Times New Roman" w:hAnsi="Times New Roman"/>
          <w:sz w:val="13"/>
          <w:szCs w:val="13"/>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generally not required to do so.</w:t>
      </w:r>
    </w:p>
    <w:p>
      <w:pPr>
        <w:spacing w:after="0" w:line="87" w:lineRule="exact"/>
        <w:rPr>
          <w:sz w:val="20"/>
          <w:szCs w:val="20"/>
          <w:color w:val="auto"/>
        </w:rPr>
      </w:pPr>
    </w:p>
    <w:p>
      <w:pPr>
        <w:ind w:right="120" w:firstLine="420"/>
        <w:spacing w:after="0" w:line="262" w:lineRule="auto"/>
        <w:rPr>
          <w:sz w:val="20"/>
          <w:szCs w:val="20"/>
          <w:color w:val="auto"/>
        </w:rPr>
      </w:pPr>
      <w:r>
        <w:rPr>
          <w:rFonts w:ascii="Times New Roman" w:cs="Times New Roman" w:eastAsia="Times New Roman" w:hAnsi="Times New Roman"/>
          <w:sz w:val="13"/>
          <w:szCs w:val="13"/>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91" w:lineRule="exact"/>
        <w:rPr>
          <w:sz w:val="20"/>
          <w:szCs w:val="20"/>
          <w:color w:val="auto"/>
        </w:rPr>
      </w:pPr>
    </w:p>
    <w:p>
      <w:pPr>
        <w:ind w:firstLine="420"/>
        <w:spacing w:after="0" w:line="268" w:lineRule="auto"/>
        <w:rPr>
          <w:sz w:val="20"/>
          <w:szCs w:val="20"/>
          <w:color w:val="auto"/>
        </w:rPr>
      </w:pPr>
      <w:r>
        <w:rPr>
          <w:rFonts w:ascii="Times New Roman" w:cs="Times New Roman" w:eastAsia="Times New Roman" w:hAnsi="Times New Roman"/>
          <w:sz w:val="13"/>
          <w:szCs w:val="13"/>
          <w:color w:val="auto"/>
        </w:rPr>
        <w:t>Investments purchased by us that are liquid at the time of purchase may subsequently become illiquid due to events relating to the issuer of the investments,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 general disruption in the credit markets could materially damage our business.</w:t>
      </w:r>
    </w:p>
    <w:p>
      <w:pPr>
        <w:spacing w:after="0" w:line="131"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We are susceptible to the risk of significant loss if we are forced to discount the value of our investments in order to provide liquidity to meet our debt maturities. Our borrowings under our Truist Credit Facility are collateralized by the assets in our investment portfolio (excluding assets held by SBIC II). A general disruption in the credit markets could result in diminished demand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91" w:lineRule="exact"/>
        <w:rPr>
          <w:sz w:val="20"/>
          <w:szCs w:val="20"/>
          <w:color w:val="auto"/>
        </w:rPr>
      </w:pPr>
    </w:p>
    <w:p>
      <w:pPr>
        <w:ind w:right="140" w:firstLine="420"/>
        <w:spacing w:after="0" w:line="262" w:lineRule="auto"/>
        <w:rPr>
          <w:sz w:val="20"/>
          <w:szCs w:val="20"/>
          <w:color w:val="auto"/>
        </w:rPr>
      </w:pPr>
      <w:r>
        <w:rPr>
          <w:rFonts w:ascii="Times New Roman" w:cs="Times New Roman" w:eastAsia="Times New Roman" w:hAnsi="Times New Roman"/>
          <w:sz w:val="13"/>
          <w:szCs w:val="13"/>
          <w:color w:val="auto"/>
        </w:rPr>
        <w:t>If the fair value of our assets declines substantially, we may fail to maintain the asset coverage ratio stipulated by the 1940 Act, which could, in turn, cause us to lose our status as a BDC and materially impair our business operations. Our liquidity could be impaired further by an inability to access the capital markets or to draw down our Truist Credit Facility. These situations may arise due to circumstances that we may be unable to control, such as a general disruption in the credit markets, a severe decline in the value of the U.S. dollar, an economic downturn or recession or an operational problem that affects our counterparties or us, and could materially damage our business.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invest in over-the-counter securities, which have and may continue to face liquidity constraints, to provide us with liquidity.</w:t>
      </w:r>
    </w:p>
    <w:p>
      <w:pPr>
        <w:spacing w:after="0" w:line="131" w:lineRule="exact"/>
        <w:rPr>
          <w:sz w:val="20"/>
          <w:szCs w:val="20"/>
          <w:color w:val="auto"/>
        </w:rPr>
      </w:pPr>
    </w:p>
    <w:p>
      <w:pPr>
        <w:ind w:right="160" w:firstLine="420"/>
        <w:spacing w:after="0" w:line="286" w:lineRule="auto"/>
        <w:rPr>
          <w:sz w:val="20"/>
          <w:szCs w:val="20"/>
          <w:color w:val="auto"/>
        </w:rPr>
      </w:pPr>
      <w:r>
        <w:rPr>
          <w:rFonts w:ascii="Times New Roman" w:cs="Times New Roman" w:eastAsia="Times New Roman" w:hAnsi="Times New Roman"/>
          <w:sz w:val="13"/>
          <w:szCs w:val="13"/>
          <w:color w:val="auto"/>
        </w:rPr>
        <w:t>The market for over- the -counter traded securities has and may continue to experience limited liquidity and other weakness as the viability of any over-the-counter secondary market depends on the continued willingness of dealers and other participants to purchase the securities.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RELATING TO OUR INVESTMENTS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investments in prospective portfolio companies may be risky, and you could lose all or part of your investment.</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We intend to invest primarily in first lien secured debt, second lien secured debt, subordinated debt and selected equity investments issued by U.S. and foreign middle-market companies.</w:t>
      </w:r>
    </w:p>
    <w:p>
      <w:pPr>
        <w:spacing w:after="0" w:line="123" w:lineRule="exact"/>
        <w:rPr>
          <w:sz w:val="20"/>
          <w:szCs w:val="20"/>
          <w:color w:val="auto"/>
        </w:rPr>
      </w:pPr>
    </w:p>
    <w:p>
      <w:pPr>
        <w:ind w:left="540"/>
        <w:spacing w:after="0" w:line="257" w:lineRule="auto"/>
        <w:rPr>
          <w:sz w:val="20"/>
          <w:szCs w:val="20"/>
          <w:color w:val="auto"/>
        </w:rPr>
      </w:pPr>
      <w:r>
        <w:rPr>
          <w:rFonts w:ascii="Times New Roman" w:cs="Times New Roman" w:eastAsia="Times New Roman" w:hAnsi="Times New Roman"/>
          <w:sz w:val="13"/>
          <w:szCs w:val="13"/>
          <w:color w:val="auto"/>
        </w:rPr>
        <w:t>1.</w:t>
      </w:r>
      <w:r>
        <w:rPr>
          <w:rFonts w:ascii="Times New Roman" w:cs="Times New Roman" w:eastAsia="Times New Roman" w:hAnsi="Times New Roman"/>
          <w:sz w:val="13"/>
          <w:szCs w:val="13"/>
          <w:b w:val="1"/>
          <w:bCs w:val="1"/>
          <w:i w:val="1"/>
          <w:iCs w:val="1"/>
          <w:color w:val="auto"/>
        </w:rPr>
        <w:t>First Lien Secured Debt:</w:t>
      </w:r>
      <w:r>
        <w:rPr>
          <w:rFonts w:ascii="Times New Roman" w:cs="Times New Roman" w:eastAsia="Times New Roman" w:hAnsi="Times New Roman"/>
          <w:sz w:val="13"/>
          <w:szCs w:val="13"/>
          <w:color w:val="auto"/>
        </w:rPr>
        <w:t xml:space="preserve"> When we extend first lien secured debt, we will generally take a security interest in the available assets of these portfolio companies, including the equity interests of their subsidiaries, although this may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first lien secured debt investment is secured does not guarantee that we will receive principal and interest payments according to the loan’s terms, or at all, or that we will be able to collect on the loan should we be forced to enforce our remedies.</w:t>
      </w:r>
    </w:p>
    <w:p>
      <w:pPr>
        <w:spacing w:after="0" w:line="92" w:lineRule="exact"/>
        <w:rPr>
          <w:sz w:val="20"/>
          <w:szCs w:val="20"/>
          <w:color w:val="auto"/>
        </w:rPr>
      </w:pPr>
    </w:p>
    <w:p>
      <w:pPr>
        <w:ind w:left="540" w:right="60"/>
        <w:spacing w:after="0" w:line="259" w:lineRule="auto"/>
        <w:rPr>
          <w:sz w:val="20"/>
          <w:szCs w:val="20"/>
          <w:color w:val="auto"/>
        </w:rPr>
      </w:pPr>
      <w:r>
        <w:rPr>
          <w:rFonts w:ascii="Times New Roman" w:cs="Times New Roman" w:eastAsia="Times New Roman" w:hAnsi="Times New Roman"/>
          <w:sz w:val="13"/>
          <w:szCs w:val="13"/>
          <w:color w:val="auto"/>
        </w:rPr>
        <w:t>2.</w:t>
      </w:r>
      <w:r>
        <w:rPr>
          <w:rFonts w:ascii="Times New Roman" w:cs="Times New Roman" w:eastAsia="Times New Roman" w:hAnsi="Times New Roman"/>
          <w:sz w:val="13"/>
          <w:szCs w:val="13"/>
          <w:b w:val="1"/>
          <w:bCs w:val="1"/>
          <w:i w:val="1"/>
          <w:iCs w:val="1"/>
          <w:color w:val="auto"/>
        </w:rPr>
        <w:t>Second Lien Secured Debt:</w:t>
      </w:r>
      <w:r>
        <w:rPr>
          <w:rFonts w:ascii="Times New Roman" w:cs="Times New Roman" w:eastAsia="Times New Roman" w:hAnsi="Times New Roman"/>
          <w:sz w:val="13"/>
          <w:szCs w:val="13"/>
          <w:color w:val="auto"/>
        </w:rPr>
        <w:t xml:space="preserve"> Our second lien secured debt usually ranks junior in priority of payment to first lien secured debt. Second lien secured debt holds a second priority with regard to right of payment in the event of insolvency. Second lien secured debt ranks senior to subordinated debt and common and preferred equity in borrowers’ capital structures.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 cash income. Since we may not receive cash interest or principal prior to the maturity of some of our second lien secured debt investments, such investments may be of greater risk than cash paying loans.</w:t>
      </w:r>
    </w:p>
    <w:p>
      <w:pPr>
        <w:spacing w:after="0" w:line="250" w:lineRule="exact"/>
        <w:rPr>
          <w:sz w:val="20"/>
          <w:szCs w:val="20"/>
          <w:color w:val="auto"/>
        </w:rPr>
      </w:pPr>
    </w:p>
    <w:p>
      <w:pPr>
        <w:ind w:left="540" w:right="400"/>
        <w:spacing w:after="0" w:line="292" w:lineRule="auto"/>
        <w:rPr>
          <w:sz w:val="20"/>
          <w:szCs w:val="20"/>
          <w:color w:val="auto"/>
        </w:rPr>
      </w:pPr>
      <w:r>
        <w:rPr>
          <w:rFonts w:ascii="Times New Roman" w:cs="Times New Roman" w:eastAsia="Times New Roman" w:hAnsi="Times New Roman"/>
          <w:sz w:val="13"/>
          <w:szCs w:val="13"/>
          <w:color w:val="auto"/>
        </w:rPr>
        <w:t>3.</w:t>
      </w:r>
      <w:r>
        <w:rPr>
          <w:rFonts w:ascii="Times New Roman" w:cs="Times New Roman" w:eastAsia="Times New Roman" w:hAnsi="Times New Roman"/>
          <w:sz w:val="13"/>
          <w:szCs w:val="13"/>
          <w:b w:val="1"/>
          <w:bCs w:val="1"/>
          <w:i w:val="1"/>
          <w:iCs w:val="1"/>
          <w:color w:val="auto"/>
        </w:rPr>
        <w:t>Subordinated Debt:</w:t>
      </w:r>
      <w:r>
        <w:rPr>
          <w:rFonts w:ascii="Times New Roman" w:cs="Times New Roman" w:eastAsia="Times New Roman" w:hAnsi="Times New Roman"/>
          <w:sz w:val="13"/>
          <w:szCs w:val="13"/>
          <w:color w:val="auto"/>
        </w:rPr>
        <w:t xml:space="preserve"> Our subordinated debt usually ranks junior in priority of payment to first lien secured debt and second lien secured debt, and are often unsecured. As such, other creditors may rank senior to us in the event of insolvency. Subordinated debt ranks senior to common and preferred equity in</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78" w:right="660" w:bottom="1440" w:gutter="0" w:footer="0" w:header="0"/>
        </w:sectPr>
      </w:pPr>
    </w:p>
    <w:bookmarkStart w:id="29" w:name="page30"/>
    <w:bookmarkEnd w:id="29"/>
    <w:p>
      <w:pPr>
        <w:ind w:left="540" w:right="40"/>
        <w:spacing w:after="0" w:line="262" w:lineRule="auto"/>
        <w:rPr>
          <w:sz w:val="20"/>
          <w:szCs w:val="20"/>
          <w:color w:val="auto"/>
        </w:rPr>
      </w:pPr>
      <w:r>
        <w:rPr>
          <w:rFonts w:ascii="Times New Roman" w:cs="Times New Roman" w:eastAsia="Times New Roman" w:hAnsi="Times New Roman"/>
          <w:sz w:val="13"/>
          <w:szCs w:val="13"/>
          <w:color w:val="auto"/>
        </w:rPr>
        <w:t>borrowers’ capital structures.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subordinated debt investments, such investments may be of greater risk than cash paying loans.</w:t>
      </w:r>
    </w:p>
    <w:p>
      <w:pPr>
        <w:spacing w:after="0" w:line="87" w:lineRule="exact"/>
        <w:rPr>
          <w:sz w:val="20"/>
          <w:szCs w:val="20"/>
          <w:color w:val="auto"/>
        </w:rPr>
      </w:pPr>
    </w:p>
    <w:p>
      <w:pPr>
        <w:ind w:left="540" w:right="40"/>
        <w:spacing w:after="0" w:line="257" w:lineRule="auto"/>
        <w:rPr>
          <w:sz w:val="20"/>
          <w:szCs w:val="20"/>
          <w:color w:val="auto"/>
        </w:rPr>
      </w:pPr>
      <w:r>
        <w:rPr>
          <w:rFonts w:ascii="Times New Roman" w:cs="Times New Roman" w:eastAsia="Times New Roman" w:hAnsi="Times New Roman"/>
          <w:sz w:val="13"/>
          <w:szCs w:val="13"/>
          <w:color w:val="auto"/>
        </w:rPr>
        <w:t>4.</w:t>
      </w:r>
      <w:r>
        <w:rPr>
          <w:rFonts w:ascii="Times New Roman" w:cs="Times New Roman" w:eastAsia="Times New Roman" w:hAnsi="Times New Roman"/>
          <w:sz w:val="13"/>
          <w:szCs w:val="13"/>
          <w:b w:val="1"/>
          <w:bCs w:val="1"/>
          <w:i w:val="1"/>
          <w:iCs w:val="1"/>
          <w:color w:val="auto"/>
        </w:rPr>
        <w:t>Equity Investments:</w:t>
      </w:r>
      <w:r>
        <w:rPr>
          <w:rFonts w:ascii="Times New Roman" w:cs="Times New Roman" w:eastAsia="Times New Roman" w:hAnsi="Times New Roman"/>
          <w:sz w:val="13"/>
          <w:szCs w:val="13"/>
          <w:color w:val="auto"/>
        </w:rPr>
        <w:t xml:space="preserve"> We have made and expect to continue to make select equity investments, all of which are subordinated to debt investments. In addition, when we invest in first lien secured debt, second lien secured debt or subordinated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 In addition, many of the equity securities in which we invest may not pay dividends on a regular basis, if at all. Furthermore, we may hold equity investments in partnerships through a taxable subsidiary for federal income tax purposes. Upon sale or exit of such investment, we may pay taxes at regular corporate tax rates, which will reduce the amount of gains or dividends available for distributions to our stockholders.</w:t>
      </w:r>
    </w:p>
    <w:p>
      <w:pPr>
        <w:spacing w:after="0" w:line="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In addition, investing in middle-market companies involves a number of significant risks, including:</w:t>
      </w:r>
    </w:p>
    <w:p>
      <w:pPr>
        <w:spacing w:after="0" w:line="127" w:lineRule="exact"/>
        <w:rPr>
          <w:sz w:val="20"/>
          <w:szCs w:val="20"/>
          <w:color w:val="auto"/>
        </w:rPr>
      </w:pPr>
    </w:p>
    <w:p>
      <w:pPr>
        <w:jc w:val="both"/>
        <w:ind w:left="540" w:right="120"/>
        <w:spacing w:after="0" w:line="286" w:lineRule="auto"/>
        <w:rPr>
          <w:sz w:val="20"/>
          <w:szCs w:val="20"/>
          <w:color w:val="auto"/>
        </w:rPr>
      </w:pPr>
      <w:r>
        <w:rPr>
          <w:rFonts w:ascii="Times New Roman" w:cs="Times New Roman" w:eastAsia="Times New Roman" w:hAnsi="Times New Roman"/>
          <w:sz w:val="13"/>
          <w:szCs w:val="13"/>
          <w:color w:val="auto"/>
        </w:rPr>
        <w:t>•companies may be highly leveraged,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76" w:lineRule="exact"/>
        <w:rPr>
          <w:sz w:val="20"/>
          <w:szCs w:val="20"/>
          <w:color w:val="auto"/>
        </w:rPr>
      </w:pPr>
    </w:p>
    <w:p>
      <w:pPr>
        <w:ind w:left="540" w:right="300"/>
        <w:spacing w:after="0" w:line="286" w:lineRule="auto"/>
        <w:rPr>
          <w:sz w:val="20"/>
          <w:szCs w:val="20"/>
          <w:color w:val="auto"/>
        </w:rPr>
      </w:pPr>
      <w:r>
        <w:rPr>
          <w:rFonts w:ascii="Times New Roman" w:cs="Times New Roman" w:eastAsia="Times New Roman" w:hAnsi="Times New Roman"/>
          <w:sz w:val="13"/>
          <w:szCs w:val="13"/>
          <w:color w:val="auto"/>
        </w:rPr>
        <w:t>•they typically have shorter operating histories, more limited publicly available information, narrower product lines, more concentration of revenues from customers and smaller market shares than larger businesses, which tend to render them more vulnerable to competitors’ actions and changing market conditions, as well as general economic downturns;</w:t>
      </w:r>
    </w:p>
    <w:p>
      <w:pPr>
        <w:spacing w:after="0" w:line="76" w:lineRule="exact"/>
        <w:rPr>
          <w:sz w:val="20"/>
          <w:szCs w:val="20"/>
          <w:color w:val="auto"/>
        </w:rPr>
      </w:pPr>
    </w:p>
    <w:p>
      <w:pPr>
        <w:ind w:left="540" w:right="80"/>
        <w:spacing w:after="0" w:line="286" w:lineRule="auto"/>
        <w:rPr>
          <w:sz w:val="20"/>
          <w:szCs w:val="20"/>
          <w:color w:val="auto"/>
        </w:rPr>
      </w:pPr>
      <w:r>
        <w:rPr>
          <w:rFonts w:ascii="Times New Roman" w:cs="Times New Roman" w:eastAsia="Times New Roman" w:hAnsi="Times New Roman"/>
          <w:sz w:val="13"/>
          <w:szCs w:val="13"/>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76" w:lineRule="exact"/>
        <w:rPr>
          <w:sz w:val="20"/>
          <w:szCs w:val="20"/>
          <w:color w:val="auto"/>
        </w:rPr>
      </w:pPr>
    </w:p>
    <w:p>
      <w:pPr>
        <w:jc w:val="both"/>
        <w:ind w:left="540" w:right="140"/>
        <w:spacing w:after="0" w:line="268" w:lineRule="auto"/>
        <w:rPr>
          <w:sz w:val="20"/>
          <w:szCs w:val="20"/>
          <w:color w:val="auto"/>
        </w:rPr>
      </w:pPr>
      <w:r>
        <w:rPr>
          <w:rFonts w:ascii="Times New Roman" w:cs="Times New Roman" w:eastAsia="Times New Roman" w:hAnsi="Times New Roman"/>
          <w:sz w:val="13"/>
          <w:szCs w:val="13"/>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be named as defendants in litigation arising from our investments in the portfolio companies; and</w:t>
      </w:r>
    </w:p>
    <w:p>
      <w:pPr>
        <w:spacing w:after="0" w:line="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•they may have difficulty accessing the capital markets to meet future capital needs, which may limit their ability to grow or to refinance their outstanding indebtedness upon maturity.</w:t>
      </w:r>
    </w:p>
    <w:p>
      <w:pPr>
        <w:spacing w:after="0" w:line="123" w:lineRule="exact"/>
        <w:rPr>
          <w:sz w:val="20"/>
          <w:szCs w:val="20"/>
          <w:color w:val="auto"/>
        </w:rPr>
      </w:pPr>
    </w:p>
    <w:p>
      <w:pPr>
        <w:ind w:right="28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Under the 1940 Act, we may invest up to 30% of our assets in investments that are not qualifying assets for BDCs. If we do not invest a sufficient portion of our assets in qualifying assets, we could be precluded from investing in assets that we deem to be attractive.</w:t>
      </w:r>
    </w:p>
    <w:p>
      <w:pPr>
        <w:spacing w:after="0" w:line="72"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91" w:lineRule="exact"/>
        <w:rPr>
          <w:sz w:val="20"/>
          <w:szCs w:val="20"/>
          <w:color w:val="auto"/>
        </w:rPr>
      </w:pPr>
    </w:p>
    <w:p>
      <w:pPr>
        <w:ind w:firstLine="420"/>
        <w:spacing w:after="0" w:line="257" w:lineRule="auto"/>
        <w:rPr>
          <w:sz w:val="20"/>
          <w:szCs w:val="20"/>
          <w:color w:val="auto"/>
        </w:rPr>
      </w:pPr>
      <w:r>
        <w:rPr>
          <w:rFonts w:ascii="Times New Roman" w:cs="Times New Roman" w:eastAsia="Times New Roman" w:hAnsi="Times New Roman"/>
          <w:sz w:val="13"/>
          <w:szCs w:val="13"/>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have not invested a sufficient portion of our assets in qualifying assets at the time of a proposed investment,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96" w:lineRule="exact"/>
        <w:rPr>
          <w:sz w:val="20"/>
          <w:szCs w:val="20"/>
          <w:color w:val="auto"/>
        </w:rPr>
      </w:pPr>
    </w:p>
    <w:p>
      <w:pPr>
        <w:jc w:val="both"/>
        <w:ind w:right="600" w:firstLine="420"/>
        <w:spacing w:after="0" w:line="268" w:lineRule="auto"/>
        <w:rPr>
          <w:sz w:val="20"/>
          <w:szCs w:val="20"/>
          <w:color w:val="auto"/>
        </w:rPr>
      </w:pPr>
      <w:r>
        <w:rPr>
          <w:rFonts w:ascii="Times New Roman" w:cs="Times New Roman" w:eastAsia="Times New Roman" w:hAnsi="Times New Roman"/>
          <w:sz w:val="13"/>
          <w:szCs w:val="13"/>
          <w:color w:val="auto"/>
        </w:rPr>
        <w:t>Our investment in PSLF, our unconsolidated joint venture with Pantheon, is not a qualifying asset under Section 55(a) of the 1940 Act. From time to time prior to making additional investments into PSLF, PTSF II or any future joint venture, we may increase our holdings of U.S. treasury securities, cash or cash equivalents (through borrowing or otherwise) so that such investments do not result in less than 70% of our assets being invested in qualifying assets.</w:t>
      </w:r>
    </w:p>
    <w:p>
      <w:pPr>
        <w:spacing w:after="0" w:line="83" w:lineRule="exact"/>
        <w:rPr>
          <w:sz w:val="20"/>
          <w:szCs w:val="20"/>
          <w:color w:val="auto"/>
        </w:rPr>
      </w:pPr>
    </w:p>
    <w:p>
      <w:pPr>
        <w:ind w:right="16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We are a non- diversified investment company within the meaning of the 1940 Act, and therefore we generally are not limited with respect to the proportion of our assets that may be invested in securities of a single issuer.</w:t>
      </w:r>
    </w:p>
    <w:p>
      <w:pPr>
        <w:spacing w:after="0" w:line="72" w:lineRule="exact"/>
        <w:rPr>
          <w:sz w:val="20"/>
          <w:szCs w:val="20"/>
          <w:color w:val="auto"/>
        </w:rPr>
      </w:pPr>
    </w:p>
    <w:p>
      <w:pPr>
        <w:ind w:right="20" w:firstLine="420"/>
        <w:spacing w:after="0" w:line="256" w:lineRule="auto"/>
        <w:rPr>
          <w:sz w:val="20"/>
          <w:szCs w:val="20"/>
          <w:color w:val="auto"/>
        </w:rPr>
      </w:pPr>
      <w:r>
        <w:rPr>
          <w:rFonts w:ascii="Times New Roman" w:cs="Times New Roman" w:eastAsia="Times New Roman" w:hAnsi="Times New Roman"/>
          <w:sz w:val="13"/>
          <w:szCs w:val="13"/>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and compliance with the RIC tax regulations.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the Diversification Requirements, we do not have fixed guidelines for portfolio diversification, and our investments could be concentrated in relatively few portfolio companies or industries. Although we are classified as a non-diversified investment company within the meaning of the 1940 Act, we maintain the flexibility to operate as a diversified investment company and have done so for an extended period of time. To the extent that we operate as a non-diversified investment company in the future, we may be subject to greater risk.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Economic recessions or downturns could impair our portfolio companies and harm our operating results.</w:t>
      </w:r>
    </w:p>
    <w:p>
      <w:pPr>
        <w:spacing w:after="0" w:line="131"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3"/>
          <w:szCs w:val="13"/>
          <w:color w:val="auto"/>
        </w:rPr>
        <w:t>Many of our portfolio companies are susceptible to economic or industry centric slowdowns or recessions and may be unable to repay debt from us during these periods. Therefore, our non-performing assets are likely to increase, and the value of our portfolio is likely to decrease during these periods. Adverse economic conditions also may decrease the value of collateral securing some of our debt investments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78" w:right="680" w:bottom="1440" w:gutter="0" w:footer="0" w:header="0"/>
        </w:sectPr>
      </w:pPr>
    </w:p>
    <w:bookmarkStart w:id="30" w:name="page31"/>
    <w:bookmarkEnd w:id="30"/>
    <w:p>
      <w:pPr>
        <w:ind w:firstLine="420"/>
        <w:spacing w:after="0" w:line="257" w:lineRule="auto"/>
        <w:rPr>
          <w:sz w:val="20"/>
          <w:szCs w:val="20"/>
          <w:color w:val="auto"/>
        </w:rPr>
      </w:pPr>
      <w:r>
        <w:rPr>
          <w:rFonts w:ascii="Times New Roman" w:cs="Times New Roman" w:eastAsia="Times New Roman" w:hAnsi="Times New Roman"/>
          <w:sz w:val="13"/>
          <w:szCs w:val="13"/>
          <w:color w:val="auto"/>
        </w:rPr>
        <w:t>A portfolio company’s failure to satisfy financial or operating covenants imposed by us or other lenders could lead to defaults and potential termination of its debt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and any restructuring could further cause adverse effects on our business.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 In addition, we cannot assure you that a bankruptcy court would not take actions contrary to our interests.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we fail to make follow-on investments in our portfolio companies, this could materially impair the value of our portfolio.</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Following an initial investment in a portfolio company, we may make additional investments in that portfolio company as “follow-on” investments, in order to:</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•increase or maintain in whole or in part our equity ownership percentage;</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•exercise warrants, options or convertible securities that were acquired in the original or subsequent financing; or</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•attempt to preserve or enhance the value of our investment.</w:t>
      </w:r>
    </w:p>
    <w:p>
      <w:pPr>
        <w:spacing w:after="0" w:line="127"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3"/>
          <w:szCs w:val="13"/>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transaction or business. Even if we have sufficient capital to make a desired follow-on investment, we may elect not to make a follow-on investment because we may not want to increase our concentration of risk, either because we prefer other opportunities, or because we are inhibited by compliance with BDC requirements or the desire to maintain our RIC tax status.</w:t>
      </w:r>
    </w:p>
    <w:p>
      <w:pPr>
        <w:spacing w:after="0" w:line="90" w:lineRule="exact"/>
        <w:rPr>
          <w:sz w:val="20"/>
          <w:szCs w:val="20"/>
          <w:color w:val="auto"/>
        </w:rPr>
      </w:pPr>
    </w:p>
    <w:p>
      <w:pPr>
        <w:ind w:right="38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Because we generally do not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72" w:lineRule="exact"/>
        <w:rPr>
          <w:sz w:val="20"/>
          <w:szCs w:val="20"/>
          <w:color w:val="auto"/>
        </w:rPr>
      </w:pPr>
    </w:p>
    <w:p>
      <w:pPr>
        <w:ind w:right="200" w:firstLine="420"/>
        <w:spacing w:after="0" w:line="262" w:lineRule="auto"/>
        <w:rPr>
          <w:sz w:val="20"/>
          <w:szCs w:val="20"/>
          <w:color w:val="auto"/>
        </w:rPr>
      </w:pPr>
      <w:r>
        <w:rPr>
          <w:rFonts w:ascii="Times New Roman" w:cs="Times New Roman" w:eastAsia="Times New Roman" w:hAnsi="Times New Roman"/>
          <w:sz w:val="13"/>
          <w:szCs w:val="13"/>
          <w:color w:val="auto"/>
        </w:rPr>
        <w:t>Because we generally do not hold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market value of our investments.</w:t>
      </w:r>
    </w:p>
    <w:p>
      <w:pPr>
        <w:spacing w:after="0" w:line="87" w:lineRule="exact"/>
        <w:rPr>
          <w:sz w:val="20"/>
          <w:szCs w:val="20"/>
          <w:color w:val="auto"/>
        </w:rPr>
      </w:pPr>
    </w:p>
    <w:p>
      <w:pPr>
        <w:ind w:right="64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72"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portfolio companies may incur debt that ranks equally with, or senior to, our investments in such companies and our portfolio companies may be highly leveraged.</w:t>
      </w:r>
    </w:p>
    <w:p>
      <w:pPr>
        <w:spacing w:after="0" w:line="131" w:lineRule="exact"/>
        <w:rPr>
          <w:sz w:val="20"/>
          <w:szCs w:val="20"/>
          <w:color w:val="auto"/>
        </w:rPr>
      </w:pPr>
    </w:p>
    <w:p>
      <w:pPr>
        <w:ind w:firstLine="420"/>
        <w:spacing w:after="0" w:line="256" w:lineRule="auto"/>
        <w:rPr>
          <w:sz w:val="20"/>
          <w:szCs w:val="20"/>
          <w:color w:val="auto"/>
        </w:rPr>
      </w:pPr>
      <w:r>
        <w:rPr>
          <w:rFonts w:ascii="Times New Roman" w:cs="Times New Roman" w:eastAsia="Times New Roman" w:hAnsi="Times New Roman"/>
          <w:sz w:val="13"/>
          <w:szCs w:val="13"/>
          <w:color w:val="auto"/>
        </w:rPr>
        <w:t>We invest primarily in first lien secured debt, second lien secured debt, subordinated debt and equity investments issued by our portfolio companies. The portfolio companies usually will have, or may be permitted to incur, other debt that ranks equally with, or senior to, our investments, and they may be highly leveraged. By their terms, such debt instruments may provide that the holders are entitled to receive payment of interest or principal on or before the dates on which we are entitled to receive payments with respect to our debt investments.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incentive fee may induce the Investment Adviser to make speculative investments.</w:t>
      </w:r>
    </w:p>
    <w:p>
      <w:pPr>
        <w:spacing w:after="0" w:line="131" w:lineRule="exact"/>
        <w:rPr>
          <w:sz w:val="20"/>
          <w:szCs w:val="20"/>
          <w:color w:val="auto"/>
        </w:rPr>
      </w:pPr>
    </w:p>
    <w:p>
      <w:pPr>
        <w:ind w:right="120" w:firstLine="420"/>
        <w:spacing w:after="0" w:line="256" w:lineRule="auto"/>
        <w:rPr>
          <w:sz w:val="20"/>
          <w:szCs w:val="20"/>
          <w:color w:val="auto"/>
        </w:rPr>
      </w:pPr>
      <w:r>
        <w:rPr>
          <w:rFonts w:ascii="Times New Roman" w:cs="Times New Roman" w:eastAsia="Times New Roman" w:hAnsi="Times New Roman"/>
          <w:sz w:val="13"/>
          <w:szCs w:val="13"/>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NAV.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96" w:lineRule="exact"/>
        <w:rPr>
          <w:sz w:val="20"/>
          <w:szCs w:val="20"/>
          <w:color w:val="auto"/>
        </w:rPr>
      </w:pPr>
    </w:p>
    <w:p>
      <w:pPr>
        <w:ind w:right="100" w:firstLine="420"/>
        <w:spacing w:after="0" w:line="268" w:lineRule="auto"/>
        <w:rPr>
          <w:sz w:val="20"/>
          <w:szCs w:val="20"/>
          <w:color w:val="auto"/>
        </w:rPr>
      </w:pPr>
      <w:r>
        <w:rPr>
          <w:rFonts w:ascii="Times New Roman" w:cs="Times New Roman" w:eastAsia="Times New Roman" w:hAnsi="Times New Roman"/>
          <w:sz w:val="13"/>
          <w:szCs w:val="13"/>
          <w:color w:val="auto"/>
        </w:rPr>
        <w:t>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Any investments in distressed debt may not produce income and may require us to bear large expenses in order to protect and recover our investment.</w:t>
      </w:r>
    </w:p>
    <w:p>
      <w:pPr>
        <w:spacing w:after="0" w:line="131" w:lineRule="exact"/>
        <w:rPr>
          <w:sz w:val="20"/>
          <w:szCs w:val="20"/>
          <w:color w:val="auto"/>
        </w:rPr>
      </w:pPr>
    </w:p>
    <w:p>
      <w:pPr>
        <w:jc w:val="both"/>
        <w:ind w:right="100" w:firstLine="420"/>
        <w:spacing w:after="0" w:line="259" w:lineRule="auto"/>
        <w:rPr>
          <w:sz w:val="20"/>
          <w:szCs w:val="20"/>
          <w:color w:val="auto"/>
        </w:rPr>
      </w:pPr>
      <w:r>
        <w:rPr>
          <w:rFonts w:ascii="Times New Roman" w:cs="Times New Roman" w:eastAsia="Times New Roman" w:hAnsi="Times New Roman"/>
          <w:sz w:val="13"/>
          <w:szCs w:val="13"/>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in what manner and for what value the distressed debt in which we invest will eventually be satisfied (e.g., through liquidation of the obligor’s assets, an exchange offer or plan of reorganization involving the distressed debt securities or a payment of some amount in satisfaction of the obligation) . In addition, even if an exchange offer is made or plan of reorganization is adopted with respect to distressed debt we hold, there can be no assurance that the securities or other assets received by us in connection</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78" w:right="680" w:bottom="1440" w:gutter="0" w:footer="0" w:header="0"/>
        </w:sectPr>
      </w:pPr>
    </w:p>
    <w:bookmarkStart w:id="31" w:name="page32"/>
    <w:bookmarkEnd w:id="31"/>
    <w:p>
      <w:pPr>
        <w:jc w:val="both"/>
        <w:ind w:right="120"/>
        <w:spacing w:after="0" w:line="268" w:lineRule="auto"/>
        <w:rPr>
          <w:sz w:val="20"/>
          <w:szCs w:val="20"/>
          <w:color w:val="auto"/>
        </w:rPr>
      </w:pPr>
      <w:r>
        <w:rPr>
          <w:rFonts w:ascii="Times New Roman" w:cs="Times New Roman" w:eastAsia="Times New Roman" w:hAnsi="Times New Roman"/>
          <w:sz w:val="13"/>
          <w:szCs w:val="13"/>
          <w:color w:val="auto"/>
        </w:rPr>
        <w:t>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investments in foreign securities may involve significant risks in addition to the risks inherent in U.S. investments.</w:t>
      </w:r>
    </w:p>
    <w:p>
      <w:pPr>
        <w:spacing w:after="0" w:line="131"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Our investment strategy contemplates potential investments in securities of companies located outside of the United States. Investments in securities of companies located outside of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economic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94" w:lineRule="exact"/>
        <w:rPr>
          <w:sz w:val="20"/>
          <w:szCs w:val="20"/>
          <w:color w:val="auto"/>
        </w:rPr>
      </w:pPr>
    </w:p>
    <w:p>
      <w:pPr>
        <w:jc w:val="both"/>
        <w:ind w:right="220" w:firstLine="420"/>
        <w:spacing w:after="0" w:line="262" w:lineRule="auto"/>
        <w:rPr>
          <w:sz w:val="20"/>
          <w:szCs w:val="20"/>
          <w:color w:val="auto"/>
        </w:rPr>
      </w:pPr>
      <w:r>
        <w:rPr>
          <w:rFonts w:ascii="Times New Roman" w:cs="Times New Roman" w:eastAsia="Times New Roman" w:hAnsi="Times New Roman"/>
          <w:sz w:val="13"/>
          <w:szCs w:val="13"/>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interest rates, differences in relative values of similar assets in different currencies, long-term opportunities for investment and capital appreciation, and economic and political developments. We may employ hedging techniques such as using our Truist Credit Facility’s multicurrency capability to minimize these risks, but we can offer no assurance that we will, in fact, hedge currency risk or, that if we do, such strategies will be effective.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make investments that cause our stockholders to bear investment advisory fees and other expenses on such investments in addition to our management fees and expenses.</w:t>
      </w:r>
    </w:p>
    <w:p>
      <w:pPr>
        <w:spacing w:after="0" w:line="131" w:lineRule="exact"/>
        <w:rPr>
          <w:sz w:val="20"/>
          <w:szCs w:val="20"/>
          <w:color w:val="auto"/>
        </w:rPr>
      </w:pPr>
    </w:p>
    <w:p>
      <w:pPr>
        <w:ind w:firstLine="420"/>
        <w:spacing w:after="0" w:line="257" w:lineRule="auto"/>
        <w:rPr>
          <w:sz w:val="20"/>
          <w:szCs w:val="20"/>
          <w:color w:val="auto"/>
        </w:rPr>
      </w:pPr>
      <w:r>
        <w:rPr>
          <w:rFonts w:ascii="Times New Roman" w:cs="Times New Roman" w:eastAsia="Times New Roman" w:hAnsi="Times New Roman"/>
          <w:sz w:val="13"/>
          <w:szCs w:val="13"/>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an incentive fee,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be obligated to pay our Investment Adviser incentive compensation even if we incur a loss.</w:t>
      </w:r>
    </w:p>
    <w:p>
      <w:pPr>
        <w:spacing w:after="0" w:line="131" w:lineRule="exact"/>
        <w:rPr>
          <w:sz w:val="20"/>
          <w:szCs w:val="20"/>
          <w:color w:val="auto"/>
        </w:rPr>
      </w:pPr>
    </w:p>
    <w:p>
      <w:pPr>
        <w:ind w:right="100" w:firstLine="420"/>
        <w:spacing w:after="0" w:line="259" w:lineRule="auto"/>
        <w:rPr>
          <w:sz w:val="20"/>
          <w:szCs w:val="20"/>
          <w:color w:val="auto"/>
        </w:rPr>
      </w:pPr>
      <w:r>
        <w:rPr>
          <w:rFonts w:ascii="Times New Roman" w:cs="Times New Roman" w:eastAsia="Times New Roman" w:hAnsi="Times New Roman"/>
          <w:sz w:val="13"/>
          <w:szCs w:val="13"/>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Statements of Operations for that quarter. Thus, we may be required to pay the Investment Adviser incentive compensation for a fiscal quarter even if there is a decline in the value of our portfolio, NAV or we incur a net loss for that quarter. In addition, increases in interest rates may increase the amount of incentive fees we pay to the Investment Adviser even though our performance relative to the market has not increased.</w:t>
      </w:r>
    </w:p>
    <w:p>
      <w:pPr>
        <w:spacing w:after="0" w:line="126" w:lineRule="exact"/>
        <w:rPr>
          <w:sz w:val="20"/>
          <w:szCs w:val="20"/>
          <w:color w:val="auto"/>
        </w:rPr>
      </w:pPr>
    </w:p>
    <w:p>
      <w:pPr>
        <w:ind w:right="40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We may invest in derivatives or other assets that expose us to certain risks, including market risk, liquidity risk, counterparty risk, operational and legal risk and other risks similar to those associated with the use of leverage.</w:t>
      </w:r>
    </w:p>
    <w:p>
      <w:pPr>
        <w:spacing w:after="0" w:line="108" w:lineRule="exact"/>
        <w:rPr>
          <w:sz w:val="20"/>
          <w:szCs w:val="20"/>
          <w:color w:val="auto"/>
        </w:rPr>
      </w:pPr>
    </w:p>
    <w:p>
      <w:pPr>
        <w:ind w:right="120" w:firstLine="420"/>
        <w:spacing w:after="0" w:line="262" w:lineRule="auto"/>
        <w:rPr>
          <w:sz w:val="20"/>
          <w:szCs w:val="20"/>
          <w:color w:val="auto"/>
        </w:rPr>
      </w:pPr>
      <w:r>
        <w:rPr>
          <w:rFonts w:ascii="Times New Roman" w:cs="Times New Roman" w:eastAsia="Times New Roman" w:hAnsi="Times New Roman"/>
          <w:sz w:val="13"/>
          <w:szCs w:val="13"/>
          <w:color w:val="auto"/>
        </w:rPr>
        <w:t>The Company may invest in derivatives and other assets that are subject to many of the same types of risks related to the use of leverage. Derivative transactions, if any, will generally create leverage for the Company and involve significant risks. The primary risks related to derivative transactions include counterparty, correlation, liquidity, leverage, volatility, over-the-counter trading, operational and legal risks. In addition, a small investment in derivatives could have a large potential impact on our performance, effecting a form of investment leverage on our portfolio. In certain types of derivative transactions, the Company could lose the entire amount of its investment; in other types of derivative transactions the potential loss is theoretically unlimited.</w:t>
      </w:r>
    </w:p>
    <w:p>
      <w:pPr>
        <w:spacing w:after="0" w:line="127" w:lineRule="exact"/>
        <w:rPr>
          <w:sz w:val="20"/>
          <w:szCs w:val="20"/>
          <w:color w:val="auto"/>
        </w:rPr>
      </w:pPr>
    </w:p>
    <w:p>
      <w:pPr>
        <w:ind w:right="60" w:firstLine="420"/>
        <w:spacing w:after="0" w:line="254" w:lineRule="auto"/>
        <w:rPr>
          <w:sz w:val="20"/>
          <w:szCs w:val="20"/>
          <w:color w:val="auto"/>
        </w:rPr>
      </w:pPr>
      <w:r>
        <w:rPr>
          <w:rFonts w:ascii="Times New Roman" w:cs="Times New Roman" w:eastAsia="Times New Roman" w:hAnsi="Times New Roman"/>
          <w:sz w:val="13"/>
          <w:szCs w:val="13"/>
          <w:color w:val="auto"/>
        </w:rPr>
        <w:t>Under SEC Rule 18f-4 under the 1940 Act ("Rule 18f- 4"), related to use of derivatives, short sales, reverse repurchase agreements and certain other transactions by registered investment companies, the Company is permitted to enter into derivatives and other transactions that create future payment or delivery obligations, including short sales, notwithstanding the senior security provision of the 1940 Act if its complies with certain value-at-risk leverage limits and derivatives risk management program and board oversight and reporting requirements or comply with a "limited derivatives users" exception. Rule 18f-4 also permits the Company to enter into reverse repurchase agreements or similar financing transactions notwithstanding the senior security provision of the 1940 Act if the Company aggregates the amount of indebtedness associated with our reverse repurchase agreements or similar financing transactions with the aggregate amount of any other senior securities representing indebtedness when calculating the asset coverage ratios as discussed herein. In addition, the Company is permitted to invest in a security on a when-issued or forward-settling basis, or with a non-standard settlement cycle, and the transaction will be deemed not to involve a senior security under the 1940 Act, provided that (i) the Company intends to physically settle the transaction and (ii) the transaction will settle within 35 days of its trade date (the "Delayed-Settlement Securities Provision"). The Company may otherwise engage in such transaction as a "derivatives transaction" for purposes of compliance with the rule. Furthermore, the Company is permitted to enter into an unfunded commitment agreement, and such unfunded commitment agreement will not be subject to the asset coverage requirements under the 1940 Act, if the Company reasonably believes, at the time it enters into such agreement, that it will have sufficient cash and cash equivalents to meet its obligations with respect to all such agreements as they come due. The Company cannot predict the effects of these requirements</w:t>
      </w:r>
    </w:p>
    <w:p>
      <w:pPr>
        <w:spacing w:after="0" w:line="132"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The Company has adopted updated policies and procedures in compliance with Rule 18f-4. The Company expects to qualify as a “limited derivatives user.” Future legislation or rules may modify how the Company treats derivatives and other financial arrangements for purposes of the Company’s compliance with the leverage limitations of the 1940 Act. Future legislation or rules, may modify how leverage is calculated under the 1940 Act and, therefore, may increase or decrease the amount of leverage currently available to the Company under the 1940 Act, which may be materially adverse to the Company and the Company’s Investors.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RELATING TO AN INVESTMENT IN OUR COMMON STOCK</w:t>
      </w:r>
    </w:p>
    <w:p>
      <w:pPr>
        <w:spacing w:after="0" w:line="12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3"/>
          <w:szCs w:val="13"/>
          <w:b w:val="1"/>
          <w:bCs w:val="1"/>
          <w:i w:val="1"/>
          <w:iCs w:val="1"/>
          <w:color w:val="auto"/>
        </w:rPr>
        <w:t>We may obtain the approval of our stockholders to issue shares of our common stock at prices below the then current NAV per share of our common stock. If we receive such approval from stockholders in the future, we may issue shares of our common stock at a price below the then current NAV per share of common stock. Any such issuance could materially dilute your interest in our common stock and reduce our NAV per share.</w:t>
      </w:r>
    </w:p>
    <w:p>
      <w:pPr>
        <w:spacing w:after="0" w:line="86" w:lineRule="exact"/>
        <w:rPr>
          <w:sz w:val="20"/>
          <w:szCs w:val="20"/>
          <w:color w:val="auto"/>
        </w:rPr>
      </w:pPr>
    </w:p>
    <w:p>
      <w:pPr>
        <w:ind w:right="20" w:firstLine="420"/>
        <w:spacing w:after="0" w:line="268" w:lineRule="auto"/>
        <w:rPr>
          <w:sz w:val="20"/>
          <w:szCs w:val="20"/>
          <w:color w:val="auto"/>
        </w:rPr>
      </w:pPr>
      <w:r>
        <w:rPr>
          <w:rFonts w:ascii="Times New Roman" w:cs="Times New Roman" w:eastAsia="Times New Roman" w:hAnsi="Times New Roman"/>
          <w:sz w:val="13"/>
          <w:szCs w:val="13"/>
          <w:color w:val="auto"/>
        </w:rPr>
        <w:t>We may seek to obtain from our stockholders and they may approve a proposal that authorizes us to issue shares of our common stock at prices below the then current NAV per share of our common stock in one or more offerings for a 12-month period. Such approval would allow us to access the capital markets in a way that we were previously unable to do as a result of restrictions that, absent stockholder approval, apply to BDCs under the 1940 Act.</w:t>
      </w:r>
    </w:p>
    <w:p>
      <w:pPr>
        <w:spacing w:after="0" w:line="87" w:lineRule="exact"/>
        <w:rPr>
          <w:sz w:val="20"/>
          <w:szCs w:val="20"/>
          <w:color w:val="auto"/>
        </w:rPr>
      </w:pPr>
    </w:p>
    <w:p>
      <w:pPr>
        <w:ind w:right="120" w:firstLine="420"/>
        <w:spacing w:after="0" w:line="268" w:lineRule="auto"/>
        <w:rPr>
          <w:sz w:val="20"/>
          <w:szCs w:val="20"/>
          <w:color w:val="auto"/>
        </w:rPr>
      </w:pPr>
      <w:r>
        <w:rPr>
          <w:rFonts w:ascii="Times New Roman" w:cs="Times New Roman" w:eastAsia="Times New Roman" w:hAnsi="Times New Roman"/>
          <w:sz w:val="13"/>
          <w:szCs w:val="13"/>
          <w:color w:val="auto"/>
        </w:rPr>
        <w:t>Any sale or other issuance of shares of our common stock at a price below NAV per share will result in an immediate dilution to your interest in our common stock and a reduction of our NAV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78" w:right="680" w:bottom="1440" w:gutter="0" w:footer="0" w:header="0"/>
        </w:sectPr>
      </w:pPr>
    </w:p>
    <w:bookmarkStart w:id="32" w:name="page33"/>
    <w:bookmarkEnd w:id="32"/>
    <w:p>
      <w:pPr>
        <w:jc w:val="both"/>
        <w:ind w:right="40"/>
        <w:spacing w:after="0" w:line="268" w:lineRule="auto"/>
        <w:rPr>
          <w:sz w:val="20"/>
          <w:szCs w:val="20"/>
          <w:color w:val="auto"/>
        </w:rPr>
      </w:pPr>
      <w:r>
        <w:rPr>
          <w:rFonts w:ascii="Times New Roman" w:cs="Times New Roman" w:eastAsia="Times New Roman" w:hAnsi="Times New Roman"/>
          <w:sz w:val="13"/>
          <w:szCs w:val="13"/>
          <w:color w:val="auto"/>
        </w:rPr>
        <w:t>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offerings we make at a price below our then current NAV in the future in a prospectus supplement issued in connection with any such offering.</w:t>
      </w:r>
    </w:p>
    <w:p>
      <w:pPr>
        <w:spacing w:after="0" w:line="87"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have previously received the consent of the majority of our common stockholders to do so and the board of directors decides such an offering is in the best interests of our common stockholders. Whenever we do not have current stockholder approval to issue shares of our common stock at a price per share below our then current NAV per share, the offering price per share (after any distributing commission or discount) will equal or exceed our then current NAV per share, based on the value of our portfolio securities and other assets determined in good faith by our board of directors as of a time within 48 hours (excluding Sundays and holidays) of the sale.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There is a risk that our stockholders may not receive distributions or that our distributions may not grow over time.</w:t>
      </w:r>
    </w:p>
    <w:p>
      <w:pPr>
        <w:spacing w:after="0" w:line="131" w:lineRule="exact"/>
        <w:rPr>
          <w:sz w:val="20"/>
          <w:szCs w:val="20"/>
          <w:color w:val="auto"/>
        </w:rPr>
      </w:pPr>
    </w:p>
    <w:p>
      <w:pPr>
        <w:ind w:firstLine="420"/>
        <w:spacing w:after="0" w:line="257" w:lineRule="auto"/>
        <w:rPr>
          <w:sz w:val="20"/>
          <w:szCs w:val="20"/>
          <w:color w:val="auto"/>
        </w:rPr>
      </w:pPr>
      <w:r>
        <w:rPr>
          <w:rFonts w:ascii="Times New Roman" w:cs="Times New Roman" w:eastAsia="Times New Roman" w:hAnsi="Times New Roman"/>
          <w:sz w:val="13"/>
          <w:szCs w:val="13"/>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requirements applicable to us as a BDC, we may be limited in our ability to make distributions. Further, if more stockholders opt to receive cash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Investing in our shares may involve an above average degree of risk.</w:t>
      </w:r>
    </w:p>
    <w:p>
      <w:pPr>
        <w:spacing w:after="0" w:line="131" w:lineRule="exact"/>
        <w:rPr>
          <w:sz w:val="20"/>
          <w:szCs w:val="20"/>
          <w:color w:val="auto"/>
        </w:rPr>
      </w:pPr>
    </w:p>
    <w:p>
      <w:pPr>
        <w:ind w:right="400" w:firstLine="420"/>
        <w:spacing w:after="0" w:line="286" w:lineRule="auto"/>
        <w:rPr>
          <w:sz w:val="20"/>
          <w:szCs w:val="20"/>
          <w:color w:val="auto"/>
        </w:rPr>
      </w:pPr>
      <w:r>
        <w:rPr>
          <w:rFonts w:ascii="Times New Roman" w:cs="Times New Roman" w:eastAsia="Times New Roman" w:hAnsi="Times New Roman"/>
          <w:sz w:val="13"/>
          <w:szCs w:val="13"/>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Sales of substantial amounts of our securities may have an adverse effect on the market price of our securities.</w:t>
      </w:r>
    </w:p>
    <w:p>
      <w:pPr>
        <w:spacing w:after="0" w:line="131" w:lineRule="exact"/>
        <w:rPr>
          <w:sz w:val="20"/>
          <w:szCs w:val="20"/>
          <w:color w:val="auto"/>
        </w:rPr>
      </w:pPr>
    </w:p>
    <w:p>
      <w:pPr>
        <w:ind w:right="60" w:firstLine="420"/>
        <w:spacing w:after="0" w:line="286" w:lineRule="auto"/>
        <w:rPr>
          <w:sz w:val="20"/>
          <w:szCs w:val="20"/>
          <w:color w:val="auto"/>
        </w:rPr>
      </w:pPr>
      <w:r>
        <w:rPr>
          <w:rFonts w:ascii="Times New Roman" w:cs="Times New Roman" w:eastAsia="Times New Roman" w:hAnsi="Times New Roman"/>
          <w:sz w:val="13"/>
          <w:szCs w:val="13"/>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allocate the net proceeds from any offering of our securities in ways with which you may not agree.</w:t>
      </w:r>
    </w:p>
    <w:p>
      <w:pPr>
        <w:spacing w:after="0" w:line="131" w:lineRule="exact"/>
        <w:rPr>
          <w:sz w:val="20"/>
          <w:szCs w:val="20"/>
          <w:color w:val="auto"/>
        </w:rPr>
      </w:pPr>
    </w:p>
    <w:p>
      <w:pPr>
        <w:ind w:right="340" w:firstLine="420"/>
        <w:spacing w:after="0" w:line="286" w:lineRule="auto"/>
        <w:rPr>
          <w:sz w:val="20"/>
          <w:szCs w:val="20"/>
          <w:color w:val="auto"/>
        </w:rPr>
      </w:pPr>
      <w:r>
        <w:rPr>
          <w:rFonts w:ascii="Times New Roman" w:cs="Times New Roman" w:eastAsia="Times New Roman" w:hAnsi="Times New Roman"/>
          <w:sz w:val="13"/>
          <w:szCs w:val="13"/>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shares may trade at discounts from NAV or at premiums that are unsustainable over the long term.</w:t>
      </w:r>
    </w:p>
    <w:p>
      <w:pPr>
        <w:spacing w:after="0" w:line="167" w:lineRule="exact"/>
        <w:rPr>
          <w:sz w:val="20"/>
          <w:szCs w:val="20"/>
          <w:color w:val="auto"/>
        </w:rPr>
      </w:pPr>
    </w:p>
    <w:p>
      <w:pPr>
        <w:ind w:right="160" w:firstLine="420"/>
        <w:spacing w:after="0" w:line="262" w:lineRule="auto"/>
        <w:rPr>
          <w:sz w:val="20"/>
          <w:szCs w:val="20"/>
          <w:color w:val="auto"/>
        </w:rPr>
      </w:pPr>
      <w:r>
        <w:rPr>
          <w:rFonts w:ascii="Times New Roman" w:cs="Times New Roman" w:eastAsia="Times New Roman" w:hAnsi="Times New Roman"/>
          <w:sz w:val="13"/>
          <w:szCs w:val="13"/>
          <w:color w:val="auto"/>
        </w:rPr>
        <w:t>Shares of BDCs may trade at a market price that is less than the NAV that is attributable to those shares. Our shares have traded above and below our NAV. Our shares closed on The New York Stock Exchange at $6.99 and $6.58 on September 30, 2024 and 2023, respectively. Our NAV per share was $7.56 and $7.70, respectively,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market price of our common stock may fluctuate significantly.</w:t>
      </w:r>
    </w:p>
    <w:p>
      <w:pPr>
        <w:spacing w:after="0" w:line="131" w:lineRule="exact"/>
        <w:rPr>
          <w:sz w:val="20"/>
          <w:szCs w:val="20"/>
          <w:color w:val="auto"/>
        </w:rPr>
      </w:pPr>
    </w:p>
    <w:p>
      <w:pPr>
        <w:ind w:right="20" w:firstLine="420"/>
        <w:spacing w:after="0" w:line="286" w:lineRule="auto"/>
        <w:rPr>
          <w:sz w:val="20"/>
          <w:szCs w:val="20"/>
          <w:color w:val="auto"/>
        </w:rPr>
      </w:pPr>
      <w:r>
        <w:rPr>
          <w:rFonts w:ascii="Times New Roman" w:cs="Times New Roman" w:eastAsia="Times New Roman" w:hAnsi="Times New Roman"/>
          <w:sz w:val="13"/>
          <w:szCs w:val="13"/>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6" w:lineRule="exact"/>
        <w:rPr>
          <w:sz w:val="20"/>
          <w:szCs w:val="20"/>
          <w:color w:val="auto"/>
        </w:rPr>
      </w:pPr>
    </w:p>
    <w:p>
      <w:pPr>
        <w:ind w:left="540" w:right="80"/>
        <w:spacing w:after="0" w:line="286" w:lineRule="auto"/>
        <w:rPr>
          <w:sz w:val="20"/>
          <w:szCs w:val="20"/>
          <w:color w:val="auto"/>
        </w:rPr>
      </w:pPr>
      <w:r>
        <w:rPr>
          <w:rFonts w:ascii="Times New Roman" w:cs="Times New Roman" w:eastAsia="Times New Roman" w:hAnsi="Times New Roman"/>
          <w:sz w:val="13"/>
          <w:szCs w:val="13"/>
          <w:color w:val="auto"/>
        </w:rPr>
        <w:t>•significant volatility in the market price and trading volume of securities of BDCs or other companies in our sector, which are not necessarily related to the operating performance of these companies;</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•changes in regulatory policies or tax guidelines, particularly with respect to RICs, BDCs or SBICs;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•any loss of our BDC or RIC status;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•changes in earnings or variations in operating results;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•changes in prevailing interest rates;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•changes in the value of our portfolio of investments;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•any shortfall in revenue or net income or any increase in losses from levels expected by investors or securities analysts;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inability of our Investment Adviser to employ additional experienced investment professionals or the departure of any of the Investment Adviser’s key personnel;</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•operating performance of companies comparable to us;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•general national and international economic trends and other external factors;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•general price and volume fluctuations in the stock markets, including as a result of short sales;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•conversion features of subscription rights, warrants or convertible debt; and</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•loss of a major funding source.</w:t>
      </w:r>
    </w:p>
    <w:p>
      <w:pPr>
        <w:spacing w:after="0" w:line="1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278" w:right="720" w:bottom="1440" w:gutter="0" w:footer="0" w:header="0"/>
        </w:sectPr>
      </w:pPr>
    </w:p>
    <w:bookmarkStart w:id="33" w:name="page34"/>
    <w:bookmarkEnd w:id="33"/>
    <w:p>
      <w:pPr>
        <w:jc w:val="both"/>
        <w:ind w:right="180" w:firstLine="420"/>
        <w:spacing w:after="0" w:line="268" w:lineRule="auto"/>
        <w:rPr>
          <w:sz w:val="20"/>
          <w:szCs w:val="20"/>
          <w:color w:val="auto"/>
        </w:rPr>
      </w:pPr>
      <w:r>
        <w:rPr>
          <w:rFonts w:ascii="Times New Roman" w:cs="Times New Roman" w:eastAsia="Times New Roman" w:hAnsi="Times New Roman"/>
          <w:sz w:val="13"/>
          <w:szCs w:val="13"/>
          <w:color w:val="auto"/>
        </w:rPr>
        <w:t>Since our initial listing on The Nasdaq Global Select Market to our voluntarily withdrawal of the principal listing of common shares from the Nasdaq Stock Market LLC effective at market close on April 13, 2022 and subsequent listing and trading of the Company's common stock on the New York Stock Exchange, which commenced April 14, 2022, our shares of common stock have traded at a wide range of prices. We can offer no assurance that our shares of common stock will not display similar volatility in future periods.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be unable to invest the net proceeds raised from offerings on acceptable terms, which would harm our financial condition and operating results.</w:t>
      </w:r>
    </w:p>
    <w:p>
      <w:pPr>
        <w:spacing w:after="0" w:line="131" w:lineRule="exact"/>
        <w:rPr>
          <w:sz w:val="20"/>
          <w:szCs w:val="20"/>
          <w:color w:val="auto"/>
        </w:rPr>
      </w:pPr>
    </w:p>
    <w:p>
      <w:pPr>
        <w:ind w:right="80" w:firstLine="420"/>
        <w:spacing w:after="0" w:line="262" w:lineRule="auto"/>
        <w:rPr>
          <w:sz w:val="20"/>
          <w:szCs w:val="20"/>
          <w:color w:val="auto"/>
        </w:rPr>
      </w:pPr>
      <w:r>
        <w:rPr>
          <w:rFonts w:ascii="Times New Roman" w:cs="Times New Roman" w:eastAsia="Times New Roman" w:hAnsi="Times New Roman"/>
          <w:sz w:val="13"/>
          <w:szCs w:val="13"/>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Truist Credit Facility or any future credit facility. We cannot assure you that we will be able to find enough appropriate investments that meet our investment selection criteria or that any investment we complete using the proceeds from an offering will produce a sufficient return.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You may have current tax liabilities on distributions you reinvest in our common stock.</w:t>
      </w:r>
    </w:p>
    <w:p>
      <w:pPr>
        <w:spacing w:after="0" w:line="131"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income tax liabilities on the value of the common stock received. See “Management’s Discussion and Analysis of Financial Condition and Results of Operations—Liquidity and Capital Resources—Distributions” for more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There is a risk that our common stockholders may receive our stock as distributions in which case they may be required to pay taxes in excess of the cash they receive.</w:t>
      </w:r>
    </w:p>
    <w:p>
      <w:pPr>
        <w:spacing w:after="0" w:line="131" w:lineRule="exact"/>
        <w:rPr>
          <w:sz w:val="20"/>
          <w:szCs w:val="20"/>
          <w:color w:val="auto"/>
        </w:rPr>
      </w:pPr>
    </w:p>
    <w:p>
      <w:pPr>
        <w:ind w:right="60" w:firstLine="420"/>
        <w:spacing w:after="0" w:line="256" w:lineRule="auto"/>
        <w:rPr>
          <w:sz w:val="20"/>
          <w:szCs w:val="20"/>
          <w:color w:val="auto"/>
        </w:rPr>
      </w:pPr>
      <w:r>
        <w:rPr>
          <w:rFonts w:ascii="Times New Roman" w:cs="Times New Roman" w:eastAsia="Times New Roman" w:hAnsi="Times New Roman"/>
          <w:sz w:val="13"/>
          <w:szCs w:val="13"/>
          <w:color w:val="auto"/>
        </w:rPr>
        <w:t>We may distribute our common stock as a dividend of our taxable income and a stockholder could receive a portion of the dividends declared and distributed by us in shares of our common stock with the remaining amount in cash. Revenue Procedures issued by the IRS allow a publicly offered regulated investment company (including a BDC) to distribute its own stock as a dividend for the purpose of fulfilling its distribution requirements, if certain conditions are satisfied. As long as a portion of such dividend is paid in cash (which portion may be as low as 20% of such dividend) and certain requirements are met, the entire distribution will be treated as a dividend for U.S. federal income tax purposes. As a result, a stockholder will be considered to have recognized dividend income generally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Provisions of the Maryland General Corporation Law and of our charter and bylaws could deter takeover attempts and have an adverse impact on the price of our common stock.</w:t>
      </w:r>
    </w:p>
    <w:p>
      <w:pPr>
        <w:spacing w:after="0" w:line="131" w:lineRule="exact"/>
        <w:rPr>
          <w:sz w:val="20"/>
          <w:szCs w:val="20"/>
          <w:color w:val="auto"/>
        </w:rPr>
      </w:pPr>
    </w:p>
    <w:p>
      <w:pPr>
        <w:ind w:right="40" w:firstLine="420"/>
        <w:spacing w:after="0" w:line="259" w:lineRule="auto"/>
        <w:rPr>
          <w:sz w:val="20"/>
          <w:szCs w:val="20"/>
          <w:color w:val="auto"/>
        </w:rPr>
      </w:pPr>
      <w:r>
        <w:rPr>
          <w:rFonts w:ascii="Times New Roman" w:cs="Times New Roman" w:eastAsia="Times New Roman" w:hAnsi="Times New Roman"/>
          <w:sz w:val="13"/>
          <w:szCs w:val="13"/>
          <w:color w:val="auto"/>
        </w:rPr>
        <w:t>The Maryland General Corporation Law, our charter and our bylaws contain provisions that may discourage, delay or make more difficult a change in control of us or the removal of our directors. We are subject to the Maryland Business Combination Act, or the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94" w:lineRule="exact"/>
        <w:rPr>
          <w:sz w:val="20"/>
          <w:szCs w:val="20"/>
          <w:color w:val="auto"/>
        </w:rPr>
      </w:pPr>
    </w:p>
    <w:p>
      <w:pPr>
        <w:ind w:right="60" w:firstLine="420"/>
        <w:spacing w:after="0" w:line="259" w:lineRule="auto"/>
        <w:rPr>
          <w:sz w:val="20"/>
          <w:szCs w:val="20"/>
          <w:color w:val="auto"/>
        </w:rPr>
      </w:pPr>
      <w:r>
        <w:rPr>
          <w:rFonts w:ascii="Times New Roman" w:cs="Times New Roman" w:eastAsia="Times New Roman" w:hAnsi="Times New Roman"/>
          <w:sz w:val="13"/>
          <w:szCs w:val="13"/>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These anti-takeover provisions may inhibit a change of control in circumstances that could give our stockholders the opportunity to realize a premium over the market price for our common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stock.</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RELATING TO AN INVESTMENT IN OUR DEBT SECURITIES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2026 Notes and the 2026 Notes-2 are unsecured and therefore are effectively subordinated to any secured indebtedness we have currently incurred or may incur in the future.</w:t>
      </w:r>
    </w:p>
    <w:p>
      <w:pPr>
        <w:spacing w:after="0" w:line="131" w:lineRule="exact"/>
        <w:rPr>
          <w:sz w:val="20"/>
          <w:szCs w:val="20"/>
          <w:color w:val="auto"/>
        </w:rPr>
      </w:pPr>
    </w:p>
    <w:p>
      <w:pPr>
        <w:ind w:right="20" w:firstLine="420"/>
        <w:spacing w:after="0" w:line="256" w:lineRule="auto"/>
        <w:rPr>
          <w:sz w:val="20"/>
          <w:szCs w:val="20"/>
          <w:color w:val="auto"/>
        </w:rPr>
      </w:pPr>
      <w:r>
        <w:rPr>
          <w:rFonts w:ascii="Times New Roman" w:cs="Times New Roman" w:eastAsia="Times New Roman" w:hAnsi="Times New Roman"/>
          <w:sz w:val="13"/>
          <w:szCs w:val="13"/>
          <w:color w:val="auto"/>
        </w:rPr>
        <w:t>The 2026 Notes and the 2026- 2 Notes are not secured by any of our assets or any of the assets of our subsidiaries. As a result, the 2026 Notes and the 2026-2 Notes are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2026 Notes and the 2026-2 Notes. As of September 30, 2024, we had $461.5 million in outstanding borrowings under the Truist Credit Facility. The Truist Credit Facility is secured by substantially all of our assets. The indebtedness under the Truist Credit Facility is therefore effectively senior in right of payment to our 2026 Notes and our 2026-2 Notes to the extent of the value of such assets.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2026 Notes and the 2026-2 Notes are structurally subordinated to the indebtedness and other liabilities of our subsidiaries.</w:t>
      </w:r>
    </w:p>
    <w:p>
      <w:pPr>
        <w:spacing w:after="0" w:line="131" w:lineRule="exact"/>
        <w:rPr>
          <w:sz w:val="20"/>
          <w:szCs w:val="20"/>
          <w:color w:val="auto"/>
        </w:rPr>
      </w:pPr>
    </w:p>
    <w:p>
      <w:pPr>
        <w:ind w:right="140" w:firstLine="420"/>
        <w:spacing w:after="0" w:line="268" w:lineRule="auto"/>
        <w:rPr>
          <w:sz w:val="20"/>
          <w:szCs w:val="20"/>
          <w:color w:val="auto"/>
        </w:rPr>
      </w:pPr>
      <w:r>
        <w:rPr>
          <w:rFonts w:ascii="Times New Roman" w:cs="Times New Roman" w:eastAsia="Times New Roman" w:hAnsi="Times New Roman"/>
          <w:sz w:val="13"/>
          <w:szCs w:val="13"/>
          <w:color w:val="auto"/>
        </w:rPr>
        <w:t>The 2026 Notes and the 2026-2 Notes are obligations exclusively of PennantPark Investment Corporation and not of any of our subsidiaries. None of our subsidiaries is or acts as a guarantor of the 2026 Notes or the 2026-2 Notes and the 2026 Notes and the 2026-2 Notes are not required to be guaranteed by any subsidiaries we may acquire or create in the future. The assets of any such subsidiaries are not directly available to satisfy the claims of our creditors, including holders of our 2026 Notes and our 2026-2 Notes.</w:t>
      </w:r>
    </w:p>
    <w:p>
      <w:pPr>
        <w:spacing w:after="0" w:line="123"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the 2026 Notes and the 2026 Notes-2)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2026 Notes and the 2026 Notes-2 are structurally subordinated to all indebtedness and other liabilities (including trade payables) of our subsidiaries and</w:t>
      </w:r>
    </w:p>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78" w:right="660" w:bottom="1440" w:gutter="0" w:footer="0" w:header="0"/>
        </w:sectPr>
      </w:pPr>
    </w:p>
    <w:bookmarkStart w:id="34" w:name="page35"/>
    <w:bookmarkEnd w:id="34"/>
    <w:p>
      <w:pPr>
        <w:ind w:right="160"/>
        <w:spacing w:after="0" w:line="286" w:lineRule="auto"/>
        <w:rPr>
          <w:sz w:val="20"/>
          <w:szCs w:val="20"/>
          <w:color w:val="auto"/>
        </w:rPr>
      </w:pPr>
      <w:r>
        <w:rPr>
          <w:rFonts w:ascii="Times New Roman" w:cs="Times New Roman" w:eastAsia="Times New Roman" w:hAnsi="Times New Roman"/>
          <w:sz w:val="13"/>
          <w:szCs w:val="13"/>
          <w:color w:val="auto"/>
        </w:rPr>
        <w:t>any subsidiaries that we may in the future acquire or establish as financing vehicles or otherwise. All of such indebtedness is structurally senior to the 2026 Notes and the 2026 Notes-2. In addition, our subsidiaries may incur substantial additional indebtedness in the future, all of which would be structurally senior to the 2026 Notes and the 2026 Notes-2.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indenture under which each of the 2026 Notes and the 2026-2 Notes were issued contains limited protection for their respective holders.</w:t>
      </w:r>
    </w:p>
    <w:p>
      <w:pPr>
        <w:spacing w:after="0" w:line="167" w:lineRule="exact"/>
        <w:rPr>
          <w:sz w:val="20"/>
          <w:szCs w:val="20"/>
          <w:color w:val="auto"/>
        </w:rPr>
      </w:pPr>
    </w:p>
    <w:p>
      <w:pPr>
        <w:ind w:right="20" w:firstLine="420"/>
        <w:spacing w:after="0" w:line="262" w:lineRule="auto"/>
        <w:rPr>
          <w:sz w:val="20"/>
          <w:szCs w:val="20"/>
          <w:color w:val="auto"/>
        </w:rPr>
      </w:pPr>
      <w:r>
        <w:rPr>
          <w:rFonts w:ascii="Times New Roman" w:cs="Times New Roman" w:eastAsia="Times New Roman" w:hAnsi="Times New Roman"/>
          <w:sz w:val="13"/>
          <w:szCs w:val="13"/>
          <w:color w:val="auto"/>
        </w:rPr>
        <w:t>The indenture under which each of the 2026 Notes and the 2026 Notes-2 were issued offers limited protection to holders. The terms of the indenture and each of the 2026 Notes and the 2026 Notes-2 do not restrict our or any of our subsidiaries’ ability to engage in, or otherwise be a party to, a variety of corporate transactions, circumstances or events that could have an adverse impact on each holder’s investment in the 2026 Notes and the 2026 Notes-2. In particular, the terms of the indenture and each of the 2026 Notes and the 2026 Notes-2 will not place any restrictions on our or our subsidiaries’ ability to:</w:t>
      </w:r>
    </w:p>
    <w:p>
      <w:pPr>
        <w:spacing w:after="0" w:line="91" w:lineRule="exact"/>
        <w:rPr>
          <w:sz w:val="20"/>
          <w:szCs w:val="20"/>
          <w:color w:val="auto"/>
        </w:rPr>
      </w:pPr>
    </w:p>
    <w:p>
      <w:pPr>
        <w:ind w:left="580" w:right="40"/>
        <w:spacing w:after="0" w:line="256" w:lineRule="auto"/>
        <w:rPr>
          <w:sz w:val="20"/>
          <w:szCs w:val="20"/>
          <w:color w:val="auto"/>
        </w:rPr>
      </w:pPr>
      <w:r>
        <w:rPr>
          <w:rFonts w:ascii="Times New Roman" w:cs="Times New Roman" w:eastAsia="Times New Roman" w:hAnsi="Times New Roman"/>
          <w:sz w:val="13"/>
          <w:szCs w:val="13"/>
          <w:color w:val="auto"/>
        </w:rPr>
        <w:t>•issue securities or otherwise incur additional indebtedness or other obligations, including (1) any indebtedness or other obligations that would be equal in right of payment to each of the 2026 Notes and the 2026 Notes-2, (2) any indebtedness or other obligations that would be secured and therefore rank effectively senior in right of payment to each of the 2026 Notes and the 2026 Notes-2 to the extent of the values of the assets securing such debt, (3) indebtedness of ours that is guaranteed by one or more of our subsidiaries and which therefore would rank structurally senior to each of the 2026 Notes and the 2026 Notes -2 and (4) securities, indebtedness or other obligations issued or incurred by our subsidiaries that would be senior in right of payment to our equity interests in our subsidiaries and therefore would rank structurally senior in right of payment to each of the 2026 Notes and the 2026 Notes -2 with respect to the assets of our subsidiaries, in each case other than an incurrence of indebtedness or other obligation that would cause a violation of Section 18(a)(1)(A) of the 1940 Act as modified by Section 61(a)(1) and (2) of the 1940 Act or any successor provisions, as such obligations may be amended or superseded, giving effect to any exemptive relief granted to us by the SEC;</w:t>
      </w:r>
    </w:p>
    <w:p>
      <w:pPr>
        <w:spacing w:after="0" w:line="9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•pay dividends on, or purchase or redeem or make any payments in respect of, capital stock or other securities ranking junior in right of payment to the 2026 Notes and the 2026 Notes-2;</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•sell assets (other than certain limited restrictions on our ability to consolidate, merge or sell all or substantially all of our assets);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•enter into transactions with affiliates;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•create liens (including liens on the shares of our subsidiaries) or enter into sale and leaseback transactions;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•make investments; or</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•create restrictions on the payment of dividends or other amounts to us from our subsidiaries.</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In addition, the indenture will not require us to offer to purchase the Notes in connection with a change of control or any other event.</w:t>
      </w:r>
    </w:p>
    <w:p>
      <w:pPr>
        <w:spacing w:after="0" w:line="163" w:lineRule="exact"/>
        <w:rPr>
          <w:sz w:val="20"/>
          <w:szCs w:val="20"/>
          <w:color w:val="auto"/>
        </w:rPr>
      </w:pPr>
    </w:p>
    <w:p>
      <w:pPr>
        <w:ind w:right="100" w:firstLine="420"/>
        <w:spacing w:after="0" w:line="268" w:lineRule="auto"/>
        <w:rPr>
          <w:sz w:val="20"/>
          <w:szCs w:val="20"/>
          <w:color w:val="auto"/>
        </w:rPr>
      </w:pPr>
      <w:r>
        <w:rPr>
          <w:rFonts w:ascii="Times New Roman" w:cs="Times New Roman" w:eastAsia="Times New Roman" w:hAnsi="Times New Roman"/>
          <w:sz w:val="13"/>
          <w:szCs w:val="13"/>
          <w:color w:val="auto"/>
        </w:rPr>
        <w:t>Furthermore, the terms of the indenture and each of the 2026 Notes and the 2026 Notes-2 do not protect their respective holders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123" w:lineRule="exact"/>
        <w:rPr>
          <w:sz w:val="20"/>
          <w:szCs w:val="20"/>
          <w:color w:val="auto"/>
        </w:rPr>
      </w:pPr>
    </w:p>
    <w:p>
      <w:pPr>
        <w:ind w:right="60" w:firstLine="420"/>
        <w:spacing w:after="0" w:line="286" w:lineRule="auto"/>
        <w:rPr>
          <w:sz w:val="20"/>
          <w:szCs w:val="20"/>
          <w:color w:val="auto"/>
        </w:rPr>
      </w:pPr>
      <w:r>
        <w:rPr>
          <w:rFonts w:ascii="Times New Roman" w:cs="Times New Roman" w:eastAsia="Times New Roman" w:hAnsi="Times New Roman"/>
          <w:sz w:val="13"/>
          <w:szCs w:val="13"/>
          <w:color w:val="auto"/>
        </w:rPr>
        <w:t>Our ability to recapitalize, incur additional debt and take a number of other actions that are not limited by the terms of the 2026 Notes and the 2026 Notes-2 may have important consequences for their holders, including making it more difficult for us to satisfy our obligations with respect to the 2026 Notes and the 2026 Notes-2 or negatively affecting their trading value.</w:t>
      </w:r>
    </w:p>
    <w:p>
      <w:pPr>
        <w:spacing w:after="0" w:line="112" w:lineRule="exact"/>
        <w:rPr>
          <w:sz w:val="20"/>
          <w:szCs w:val="20"/>
          <w:color w:val="auto"/>
        </w:rPr>
      </w:pPr>
    </w:p>
    <w:p>
      <w:pPr>
        <w:ind w:right="240" w:firstLine="420"/>
        <w:spacing w:after="0" w:line="268" w:lineRule="auto"/>
        <w:rPr>
          <w:sz w:val="20"/>
          <w:szCs w:val="20"/>
          <w:color w:val="auto"/>
        </w:rPr>
      </w:pPr>
      <w:r>
        <w:rPr>
          <w:rFonts w:ascii="Times New Roman" w:cs="Times New Roman" w:eastAsia="Times New Roman" w:hAnsi="Times New Roman"/>
          <w:sz w:val="13"/>
          <w:szCs w:val="13"/>
          <w:color w:val="auto"/>
        </w:rPr>
        <w:t>Certain of our current debt instruments include more protections for their respective holders than the indenture and each of the 2026 Notes and the 2026 Notes-2. In addition, other debt we issue or incur in the future could contain more protections for its holders than the indenture and each of the 2026 Notes, including additional covenants and events of default. The issuance or incurrence of any such debt with incremental protections could affect the market for and trading levels and prices of the 2026 Notes and the 2026 Notes-2, if any.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optional redemption provision may materially adversely affect your return on the 2026 Notes and the 2026 Notes-2.</w:t>
      </w:r>
    </w:p>
    <w:p>
      <w:pPr>
        <w:spacing w:after="0" w:line="167" w:lineRule="exact"/>
        <w:rPr>
          <w:sz w:val="20"/>
          <w:szCs w:val="20"/>
          <w:color w:val="auto"/>
        </w:rPr>
      </w:pPr>
    </w:p>
    <w:p>
      <w:pPr>
        <w:jc w:val="both"/>
        <w:ind w:right="60" w:firstLine="420"/>
        <w:spacing w:after="0" w:line="268" w:lineRule="auto"/>
        <w:rPr>
          <w:sz w:val="20"/>
          <w:szCs w:val="20"/>
          <w:color w:val="auto"/>
        </w:rPr>
      </w:pPr>
      <w:r>
        <w:rPr>
          <w:rFonts w:ascii="Times New Roman" w:cs="Times New Roman" w:eastAsia="Times New Roman" w:hAnsi="Times New Roman"/>
          <w:sz w:val="13"/>
          <w:szCs w:val="13"/>
          <w:color w:val="auto"/>
        </w:rPr>
        <w:t>The 2026 Notes and the 2026 Notes-2 may be redeemable in whole or in part upon certain conditions at any time, or from time to time, at our option on or after October 15, 2026 or February 1, 2026, respectively. We may choose to redeem the 2026 Notes or the 2026 Notes -2 at times when prevailing interest rates are lower than the interest rate paid on the Notes. In this circumstance, you may not be able to reinvest the redemption proceeds in a comparable security at an effective interest rate as high as the 2026 Notes or the 2026 Notes-2 being redeemed.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There is no active trading market for the Notes. If an active trading market does not develop for the Notes, you may not be able to sell them.</w:t>
      </w:r>
    </w:p>
    <w:p>
      <w:pPr>
        <w:spacing w:after="0" w:line="167" w:lineRule="exact"/>
        <w:rPr>
          <w:sz w:val="20"/>
          <w:szCs w:val="20"/>
          <w:color w:val="auto"/>
        </w:rPr>
      </w:pPr>
    </w:p>
    <w:p>
      <w:pPr>
        <w:ind w:firstLine="420"/>
        <w:spacing w:after="0" w:line="256" w:lineRule="auto"/>
        <w:rPr>
          <w:sz w:val="20"/>
          <w:szCs w:val="20"/>
          <w:color w:val="auto"/>
        </w:rPr>
      </w:pPr>
      <w:r>
        <w:rPr>
          <w:rFonts w:ascii="Times New Roman" w:cs="Times New Roman" w:eastAsia="Times New Roman" w:hAnsi="Times New Roman"/>
          <w:sz w:val="13"/>
          <w:szCs w:val="13"/>
          <w:color w:val="auto"/>
        </w:rPr>
        <w:t>The Notes are a new issue of debt securities for which currently there is no trading market. We do not intend to list the Notes on any securities exchange or for quotation of the Notes on any automated dealer quotation system. If the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The underwriters have advised us that they intend to make a market in the Notes, but they are not obligated to do so. The underwriters may discontinue any market-making in the Notes at any time at their sole discretion. Accordingly, we cannot assure you that a liquid trading market will develop for the Notes, that you will be able to sell your Notes at a particular time or that the price you receive when you sell will be favorable. To the extent an active trading market does not develop, the liquidity and trading price for the Notes may be harmed. Accordingly, you may be required to bear the financial risk of an investment in the Notes for an indefinite period of time.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we default on our obligations to pay our other indebtedness, we may not be able to make payments on the 2026 Notes or the 2026 Notes-2.</w:t>
      </w:r>
    </w:p>
    <w:p>
      <w:pPr>
        <w:spacing w:after="0" w:line="167" w:lineRule="exact"/>
        <w:rPr>
          <w:sz w:val="20"/>
          <w:szCs w:val="20"/>
          <w:color w:val="auto"/>
        </w:rPr>
      </w:pPr>
    </w:p>
    <w:p>
      <w:pPr>
        <w:ind w:firstLine="420"/>
        <w:spacing w:after="0" w:line="256" w:lineRule="auto"/>
        <w:rPr>
          <w:sz w:val="20"/>
          <w:szCs w:val="20"/>
          <w:color w:val="auto"/>
        </w:rPr>
      </w:pPr>
      <w:r>
        <w:rPr>
          <w:rFonts w:ascii="Times New Roman" w:cs="Times New Roman" w:eastAsia="Times New Roman" w:hAnsi="Times New Roman"/>
          <w:sz w:val="13"/>
          <w:szCs w:val="13"/>
          <w:color w:val="auto"/>
        </w:rPr>
        <w:t>Any default under the agreements governing our indebtedness, including a default under our Truist Credit Facility or under other indebtedness to which we may be a party that is not waived by the required lenders or holders, and the remedies sought by the holders of such indebtedness could make us unable to pay principal, premium, if any, and interest on the 2026 Notes or the 2026 Notes-2 and substantially decrease the market value of such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our Truist Credit Facility or other debt we may incur in the future could elect to terminate their commitments,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8" w:right="680" w:bottom="1440" w:gutter="0" w:footer="0" w:header="0"/>
        </w:sectPr>
      </w:pPr>
    </w:p>
    <w:bookmarkStart w:id="35" w:name="page36"/>
    <w:bookmarkEnd w:id="35"/>
    <w:p>
      <w:pPr>
        <w:ind w:right="100"/>
        <w:spacing w:after="0" w:line="257" w:lineRule="auto"/>
        <w:rPr>
          <w:sz w:val="20"/>
          <w:szCs w:val="20"/>
          <w:color w:val="auto"/>
        </w:rPr>
      </w:pPr>
      <w:r>
        <w:rPr>
          <w:rFonts w:ascii="Times New Roman" w:cs="Times New Roman" w:eastAsia="Times New Roman" w:hAnsi="Times New Roman"/>
          <w:sz w:val="13"/>
          <w:szCs w:val="13"/>
          <w:color w:val="auto"/>
        </w:rPr>
        <w:t>cease making further loans and institute foreclosure proceedings against our assets, and we could be forced into bankruptcy or liquidation. If our operating performance declines, we may in the future need to seek to obtain waivers from the required lenders under the agreements relating to our Truist Credit Facility or other debt that we may incur in the future to avoid being in default. If we breach our covenants under our Truist Credit Facility or other debt and seek a waiver, we may not be able to obtain a waiver from the required lenders or holders. If this occurs, we would be in default and our lenders or debt holders could exercise their rights as described above, and we could be forced into bankruptcy or liquidation. If we are unable to repay debt, lenders having secured obligations, including the lenders under our Truist Credit Facility, could proceed against the collateral securing the debt. Because our Truist Credit Facility have, and any future debt will likely have, customary cross-default provisions, if the indebtedness thereunder or under any future credit facility is accelerated, we may be unable to repay or finance the amounts due.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FATCA withholding may apply to payments to certain foreign entities.</w:t>
      </w:r>
    </w:p>
    <w:p>
      <w:pPr>
        <w:spacing w:after="0" w:line="167" w:lineRule="exact"/>
        <w:rPr>
          <w:sz w:val="20"/>
          <w:szCs w:val="20"/>
          <w:color w:val="auto"/>
        </w:rPr>
      </w:pPr>
    </w:p>
    <w:p>
      <w:pPr>
        <w:ind w:right="20" w:firstLine="420"/>
        <w:spacing w:after="0" w:line="254" w:lineRule="auto"/>
        <w:rPr>
          <w:sz w:val="20"/>
          <w:szCs w:val="20"/>
          <w:color w:val="auto"/>
        </w:rPr>
      </w:pPr>
      <w:r>
        <w:rPr>
          <w:rFonts w:ascii="Times New Roman" w:cs="Times New Roman" w:eastAsia="Times New Roman" w:hAnsi="Times New Roman"/>
          <w:sz w:val="13"/>
          <w:szCs w:val="13"/>
          <w:color w:val="auto"/>
        </w:rPr>
        <w:t>Payments made under the 2026 Notes or the 2026 Notes-2 to a foreign financial institution or non-financial foreign entity (including such an institution or entity acting as an intermediary) may be subject to a U.S. withholding tax of 30% under the Foreign Account Tax Compliance Act (commonly known as “FATCA”) provisions of the Code. This U.S. withholding tax may apply to certain payments of interest on the 2026 Notes or the 2026 Notes-2 as well as scheduled payments of principal, early redemption, or sale of the 2026 Notes or the 2026 Notes-2, unless the foreign financial institution or non -financial foreign entity complies with certain information reporting, withholding, identification, certification and related requirements imposed by FATCA. Depending upon the status of a holder and the status of an intermediary through which any notes are held, the holder could be subject to this 30% U.S. withholding tax in respect of any interest paid on the notes as well as any proceeds from the sale or other disposition of the notes. Proposed Treasury Regulations, if finalized in their present form, would eliminate the application of this 30% U.S. withholding tax in respect of payments of certain gross proceeds. Pursuant to these proposed Treasury Regulations, we and any other applicable withholding agent may (but are not required to) rely on this proposed change to FATCA withholding until final regulations are issued or until such proposed Treasury Regulations are rescinded. Holders of the 2026 Notes and the 2026 Notes-2 should consult their own tax advisors regarding FATCA and how it may affect their investment in the notes.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GENERAL RISK FACTORS</w:t>
      </w:r>
    </w:p>
    <w:p>
      <w:pPr>
        <w:spacing w:after="0" w:line="161" w:lineRule="exact"/>
        <w:rPr>
          <w:sz w:val="20"/>
          <w:szCs w:val="20"/>
          <w:color w:val="auto"/>
        </w:rPr>
      </w:pPr>
    </w:p>
    <w:p>
      <w:pPr>
        <w:ind w:right="40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We and our portfolio companies may maintain cash balances at financial institutions and exceed federally insured limits and may otherwise be materially affected by adverse developments affecting the financial services industry, such as actual events or concerns involving liquidity, defaults or non-performance by financial institutions or transactional counterparties.</w:t>
      </w:r>
    </w:p>
    <w:p>
      <w:pPr>
        <w:spacing w:after="0" w:line="108"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Our cash is held in accounts at U.S. banking institutions that we believe are of high quality. Cash held by us and by our portfolio companies in non-interest-bearing and interest-bearing operating accounts may exceed the Federal Deposit Insurance Corporation (“FDIC”) insurance limits. If such banking institutions were to fail, we or our portfolio companies could lose all or a portion of those amounts held in excess of such insurance limitations. In addition,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which could adversely affect our and our portfolio companies’ business, financial condition, results of operations, or prospects.</w:t>
      </w:r>
    </w:p>
    <w:p>
      <w:pPr>
        <w:spacing w:after="0" w:line="132" w:lineRule="exact"/>
        <w:rPr>
          <w:sz w:val="20"/>
          <w:szCs w:val="20"/>
          <w:color w:val="auto"/>
        </w:rPr>
      </w:pPr>
    </w:p>
    <w:p>
      <w:pPr>
        <w:ind w:right="120" w:firstLine="420"/>
        <w:spacing w:after="0" w:line="256" w:lineRule="auto"/>
        <w:rPr>
          <w:sz w:val="20"/>
          <w:szCs w:val="20"/>
          <w:color w:val="auto"/>
        </w:rPr>
      </w:pPr>
      <w:r>
        <w:rPr>
          <w:rFonts w:ascii="Times New Roman" w:cs="Times New Roman" w:eastAsia="Times New Roman" w:hAnsi="Times New Roman"/>
          <w:sz w:val="13"/>
          <w:szCs w:val="13"/>
          <w:color w:val="auto"/>
        </w:rPr>
        <w:t>Although we assess our portfolio companies’ banking relationships as we believe necessary or appropriate, our and our portfolio companies’ access to funding sources and other credit arrangements in amounts adequate to finance or capitalize our respective current and projected future business operations could be significantly impaired by factors that affect us or our portfolio companies, the financial institutions with which we or our portfolio companies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or our portfolio companies have financial or business relationships, but could also include factors involving financial markets or the financial services industry generally.</w:t>
      </w:r>
    </w:p>
    <w:p>
      <w:pPr>
        <w:spacing w:after="0" w:line="132" w:lineRule="exact"/>
        <w:rPr>
          <w:sz w:val="20"/>
          <w:szCs w:val="20"/>
          <w:color w:val="auto"/>
        </w:rPr>
      </w:pPr>
    </w:p>
    <w:p>
      <w:pPr>
        <w:jc w:val="both"/>
        <w:ind w:right="20" w:firstLine="420"/>
        <w:spacing w:after="0" w:line="268" w:lineRule="auto"/>
        <w:rPr>
          <w:sz w:val="20"/>
          <w:szCs w:val="20"/>
          <w:color w:val="auto"/>
        </w:rPr>
      </w:pPr>
      <w:r>
        <w:rPr>
          <w:rFonts w:ascii="Times New Roman" w:cs="Times New Roman" w:eastAsia="Times New Roman" w:hAnsi="Times New Roman"/>
          <w:sz w:val="13"/>
          <w:szCs w:val="13"/>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or our portfolio companies to acquire financing on acceptable terms or at all.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Inflation may adversely affect the business, results of operations and financial condition of our portfolio companies.</w:t>
      </w:r>
    </w:p>
    <w:p>
      <w:pPr>
        <w:spacing w:after="0" w:line="167" w:lineRule="exact"/>
        <w:rPr>
          <w:sz w:val="20"/>
          <w:szCs w:val="20"/>
          <w:color w:val="auto"/>
        </w:rPr>
      </w:pPr>
    </w:p>
    <w:p>
      <w:pPr>
        <w:jc w:val="both"/>
        <w:ind w:right="160" w:firstLine="420"/>
        <w:spacing w:after="0" w:line="262" w:lineRule="auto"/>
        <w:rPr>
          <w:sz w:val="20"/>
          <w:szCs w:val="20"/>
          <w:color w:val="auto"/>
        </w:rPr>
      </w:pPr>
      <w:r>
        <w:rPr>
          <w:rFonts w:ascii="Times New Roman" w:cs="Times New Roman" w:eastAsia="Times New Roman" w:hAnsi="Times New Roman"/>
          <w:sz w:val="13"/>
          <w:szCs w:val="13"/>
          <w:color w:val="auto"/>
        </w:rPr>
        <w:t>Certain of our portfolio companies are in industries that may be impacted by inflation. If such portfolio companies are unable to pass any increases in their costs of operations along to their customers, it could adversely affect their operating results and impact their ability to pay interest and principal on our loans, particularly if interest rates rise in response to inflation. In addition, any projected future decreases in our portfolio companies’ operating results due to inflation could adversely impact the fair value of those investments. Any decreases in the fair value of our investments could result in future realized or unrealized losses and therefore reduce our net assets resulting from operations.</w:t>
      </w:r>
    </w:p>
    <w:p>
      <w:pPr>
        <w:spacing w:after="0" w:line="123"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3"/>
          <w:szCs w:val="13"/>
          <w:b w:val="1"/>
          <w:bCs w:val="1"/>
          <w:i w:val="1"/>
          <w:iCs w:val="1"/>
          <w:color w:val="auto"/>
        </w:rPr>
        <w:t>Global capital markets could enter a period of severe disruption and instability due to future recessions, disease pandemics and other serious health events, political instability, geopolitical turmoil and foreign hostilities. These market conditions have historically had and could again have a materially adverse effect on debt and equity capital markets in the United States, which could have a materially negative impact on our business, financial condition and results of operations.</w:t>
      </w:r>
    </w:p>
    <w:p>
      <w:pPr>
        <w:spacing w:after="0" w:line="122"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3"/>
          <w:szCs w:val="13"/>
          <w:color w:val="auto"/>
        </w:rPr>
        <w:t>The U.S. and global capital markets have, from time to time, experienced periods of disruption characterized by the freezing of available credit, a lack of liquidity in the debt capital markets, significant losses in the principal value of investments, the re- pricing of credit risk in the broadly syndicated credit market, the failure of major financial institutions and general volatility in the financial markets.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In addition, uncertainty between the United States and other countries with respect to trade policies, treaties and tariffs, among other factors, have caused disruptions in the global markets, including markets in which we participate, and we cannot assure you that these market conditions will not continue or worsen in the future. We may in the future have difficulty accessing debt and equity capital markets, and a severe disruption in the global financial markets, deterioration in credit and financing conditions or uncertainty regarding U.S. government spending and deficit levels or other global economic and political conditions, including future recessions, political instability, geopolitical turmoil and foreign hostilities, and disease, pandemics and other serious health events, could have a material adverse effect on our business, financial condition and results of operations.</w:t>
      </w: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58" w:right="66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b w:val="1"/>
          <w:bCs w:val="1"/>
          <w:i w:val="1"/>
          <w:iCs w:val="1"/>
          <w:color w:val="auto"/>
        </w:rPr>
        <w:t>Volatility or a prolonged disruption in the credit markets could materially damage our business.</w:t>
      </w:r>
    </w:p>
    <w:p>
      <w:pPr>
        <w:spacing w:after="0" w:line="131" w:lineRule="exact"/>
        <w:rPr>
          <w:sz w:val="20"/>
          <w:szCs w:val="20"/>
          <w:color w:val="auto"/>
        </w:rPr>
      </w:pPr>
    </w:p>
    <w:p>
      <w:pPr>
        <w:ind w:right="80" w:firstLine="420"/>
        <w:spacing w:after="0" w:line="255" w:lineRule="auto"/>
        <w:rPr>
          <w:sz w:val="20"/>
          <w:szCs w:val="20"/>
          <w:color w:val="auto"/>
        </w:rPr>
      </w:pPr>
      <w:r>
        <w:rPr>
          <w:rFonts w:ascii="Times New Roman" w:cs="Times New Roman" w:eastAsia="Times New Roman" w:hAnsi="Times New Roman"/>
          <w:sz w:val="13"/>
          <w:szCs w:val="13"/>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equity and debt capital. As a BDC, we are generally not able to issue additional shares of our common stock at a price less than our NAV without first obtaining approval for such issuance from our stockholders and our independent directors. Additionally, our ability to incur indebtedness is limited by the asset coverage ratio requirements for a BDC, as defined under the 1940 Act, exclusive of the SBA debentures pursuant to our SEC exemptive relief. Declining portfolio values negatively impact our ability to borrow additional funds under our Truist Credit Facility because our NAV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lengthy disruption in the credit markets could also materially decrease demand for our investments and could materially damage our business, financial condition and results of operations.</w:t>
      </w:r>
    </w:p>
    <w:p>
      <w:pPr>
        <w:spacing w:after="0" w:line="98" w:lineRule="exact"/>
        <w:rPr>
          <w:sz w:val="20"/>
          <w:szCs w:val="20"/>
          <w:color w:val="auto"/>
        </w:rPr>
      </w:pPr>
    </w:p>
    <w:p>
      <w:pPr>
        <w:ind w:right="60" w:firstLine="420"/>
        <w:spacing w:after="0" w:line="257" w:lineRule="auto"/>
        <w:rPr>
          <w:sz w:val="20"/>
          <w:szCs w:val="20"/>
          <w:color w:val="auto"/>
        </w:rPr>
      </w:pPr>
      <w:r>
        <w:rPr>
          <w:rFonts w:ascii="Times New Roman" w:cs="Times New Roman" w:eastAsia="Times New Roman" w:hAnsi="Times New Roman"/>
          <w:sz w:val="13"/>
          <w:szCs w:val="13"/>
          <w:color w:val="auto"/>
        </w:rPr>
        <w:t>The significant disruptions in the capital markets experienced in the past has had, and may in the future have, a negative effect on the valuations of our investments and on the potential for liquidity events involving our 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investments we originate and could have a material adverse impact on our business, financial condition and results of operations. This may also increase the probability that other structural risks negatively impact us. These situations may arise due to circumstances that we may be unable to control, such as a lengthy disruption in the credit markets, a severe decline in the value of the U.S. dollar, a sharp economic downturn or recession or an operational problem that affects third parties or us, and could materially damage our business, financial condition and results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Any public health emergency, any outbreak of existing or new diseases, and the resulting financial and economic market uncertainty could have a significant adverse impact on us.</w:t>
      </w:r>
    </w:p>
    <w:p>
      <w:pPr>
        <w:spacing w:after="0" w:line="167"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3"/>
          <w:szCs w:val="13"/>
          <w:color w:val="auto"/>
        </w:rPr>
        <w:t>The extent of the impact of any public health emergency, on our and our portfolio companies’ operational and financial performance will depend on many factors, including the duration and scope of such public health emergency, the actions taken by governmental authorities to contain its financial and economic impact, the extent of any related travel advisories and restrictions implemented, the impact of such public health emergency on overall supply and demand, investor liquidity and levels of economic activity and the extent of its disruption to important global, regional and local supply chains and economic markets, all of which are highly uncertain and cannot be predicted. In addition, our and our portfolio companies’ operations may be significantly impacted, or halted, as a result of government quarantine measures, restrictions on travel and other factors related to a public health emergency, including its potential adverse impact on the health of any of our or our portfolio companies’ personnel. This could create widespread business continuity issues for us and our portfolio companies. These factors may also cause the valuation of our investments to differ materially from the values that we may ultimately realize. Any public health emergency any outbreak of existing or new epidemic diseases, or the threat thereof, and the resulting financial and economic market uncertainty could have a significant adverse impact on us and the fair value of our investments and our portfolio companies.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Economic sanction laws in the United States and other jurisdictions may prohibit us and our affiliates from transacting with certain countries, individuals and companies.</w:t>
      </w:r>
    </w:p>
    <w:p>
      <w:pPr>
        <w:spacing w:after="0" w:line="131" w:lineRule="exact"/>
        <w:rPr>
          <w:sz w:val="20"/>
          <w:szCs w:val="20"/>
          <w:color w:val="auto"/>
        </w:rPr>
      </w:pPr>
    </w:p>
    <w:p>
      <w:pPr>
        <w:ind w:right="180" w:firstLine="420"/>
        <w:spacing w:after="0" w:line="259" w:lineRule="auto"/>
        <w:rPr>
          <w:sz w:val="20"/>
          <w:szCs w:val="20"/>
          <w:color w:val="auto"/>
        </w:rPr>
      </w:pPr>
      <w:r>
        <w:rPr>
          <w:rFonts w:ascii="Times New Roman" w:cs="Times New Roman" w:eastAsia="Times New Roman" w:hAnsi="Times New Roman"/>
          <w:sz w:val="13"/>
          <w:szCs w:val="13"/>
          <w:color w:val="auto"/>
        </w:rPr>
        <w:t>Economic sanction laws in the United States and other jurisdictions may prohibit us or our affiliates from transacting with certain countries, individuals and companies. In the United States, the U.S. Department of the Treasury’s Office of Foreign Assets Control administers and enforces laws, executive orders and regulations establishing U.S. economic and trade sanctions, which prohibit, among other things, transactions with, and the provision of services to, certain non-U.S. countries, territories, entities and individuals. These types of sanctions may significantly restrict or completely prohibit investment activities in certain jurisdictions, and if we, our portfolio companies or other issuers in which we invest were to violate any such laws or regulations, we may face significant legal and monetary penalties.</w:t>
      </w:r>
    </w:p>
    <w:p>
      <w:pPr>
        <w:spacing w:after="0" w:line="94" w:lineRule="exact"/>
        <w:rPr>
          <w:sz w:val="20"/>
          <w:szCs w:val="20"/>
          <w:color w:val="auto"/>
        </w:rPr>
      </w:pPr>
    </w:p>
    <w:p>
      <w:pPr>
        <w:ind w:firstLine="420"/>
        <w:spacing w:after="0" w:line="256" w:lineRule="auto"/>
        <w:rPr>
          <w:sz w:val="20"/>
          <w:szCs w:val="20"/>
          <w:color w:val="auto"/>
        </w:rPr>
      </w:pPr>
      <w:r>
        <w:rPr>
          <w:rFonts w:ascii="Times New Roman" w:cs="Times New Roman" w:eastAsia="Times New Roman" w:hAnsi="Times New Roman"/>
          <w:sz w:val="13"/>
          <w:szCs w:val="13"/>
          <w:color w:val="auto"/>
        </w:rPr>
        <w:t>The Foreign Corrupt Practices Act, or FCPA, and other anti-corruption laws and regulations, as well as anti-boycott regulations, may also apply to and restrict our activities, our portfolio companies and other issuers of our investments. If an issuer or we were to violate any such laws or regulations, such issuer or we may face significant legal and monetary penalties. The U.S. government has indicated that it is particularly focused on FCPA enforcement, which may increase the risk that an issuer or us becomes the subject of such actual or threatened enforcement. In addition, certain commentators have suggested that private investment firms and the funds that they manage may face increased scrutiny and/or liability with respect to the activities of their underlying portfolio companies. As such, a violation of the FCPA or other applicable regulations by us or an issuer of our portfolio investments could have a material adverse effect on us. We are committed to complying with the FCPA and other anti-corruption laws and regulations, as well as anti-boycott regulations, to which it is subject. As a result, we may be adversely affected because of our unwillingness to enter into transactions that violate any such laws or regulations.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Failure or alleged failure to comply with applicable data protection and privacy laws and regulations could subject us to ongoing costs and, in some cases, fines and reputational harm.</w:t>
      </w:r>
    </w:p>
    <w:p>
      <w:pPr>
        <w:spacing w:after="0" w:line="131" w:lineRule="exact"/>
        <w:rPr>
          <w:sz w:val="20"/>
          <w:szCs w:val="20"/>
          <w:color w:val="auto"/>
        </w:rPr>
      </w:pPr>
    </w:p>
    <w:p>
      <w:pPr>
        <w:ind w:right="20" w:firstLine="420"/>
        <w:spacing w:after="0" w:line="254" w:lineRule="auto"/>
        <w:rPr>
          <w:sz w:val="20"/>
          <w:szCs w:val="20"/>
          <w:color w:val="auto"/>
        </w:rPr>
      </w:pPr>
      <w:r>
        <w:rPr>
          <w:rFonts w:ascii="Times New Roman" w:cs="Times New Roman" w:eastAsia="Times New Roman" w:hAnsi="Times New Roman"/>
          <w:sz w:val="13"/>
          <w:szCs w:val="13"/>
          <w:color w:val="auto"/>
        </w:rPr>
        <w:t>We and the Adviser and its affiliates are subject to numerous laws and regulations in various jurisdictions relating to privacy and the storage, sharing, use, processing, disclosure and protection of information that we and our affiliates hold. The SEC has adopted changes to Regulation S-P, which requires, among other things, that registered investment advisers notify affected individuals of a breach involving their personal information when there has been an incident that rises to the level of being a reportable breach. In general, these laws and regulations introduce many new obligations on us, the Adviser and its affiliates and service providers and create new rights for parties who have given any of us their personal information, such as investors and others. The scope of data protection and privacy laws and regulations is rapidly evolving, and such laws and regulations are subject to differing interpretations. Any inability or perceived inability to adequately address privacy concerns, or comply with applicable laws and regulations, even if unfounded, could result in regulatory and third-party liability, increased costs, disruption to our operations, and reputational damage. Obligations to which we, the Adviser or its affiliates are subject impose compliance costs and risks of penalties, which could increase significantly as such laws and regulations evolve globally. Moreover, as data protection and privacy laws and regulations continue to develop, it could be more difficult and/or more costly for us, the Adviser or its affiliates to collect, store, use, transmit and process personal information.</w:t>
      </w:r>
    </w:p>
    <w:p>
      <w:pPr>
        <w:spacing w:after="0" w:line="101"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3"/>
          <w:szCs w:val="13"/>
          <w:color w:val="auto"/>
        </w:rPr>
        <w:t>While we, the Adviser and its affiliates take reasonable efforts to comply with data protection and privacy laws and regulations, it is possible that we and the Adviser will not be able to accurately anticipate the ways in which regulators and courts will apply or interpret these laws, and there can be no assurance that we or the Adviser or its affiliates will not be subject to regulatory or individual legal action, including fines, in the event of a security incident, alleged non -compliance with applicable data protection and privacy laws or regulations, or other claim that an individual’s privacy rights have been violated. Many regulators have indicated an intention to take more aggressive enforcement actions regarding data privacy matters, and private litigation resulting from such matters is increasing and resulting in large judgments and settlements.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be the target of litigation.</w:t>
      </w:r>
    </w:p>
    <w:p>
      <w:pPr>
        <w:spacing w:after="0" w:line="131" w:lineRule="exact"/>
        <w:rPr>
          <w:sz w:val="20"/>
          <w:szCs w:val="20"/>
          <w:color w:val="auto"/>
        </w:rPr>
      </w:pPr>
    </w:p>
    <w:p>
      <w:pPr>
        <w:ind w:right="180" w:firstLine="420"/>
        <w:spacing w:after="0" w:line="268" w:lineRule="auto"/>
        <w:rPr>
          <w:sz w:val="20"/>
          <w:szCs w:val="20"/>
          <w:color w:val="auto"/>
        </w:rPr>
      </w:pPr>
      <w:r>
        <w:rPr>
          <w:rFonts w:ascii="Times New Roman" w:cs="Times New Roman" w:eastAsia="Times New Roman" w:hAnsi="Times New Roman"/>
          <w:sz w:val="13"/>
          <w:szCs w:val="13"/>
          <w:color w:val="auto"/>
        </w:rPr>
        <w:t>We may be the target of securities litigation in the future, particularly if the trading price of our common stock, our 2026 Notes or our 2026-2 Notes fluctuates significantly. We could also generally be subject to litigation, including derivative actions by our stockholders. Any litigation could result in substantial costs and divert management’s attention and resources from our business and cause a material adverse effect on our business, financial condition and results of operations.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74" w:right="680" w:bottom="1440" w:gutter="0" w:footer="0" w:header="0"/>
        </w:sectPr>
      </w:pPr>
    </w:p>
    <w:bookmarkStart w:id="37" w:name="page38"/>
    <w:bookmarkEnd w:id="37"/>
    <w:p>
      <w:pPr>
        <w:ind w:left="80"/>
        <w:spacing w:after="0"/>
        <w:rPr>
          <w:sz w:val="20"/>
          <w:szCs w:val="20"/>
          <w:color w:val="auto"/>
        </w:rPr>
      </w:pPr>
      <w:r>
        <w:rPr>
          <w:rFonts w:ascii="Times New Roman" w:cs="Times New Roman" w:eastAsia="Times New Roman" w:hAnsi="Times New Roman"/>
          <w:sz w:val="13"/>
          <w:szCs w:val="13"/>
          <w:b w:val="1"/>
          <w:bCs w:val="1"/>
          <w:i w:val="1"/>
          <w:iCs w:val="1"/>
          <w:color w:val="auto"/>
        </w:rPr>
        <w:t>The effect of global climate change may impact the operations of our portfolio companies.</w:t>
      </w:r>
    </w:p>
    <w:p>
      <w:pPr>
        <w:spacing w:after="0" w:line="131" w:lineRule="exact"/>
        <w:rPr>
          <w:sz w:val="20"/>
          <w:szCs w:val="20"/>
          <w:color w:val="auto"/>
        </w:rPr>
      </w:pPr>
    </w:p>
    <w:p>
      <w:pPr>
        <w:ind w:left="80" w:right="120" w:firstLine="420"/>
        <w:spacing w:after="0" w:line="259" w:lineRule="auto"/>
        <w:rPr>
          <w:sz w:val="20"/>
          <w:szCs w:val="20"/>
          <w:color w:val="auto"/>
        </w:rPr>
      </w:pPr>
      <w:r>
        <w:rPr>
          <w:rFonts w:ascii="Times New Roman" w:cs="Times New Roman" w:eastAsia="Times New Roman" w:hAnsi="Times New Roman"/>
          <w:sz w:val="13"/>
          <w:szCs w:val="13"/>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for example, decreased revenues. Extreme weather conditions in general require more system backup, adding to costs, and can contribute to increased system stresses, including service interruptions.</w:t>
      </w:r>
    </w:p>
    <w:p>
      <w:pPr>
        <w:spacing w:after="0" w:line="12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i w:val="1"/>
          <w:iCs w:val="1"/>
          <w:color w:val="auto"/>
        </w:rPr>
        <w:t>Legislative or regulatory tax changes could adversely affect investors.</w:t>
      </w:r>
    </w:p>
    <w:p>
      <w:pPr>
        <w:spacing w:after="0" w:line="167" w:lineRule="exact"/>
        <w:rPr>
          <w:sz w:val="20"/>
          <w:szCs w:val="20"/>
          <w:color w:val="auto"/>
        </w:rPr>
      </w:pPr>
    </w:p>
    <w:p>
      <w:pPr>
        <w:ind w:left="80" w:right="100" w:firstLine="420"/>
        <w:spacing w:after="0" w:line="259" w:lineRule="auto"/>
        <w:rPr>
          <w:sz w:val="20"/>
          <w:szCs w:val="20"/>
          <w:color w:val="auto"/>
        </w:rPr>
      </w:pPr>
      <w:r>
        <w:rPr>
          <w:rFonts w:ascii="Times New Roman" w:cs="Times New Roman" w:eastAsia="Times New Roman" w:hAnsi="Times New Roman"/>
          <w:sz w:val="13"/>
          <w:szCs w:val="13"/>
          <w:color w:val="auto"/>
        </w:rPr>
        <w:t>At any time, the federal income tax laws governing RICs or the administrative interpretations of those laws or regulations may be amended. The Biden Administration has enacted significant changes to the existing U.S. tax rules that include, among others, a minimum tax on book income and profits of certain multinational corporations, and there are a number of proposals in the U.S. Congress that would similarly modify the existing U.S. tax rules. The likelihood of any new legislation being enacted is uncertain. Any new laws, regulations or interpretations may take effect retroactively and could adversely affect the taxation of us or our shareholders. Therefore, changes in tax laws, regulations or administrative interpretations or any amendments thereto could diminish the value of an investment in our shares or the value or the resale potential of our investments.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1B. Unresolved Staff Comments</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None.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1C. Cybersecurity</w:t>
      </w:r>
    </w:p>
    <w:p>
      <w:pPr>
        <w:spacing w:after="0" w:line="1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i w:val="1"/>
          <w:iCs w:val="1"/>
          <w:color w:val="auto"/>
        </w:rPr>
        <w:t>Cybersecurity</w:t>
      </w:r>
    </w:p>
    <w:p>
      <w:pPr>
        <w:spacing w:after="0" w:line="131" w:lineRule="exact"/>
        <w:rPr>
          <w:sz w:val="20"/>
          <w:szCs w:val="20"/>
          <w:color w:val="auto"/>
        </w:rPr>
      </w:pPr>
    </w:p>
    <w:p>
      <w:pPr>
        <w:ind w:left="80" w:right="280" w:firstLine="432"/>
        <w:spacing w:after="0" w:line="286" w:lineRule="auto"/>
        <w:rPr>
          <w:sz w:val="20"/>
          <w:szCs w:val="20"/>
          <w:color w:val="auto"/>
        </w:rPr>
      </w:pPr>
      <w:r>
        <w:rPr>
          <w:rFonts w:ascii="Times New Roman" w:cs="Times New Roman" w:eastAsia="Times New Roman" w:hAnsi="Times New Roman"/>
          <w:sz w:val="13"/>
          <w:szCs w:val="13"/>
          <w:color w:val="auto"/>
        </w:rPr>
        <w:t>The Company has effective processes in place to assess, identify, and manage material risks from cybersecurity threats. The Company’s business is dependent on the communications and information systems of the Investment Adviser. The Company also relies on the communications and systems of other third-party service providers.</w:t>
      </w:r>
    </w:p>
    <w:p>
      <w:pPr>
        <w:spacing w:after="0" w:line="7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Cybersecurity Program Overview</w:t>
      </w:r>
    </w:p>
    <w:p>
      <w:pPr>
        <w:spacing w:after="0" w:line="129" w:lineRule="exact"/>
        <w:rPr>
          <w:sz w:val="20"/>
          <w:szCs w:val="20"/>
          <w:color w:val="auto"/>
        </w:rPr>
      </w:pPr>
    </w:p>
    <w:p>
      <w:pPr>
        <w:ind w:left="80" w:right="60" w:firstLine="432"/>
        <w:spacing w:after="0" w:line="268" w:lineRule="auto"/>
        <w:rPr>
          <w:sz w:val="20"/>
          <w:szCs w:val="20"/>
          <w:color w:val="auto"/>
        </w:rPr>
      </w:pPr>
      <w:r>
        <w:rPr>
          <w:rFonts w:ascii="Times New Roman" w:cs="Times New Roman" w:eastAsia="Times New Roman" w:hAnsi="Times New Roman"/>
          <w:sz w:val="13"/>
          <w:szCs w:val="13"/>
          <w:color w:val="auto"/>
        </w:rPr>
        <w:t>The Adviser has instituted a cybersecurity program designed to identify, assess, and manage cyber risks applicable to the Company. The Adviser's cyber risk management program involves risk assessments, implementation of security measures, and ongoing monitoring of systems and networks, including networks on which the Company relies. The Adviser actively monitors the current threat landscape in an effort to identify material risks arising from new and evolving cybersecurity threats, including material risks faced by the Company.</w:t>
      </w:r>
    </w:p>
    <w:p>
      <w:pPr>
        <w:spacing w:after="0" w:line="87" w:lineRule="exact"/>
        <w:rPr>
          <w:sz w:val="20"/>
          <w:szCs w:val="20"/>
          <w:color w:val="auto"/>
        </w:rPr>
      </w:pPr>
    </w:p>
    <w:p>
      <w:pPr>
        <w:ind w:left="80" w:right="20" w:firstLine="432"/>
        <w:spacing w:after="0" w:line="286" w:lineRule="auto"/>
        <w:rPr>
          <w:sz w:val="20"/>
          <w:szCs w:val="20"/>
          <w:color w:val="auto"/>
        </w:rPr>
      </w:pPr>
      <w:r>
        <w:rPr>
          <w:rFonts w:ascii="Times New Roman" w:cs="Times New Roman" w:eastAsia="Times New Roman" w:hAnsi="Times New Roman"/>
          <w:sz w:val="13"/>
          <w:szCs w:val="13"/>
          <w:color w:val="auto"/>
        </w:rPr>
        <w:t>The Company relies on the Adviser to engage external experts, including cybersecurity assessors, consultants, and auditors to evaluate cybersecurity measures and risk management processes, including those applicable to the Company.</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The Company relies on the Adviser’s risk management program and processes, which include cyber risk assessments.</w:t>
      </w:r>
    </w:p>
    <w:p>
      <w:pPr>
        <w:spacing w:after="0" w:line="127" w:lineRule="exact"/>
        <w:rPr>
          <w:sz w:val="20"/>
          <w:szCs w:val="20"/>
          <w:color w:val="auto"/>
        </w:rPr>
      </w:pPr>
    </w:p>
    <w:p>
      <w:pPr>
        <w:ind w:left="80" w:right="440" w:firstLine="432"/>
        <w:spacing w:after="0" w:line="286" w:lineRule="auto"/>
        <w:rPr>
          <w:sz w:val="20"/>
          <w:szCs w:val="20"/>
          <w:color w:val="auto"/>
        </w:rPr>
      </w:pPr>
      <w:r>
        <w:rPr>
          <w:rFonts w:ascii="Times New Roman" w:cs="Times New Roman" w:eastAsia="Times New Roman" w:hAnsi="Times New Roman"/>
          <w:sz w:val="13"/>
          <w:szCs w:val="13"/>
          <w:color w:val="auto"/>
        </w:rPr>
        <w:t>The Company depends on and engages various third parties, including suppliers, vendors, and service providers, to operate its business. The Company relies on the expertise of risk management, legal, information technology, and compliance personnel of the Adviser when identifying and overseeing risks from cybersecurity threats associated with our use of such entities.</w:t>
      </w:r>
    </w:p>
    <w:p>
      <w:pPr>
        <w:spacing w:after="0" w:line="7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Board Oversight of Cybersecurity Risks</w:t>
      </w:r>
    </w:p>
    <w:p>
      <w:pPr>
        <w:spacing w:after="0" w:line="129" w:lineRule="exact"/>
        <w:rPr>
          <w:sz w:val="20"/>
          <w:szCs w:val="20"/>
          <w:color w:val="auto"/>
        </w:rPr>
      </w:pPr>
    </w:p>
    <w:p>
      <w:pPr>
        <w:ind w:left="80" w:right="220" w:firstLine="432"/>
        <w:spacing w:after="0" w:line="268" w:lineRule="auto"/>
        <w:rPr>
          <w:sz w:val="20"/>
          <w:szCs w:val="20"/>
          <w:color w:val="auto"/>
        </w:rPr>
      </w:pPr>
      <w:r>
        <w:rPr>
          <w:rFonts w:ascii="Times New Roman" w:cs="Times New Roman" w:eastAsia="Times New Roman" w:hAnsi="Times New Roman"/>
          <w:sz w:val="13"/>
          <w:szCs w:val="13"/>
          <w:color w:val="auto"/>
        </w:rPr>
        <w:t>The Board provides strategic oversight on cybersecurity matters, including risks associated with cybersecurity threats. The Board receives periodic updates from the Company’s Chief Compliance Officer ("CCO") regarding the overall state of the Adviser’s cybersecurity program, information on the current threat landscape, and risks from cybersecurity threats and cybersecurity incidents impacting the Company.</w:t>
      </w:r>
    </w:p>
    <w:p>
      <w:pPr>
        <w:spacing w:after="0" w:line="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Management's Role in Cybersecurity Risk Management</w:t>
      </w:r>
    </w:p>
    <w:p>
      <w:pPr>
        <w:spacing w:after="0" w:line="129" w:lineRule="exact"/>
        <w:rPr>
          <w:sz w:val="20"/>
          <w:szCs w:val="20"/>
          <w:color w:val="auto"/>
        </w:rPr>
      </w:pPr>
    </w:p>
    <w:p>
      <w:pPr>
        <w:ind w:left="80" w:firstLine="432"/>
        <w:spacing w:after="0" w:line="257" w:lineRule="auto"/>
        <w:rPr>
          <w:sz w:val="20"/>
          <w:szCs w:val="20"/>
          <w:color w:val="auto"/>
        </w:rPr>
      </w:pPr>
      <w:r>
        <w:rPr>
          <w:rFonts w:ascii="Times New Roman" w:cs="Times New Roman" w:eastAsia="Times New Roman" w:hAnsi="Times New Roman"/>
          <w:sz w:val="13"/>
          <w:szCs w:val="13"/>
          <w:color w:val="auto"/>
        </w:rPr>
        <w:t>The Company’s management, including the Company’s Chief Financial Officer (“CFO”) and CCO, is responsible for assessing and managing material risks from cybersecurity threats. The CFO and CCO of the Company oversee the Company’s oversight function generally and rely on Information Technology staff of, and consultants to, the Adviser to manage the assessment and management of material risks from cybersecurity threats. The CFO has been responsible for his oversight function as CFO to the Company for two years and has worked in the financial services industry for more than 30 years, during which time the CFO has gained expertise in assessing and managing risk applicable to the Company. The CCO has been responsible for oversight functions for the Company for two years, serving as CCO since May 2023 and has worked in the financial services industry for more than 27 years, during which time the CCO has gained expertise in assessing and managing risks applicable to the Company.</w:t>
      </w:r>
    </w:p>
    <w:p>
      <w:pPr>
        <w:spacing w:after="0" w:line="96" w:lineRule="exact"/>
        <w:rPr>
          <w:sz w:val="20"/>
          <w:szCs w:val="20"/>
          <w:color w:val="auto"/>
        </w:rPr>
      </w:pPr>
    </w:p>
    <w:p>
      <w:pPr>
        <w:ind w:left="80" w:right="160" w:firstLine="432"/>
        <w:spacing w:after="0" w:line="268" w:lineRule="auto"/>
        <w:rPr>
          <w:sz w:val="20"/>
          <w:szCs w:val="20"/>
          <w:color w:val="auto"/>
        </w:rPr>
      </w:pPr>
      <w:r>
        <w:rPr>
          <w:rFonts w:ascii="Times New Roman" w:cs="Times New Roman" w:eastAsia="Times New Roman" w:hAnsi="Times New Roman"/>
          <w:sz w:val="13"/>
          <w:szCs w:val="13"/>
          <w:color w:val="auto"/>
        </w:rPr>
        <w:t>Management of the Company, including the CCO, is informed about and monitors the prevention, detection, mitigation, and remediation of cybersecurity incidents impacting the Company, including through the receipt of notifications from service providers and reliance on communications with risk management, legal, information technology, and/or compliance personnel of the Adviser.</w:t>
      </w:r>
    </w:p>
    <w:p>
      <w:pPr>
        <w:spacing w:after="0" w:line="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Assessment of Cybersecurity Risk</w:t>
      </w:r>
    </w:p>
    <w:p>
      <w:pPr>
        <w:spacing w:after="0" w:line="129" w:lineRule="exact"/>
        <w:rPr>
          <w:sz w:val="20"/>
          <w:szCs w:val="20"/>
          <w:color w:val="auto"/>
        </w:rPr>
      </w:pPr>
    </w:p>
    <w:p>
      <w:pPr>
        <w:ind w:left="80" w:firstLine="432"/>
        <w:spacing w:after="0" w:line="262" w:lineRule="auto"/>
        <w:rPr>
          <w:sz w:val="20"/>
          <w:szCs w:val="20"/>
          <w:color w:val="auto"/>
        </w:rPr>
      </w:pPr>
      <w:r>
        <w:rPr>
          <w:rFonts w:ascii="Times New Roman" w:cs="Times New Roman" w:eastAsia="Times New Roman" w:hAnsi="Times New Roman"/>
          <w:sz w:val="13"/>
          <w:szCs w:val="13"/>
          <w:color w:val="auto"/>
        </w:rPr>
        <w:t>The potential impact of risks from cybersecurity threats on the Company are assessed on an ongoing basis, and how such risks could materially affect the Company’s business strategy, operational results, and financial condition are regularly evaluated. During the reporting period, the Company has not identified any risks from cybersecurity threats, including as a result of previous cybersecurity incidents, that the Company believes have materially affected, or are reasonably likely to materially affect, the Company, including its business strategy, operational results, and financial condition.</w:t>
      </w: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425450</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1274" w:right="680" w:bottom="1440" w:gutter="0" w:footer="0" w:header="0"/>
        </w:sectPr>
      </w:pPr>
    </w:p>
    <w:bookmarkStart w:id="38" w:name="page39"/>
    <w:bookmarkEnd w:id="38"/>
    <w:p>
      <w:pPr>
        <w:ind w:left="80"/>
        <w:spacing w:after="0"/>
        <w:rPr>
          <w:sz w:val="20"/>
          <w:szCs w:val="20"/>
          <w:color w:val="auto"/>
        </w:rPr>
      </w:pPr>
      <w:r>
        <w:rPr>
          <w:rFonts w:ascii="Times New Roman" w:cs="Times New Roman" w:eastAsia="Times New Roman" w:hAnsi="Times New Roman"/>
          <w:sz w:val="13"/>
          <w:szCs w:val="13"/>
          <w:b w:val="1"/>
          <w:bCs w:val="1"/>
          <w:color w:val="auto"/>
        </w:rPr>
        <w:t>Item 2. Properties</w:t>
      </w:r>
    </w:p>
    <w:p>
      <w:pPr>
        <w:spacing w:after="0" w:line="129" w:lineRule="exact"/>
        <w:rPr>
          <w:sz w:val="20"/>
          <w:szCs w:val="20"/>
          <w:color w:val="auto"/>
        </w:rPr>
      </w:pPr>
    </w:p>
    <w:p>
      <w:pPr>
        <w:jc w:val="both"/>
        <w:ind w:left="80" w:firstLine="420"/>
        <w:spacing w:after="0" w:line="286" w:lineRule="auto"/>
        <w:rPr>
          <w:sz w:val="20"/>
          <w:szCs w:val="20"/>
          <w:color w:val="auto"/>
        </w:rPr>
      </w:pPr>
      <w:r>
        <w:rPr>
          <w:rFonts w:ascii="Times New Roman" w:cs="Times New Roman" w:eastAsia="Times New Roman" w:hAnsi="Times New Roman"/>
          <w:sz w:val="13"/>
          <w:szCs w:val="13"/>
          <w:color w:val="auto"/>
        </w:rPr>
        <w:t>As of September 30, 2024, we did not own any real estate or other physical properties materially important to our operation. We believe that the office facilities of the Investment Adviser and Administrator are suitable and adequate for our business as it is contemplated to be conducted.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3. Legal Proceedings</w:t>
      </w:r>
    </w:p>
    <w:p>
      <w:pPr>
        <w:spacing w:after="0" w:line="129" w:lineRule="exact"/>
        <w:rPr>
          <w:sz w:val="20"/>
          <w:szCs w:val="20"/>
          <w:color w:val="auto"/>
        </w:rPr>
      </w:pPr>
    </w:p>
    <w:p>
      <w:pPr>
        <w:jc w:val="both"/>
        <w:ind w:left="80" w:right="20" w:firstLine="420"/>
        <w:spacing w:after="0" w:line="262" w:lineRule="auto"/>
        <w:rPr>
          <w:sz w:val="20"/>
          <w:szCs w:val="20"/>
          <w:color w:val="auto"/>
        </w:rPr>
      </w:pPr>
      <w:r>
        <w:rPr>
          <w:rFonts w:ascii="Times New Roman" w:cs="Times New Roman" w:eastAsia="Times New Roman" w:hAnsi="Times New Roman"/>
          <w:sz w:val="13"/>
          <w:szCs w:val="13"/>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4. Mine Safety Disclosures</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Not applicable.</w:t>
      </w:r>
    </w:p>
    <w:p>
      <w:pPr>
        <w:spacing w:after="0" w:line="1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425450</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580" w:top="1156" w:right="740" w:bottom="1440" w:gutter="0" w:footer="0" w:header="0"/>
        </w:sectPr>
      </w:pPr>
    </w:p>
    <w:bookmarkStart w:id="39" w:name="page40"/>
    <w:bookmarkEnd w:id="39"/>
    <w:p>
      <w:pPr>
        <w:ind w:left="5120"/>
        <w:spacing w:after="0"/>
        <w:rPr>
          <w:sz w:val="20"/>
          <w:szCs w:val="20"/>
          <w:color w:val="auto"/>
        </w:rPr>
      </w:pPr>
      <w:r>
        <w:rPr>
          <w:rFonts w:ascii="Times New Roman" w:cs="Times New Roman" w:eastAsia="Times New Roman" w:hAnsi="Times New Roman"/>
          <w:sz w:val="13"/>
          <w:szCs w:val="13"/>
          <w:b w:val="1"/>
          <w:bCs w:val="1"/>
          <w:color w:val="auto"/>
        </w:rPr>
        <w:t>PART II</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5. Market for Registrant’s Common Equity, Related Stockholder Matters and Issuer Purchases of Equity Securities</w:t>
      </w:r>
    </w:p>
    <w:p>
      <w:pPr>
        <w:spacing w:after="0" w:line="1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3"/>
          <w:szCs w:val="13"/>
          <w:b w:val="1"/>
          <w:bCs w:val="1"/>
          <w:color w:val="auto"/>
        </w:rPr>
        <w:t>PRICE RANGE OF COMMON STOCK</w:t>
      </w:r>
    </w:p>
    <w:p>
      <w:pPr>
        <w:spacing w:after="0" w:line="165" w:lineRule="exact"/>
        <w:rPr>
          <w:sz w:val="20"/>
          <w:szCs w:val="20"/>
          <w:color w:val="auto"/>
        </w:rPr>
      </w:pPr>
    </w:p>
    <w:p>
      <w:pPr>
        <w:ind w:left="80" w:right="40" w:firstLine="420"/>
        <w:spacing w:after="0" w:line="262" w:lineRule="auto"/>
        <w:rPr>
          <w:sz w:val="20"/>
          <w:szCs w:val="20"/>
          <w:color w:val="auto"/>
        </w:rPr>
      </w:pPr>
      <w:r>
        <w:rPr>
          <w:rFonts w:ascii="Times New Roman" w:cs="Times New Roman" w:eastAsia="Times New Roman" w:hAnsi="Times New Roman"/>
          <w:sz w:val="13"/>
          <w:szCs w:val="13"/>
          <w:color w:val="auto"/>
        </w:rPr>
        <w:t>On April 4, 2007, we closed our initial public offering. On April 14, 2022, listing and trading of the Company’s common stock commenced on the New York Stock Exchange after the Company voluntarily withdrew the principal listing of its common stock from the Nasdaq Stock Market effective at market close on April 13, 2022. Our common stock trades on the New York Stock Exchange under the symbol “PNNT”. The following table lists the high and low closing sale prices for our common stock, the closing sale prices as a premium or (discount) to our NAV per share and distributions per share for each full quarterly period within the fiscal years ended September 30, 2024 and 2023.</w:t>
      </w:r>
    </w:p>
    <w:p>
      <w:pPr>
        <w:spacing w:after="0" w:line="149" w:lineRule="exact"/>
        <w:rPr>
          <w:sz w:val="20"/>
          <w:szCs w:val="20"/>
          <w:color w:val="auto"/>
        </w:rPr>
      </w:pPr>
    </w:p>
    <w:tbl>
      <w:tblPr>
        <w:tblLayout w:type="fixed"/>
        <w:tblInd w:w="80" w:type="dxa"/>
        <w:tblCellMar>
          <w:top w:w="0" w:type="dxa"/>
          <w:left w:w="0" w:type="dxa"/>
          <w:bottom w:w="0" w:type="dxa"/>
          <w:right w:w="0" w:type="dxa"/>
        </w:tblCellMar>
      </w:tblPr>
      <w:tr>
        <w:trPr>
          <w:trHeight w:val="156"/>
        </w:trPr>
        <w:tc>
          <w:tcPr>
            <w:tcW w:w="2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6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rPr>
              <w:t>Premium /</w:t>
            </w:r>
          </w:p>
        </w:tc>
        <w:tc>
          <w:tcPr>
            <w:tcW w:w="1500" w:type="dxa"/>
            <w:vAlign w:val="bottom"/>
          </w:tcPr>
          <w:p>
            <w:pPr>
              <w:jc w:val="center"/>
              <w:ind w:right="354"/>
              <w:spacing w:after="0"/>
              <w:rPr>
                <w:sz w:val="20"/>
                <w:szCs w:val="20"/>
                <w:color w:val="auto"/>
              </w:rPr>
            </w:pPr>
            <w:r>
              <w:rPr>
                <w:rFonts w:ascii="Times New Roman" w:cs="Times New Roman" w:eastAsia="Times New Roman" w:hAnsi="Times New Roman"/>
                <w:sz w:val="13"/>
                <w:szCs w:val="13"/>
                <w:b w:val="1"/>
                <w:bCs w:val="1"/>
                <w:color w:val="auto"/>
              </w:rPr>
              <w:t>Premium /</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60" w:type="dxa"/>
            <w:vAlign w:val="bottom"/>
          </w:tcPr>
          <w:p>
            <w:pPr>
              <w:jc w:val="center"/>
              <w:ind w:right="134"/>
              <w:spacing w:after="0"/>
              <w:rPr>
                <w:sz w:val="20"/>
                <w:szCs w:val="20"/>
                <w:color w:val="auto"/>
              </w:rPr>
            </w:pPr>
            <w:r>
              <w:rPr>
                <w:rFonts w:ascii="Times New Roman" w:cs="Times New Roman" w:eastAsia="Times New Roman" w:hAnsi="Times New Roman"/>
                <w:sz w:val="13"/>
                <w:szCs w:val="13"/>
                <w:b w:val="1"/>
                <w:bCs w:val="1"/>
                <w:color w:val="auto"/>
              </w:rPr>
              <w:t>(Discount)</w:t>
            </w:r>
          </w:p>
        </w:tc>
        <w:tc>
          <w:tcPr>
            <w:tcW w:w="1500" w:type="dxa"/>
            <w:vAlign w:val="bottom"/>
          </w:tcPr>
          <w:p>
            <w:pPr>
              <w:jc w:val="center"/>
              <w:ind w:right="354"/>
              <w:spacing w:after="0"/>
              <w:rPr>
                <w:sz w:val="20"/>
                <w:szCs w:val="20"/>
                <w:color w:val="auto"/>
              </w:rPr>
            </w:pPr>
            <w:r>
              <w:rPr>
                <w:rFonts w:ascii="Times New Roman" w:cs="Times New Roman" w:eastAsia="Times New Roman" w:hAnsi="Times New Roman"/>
                <w:sz w:val="13"/>
                <w:szCs w:val="13"/>
                <w:b w:val="1"/>
                <w:bCs w:val="1"/>
                <w:color w:val="auto"/>
              </w:rPr>
              <w:t>(Discount)</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40" w:type="dxa"/>
            <w:vAlign w:val="bottom"/>
            <w:gridSpan w:val="2"/>
          </w:tcPr>
          <w:p>
            <w:pPr>
              <w:jc w:val="right"/>
              <w:ind w:right="334"/>
              <w:spacing w:after="0" w:line="145" w:lineRule="exact"/>
              <w:rPr>
                <w:sz w:val="20"/>
                <w:szCs w:val="20"/>
                <w:color w:val="auto"/>
              </w:rPr>
            </w:pPr>
            <w:r>
              <w:rPr>
                <w:rFonts w:ascii="Times New Roman" w:cs="Times New Roman" w:eastAsia="Times New Roman" w:hAnsi="Times New Roman"/>
                <w:sz w:val="13"/>
                <w:szCs w:val="13"/>
                <w:b w:val="1"/>
                <w:bCs w:val="1"/>
                <w:color w:val="auto"/>
              </w:rPr>
              <w:t>Closing Sale Prices</w:t>
            </w:r>
          </w:p>
        </w:tc>
        <w:tc>
          <w:tcPr>
            <w:tcW w:w="500" w:type="dxa"/>
            <w:vAlign w:val="bottom"/>
          </w:tcPr>
          <w:p>
            <w:pPr>
              <w:spacing w:after="0"/>
              <w:rPr>
                <w:sz w:val="12"/>
                <w:szCs w:val="12"/>
                <w:color w:val="auto"/>
              </w:rPr>
            </w:pPr>
          </w:p>
        </w:tc>
        <w:tc>
          <w:tcPr>
            <w:tcW w:w="1460" w:type="dxa"/>
            <w:vAlign w:val="bottom"/>
          </w:tcPr>
          <w:p>
            <w:pPr>
              <w:jc w:val="center"/>
              <w:ind w:right="114"/>
              <w:spacing w:after="0" w:line="145" w:lineRule="exact"/>
              <w:rPr>
                <w:sz w:val="20"/>
                <w:szCs w:val="20"/>
                <w:color w:val="auto"/>
              </w:rPr>
            </w:pPr>
            <w:r>
              <w:rPr>
                <w:rFonts w:ascii="Times New Roman" w:cs="Times New Roman" w:eastAsia="Times New Roman" w:hAnsi="Times New Roman"/>
                <w:sz w:val="13"/>
                <w:szCs w:val="13"/>
                <w:b w:val="1"/>
                <w:bCs w:val="1"/>
                <w:color w:val="auto"/>
              </w:rPr>
              <w:t>of High Sale</w:t>
            </w:r>
          </w:p>
        </w:tc>
        <w:tc>
          <w:tcPr>
            <w:tcW w:w="1500" w:type="dxa"/>
            <w:vAlign w:val="bottom"/>
          </w:tcPr>
          <w:p>
            <w:pPr>
              <w:jc w:val="center"/>
              <w:ind w:right="334"/>
              <w:spacing w:after="0" w:line="145" w:lineRule="exact"/>
              <w:rPr>
                <w:sz w:val="20"/>
                <w:szCs w:val="20"/>
                <w:color w:val="auto"/>
              </w:rPr>
            </w:pPr>
            <w:r>
              <w:rPr>
                <w:rFonts w:ascii="Times New Roman" w:cs="Times New Roman" w:eastAsia="Times New Roman" w:hAnsi="Times New Roman"/>
                <w:sz w:val="13"/>
                <w:szCs w:val="13"/>
                <w:b w:val="1"/>
                <w:bCs w:val="1"/>
                <w:color w:val="auto"/>
              </w:rPr>
              <w:t>of Low Sale</w:t>
            </w:r>
          </w:p>
        </w:tc>
        <w:tc>
          <w:tcPr>
            <w:tcW w:w="1080" w:type="dxa"/>
            <w:vAlign w:val="bottom"/>
          </w:tcPr>
          <w:p>
            <w:pPr>
              <w:jc w:val="right"/>
              <w:ind w:right="214"/>
              <w:spacing w:after="0" w:line="145" w:lineRule="exact"/>
              <w:rPr>
                <w:sz w:val="20"/>
                <w:szCs w:val="20"/>
                <w:color w:val="auto"/>
              </w:rPr>
            </w:pPr>
            <w:r>
              <w:rPr>
                <w:rFonts w:ascii="Times New Roman" w:cs="Times New Roman" w:eastAsia="Times New Roman" w:hAnsi="Times New Roman"/>
                <w:sz w:val="13"/>
                <w:szCs w:val="13"/>
                <w:b w:val="1"/>
                <w:bCs w:val="1"/>
                <w:color w:val="auto"/>
              </w:rPr>
              <w:t>Distributions</w:t>
            </w:r>
          </w:p>
        </w:tc>
        <w:tc>
          <w:tcPr>
            <w:tcW w:w="0" w:type="dxa"/>
            <w:vAlign w:val="bottom"/>
          </w:tcPr>
          <w:p>
            <w:pPr>
              <w:spacing w:after="0"/>
              <w:rPr>
                <w:sz w:val="1"/>
                <w:szCs w:val="1"/>
                <w:color w:val="auto"/>
              </w:rPr>
            </w:pPr>
          </w:p>
        </w:tc>
      </w:tr>
      <w:tr>
        <w:trPr>
          <w:trHeight w:val="181"/>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500" w:type="dxa"/>
            <w:vAlign w:val="bottom"/>
          </w:tcPr>
          <w:p>
            <w:pPr>
              <w:spacing w:after="0"/>
              <w:rPr>
                <w:sz w:val="15"/>
                <w:szCs w:val="15"/>
                <w:color w:val="auto"/>
              </w:rPr>
            </w:pPr>
          </w:p>
        </w:tc>
        <w:tc>
          <w:tcPr>
            <w:tcW w:w="1060" w:type="dxa"/>
            <w:vAlign w:val="bottom"/>
          </w:tcPr>
          <w:p>
            <w:pPr>
              <w:jc w:val="right"/>
              <w:ind w:right="414"/>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NAV </w:t>
            </w:r>
            <w:r>
              <w:rPr>
                <w:rFonts w:ascii="Times New Roman" w:cs="Times New Roman" w:eastAsia="Times New Roman" w:hAnsi="Times New Roman"/>
                <w:sz w:val="16"/>
                <w:szCs w:val="16"/>
                <w:b w:val="1"/>
                <w:bCs w:val="1"/>
                <w:color w:val="auto"/>
                <w:vertAlign w:val="superscript"/>
              </w:rPr>
              <w:t>(1)</w:t>
            </w:r>
          </w:p>
        </w:tc>
        <w:tc>
          <w:tcPr>
            <w:tcW w:w="380" w:type="dxa"/>
            <w:vAlign w:val="bottom"/>
          </w:tcPr>
          <w:p>
            <w:pPr>
              <w:spacing w:after="0"/>
              <w:rPr>
                <w:sz w:val="15"/>
                <w:szCs w:val="15"/>
                <w:color w:val="auto"/>
              </w:rPr>
            </w:pPr>
          </w:p>
        </w:tc>
        <w:tc>
          <w:tcPr>
            <w:tcW w:w="1020" w:type="dxa"/>
            <w:vAlign w:val="bottom"/>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High</w:t>
            </w: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Low</w:t>
            </w:r>
          </w:p>
        </w:tc>
        <w:tc>
          <w:tcPr>
            <w:tcW w:w="500" w:type="dxa"/>
            <w:vAlign w:val="bottom"/>
          </w:tcPr>
          <w:p>
            <w:pPr>
              <w:spacing w:after="0"/>
              <w:rPr>
                <w:sz w:val="15"/>
                <w:szCs w:val="15"/>
                <w:color w:val="auto"/>
              </w:rPr>
            </w:pPr>
          </w:p>
        </w:tc>
        <w:tc>
          <w:tcPr>
            <w:tcW w:w="1460" w:type="dxa"/>
            <w:vAlign w:val="bottom"/>
          </w:tcPr>
          <w:p>
            <w:pPr>
              <w:jc w:val="center"/>
              <w:ind w:right="134"/>
              <w:spacing w:after="0" w:line="181" w:lineRule="exact"/>
              <w:rPr>
                <w:sz w:val="20"/>
                <w:szCs w:val="20"/>
                <w:color w:val="auto"/>
              </w:rPr>
            </w:pPr>
            <w:r>
              <w:rPr>
                <w:rFonts w:ascii="Times New Roman" w:cs="Times New Roman" w:eastAsia="Times New Roman" w:hAnsi="Times New Roman"/>
                <w:sz w:val="13"/>
                <w:szCs w:val="13"/>
                <w:b w:val="1"/>
                <w:bCs w:val="1"/>
                <w:color w:val="auto"/>
                <w:w w:val="99"/>
              </w:rPr>
              <w:t xml:space="preserve">Price to NAV </w:t>
            </w:r>
            <w:r>
              <w:rPr>
                <w:rFonts w:ascii="Times New Roman" w:cs="Times New Roman" w:eastAsia="Times New Roman" w:hAnsi="Times New Roman"/>
                <w:sz w:val="16"/>
                <w:szCs w:val="16"/>
                <w:b w:val="1"/>
                <w:bCs w:val="1"/>
                <w:color w:val="auto"/>
                <w:w w:val="99"/>
                <w:vertAlign w:val="superscript"/>
              </w:rPr>
              <w:t>(2)</w:t>
            </w:r>
          </w:p>
        </w:tc>
        <w:tc>
          <w:tcPr>
            <w:tcW w:w="1500" w:type="dxa"/>
            <w:vAlign w:val="bottom"/>
          </w:tcPr>
          <w:p>
            <w:pPr>
              <w:jc w:val="center"/>
              <w:ind w:right="354"/>
              <w:spacing w:after="0" w:line="181" w:lineRule="exact"/>
              <w:rPr>
                <w:sz w:val="20"/>
                <w:szCs w:val="20"/>
                <w:color w:val="auto"/>
              </w:rPr>
            </w:pPr>
            <w:r>
              <w:rPr>
                <w:rFonts w:ascii="Times New Roman" w:cs="Times New Roman" w:eastAsia="Times New Roman" w:hAnsi="Times New Roman"/>
                <w:sz w:val="13"/>
                <w:szCs w:val="13"/>
                <w:b w:val="1"/>
                <w:bCs w:val="1"/>
                <w:color w:val="auto"/>
                <w:w w:val="97"/>
              </w:rPr>
              <w:t xml:space="preserve">Price to NAV </w:t>
            </w:r>
            <w:r>
              <w:rPr>
                <w:rFonts w:ascii="Times New Roman" w:cs="Times New Roman" w:eastAsia="Times New Roman" w:hAnsi="Times New Roman"/>
                <w:sz w:val="16"/>
                <w:szCs w:val="16"/>
                <w:b w:val="1"/>
                <w:bCs w:val="1"/>
                <w:color w:val="auto"/>
                <w:w w:val="97"/>
                <w:vertAlign w:val="superscript"/>
              </w:rPr>
              <w:t>(2)</w:t>
            </w:r>
          </w:p>
        </w:tc>
        <w:tc>
          <w:tcPr>
            <w:tcW w:w="108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Declared</w:t>
            </w:r>
          </w:p>
        </w:tc>
        <w:tc>
          <w:tcPr>
            <w:tcW w:w="0" w:type="dxa"/>
            <w:vAlign w:val="bottom"/>
          </w:tcPr>
          <w:p>
            <w:pPr>
              <w:spacing w:after="0"/>
              <w:rPr>
                <w:sz w:val="1"/>
                <w:szCs w:val="1"/>
                <w:color w:val="auto"/>
              </w:rPr>
            </w:pPr>
          </w:p>
        </w:tc>
      </w:tr>
      <w:tr>
        <w:trPr>
          <w:trHeight w:val="156"/>
        </w:trPr>
        <w:tc>
          <w:tcPr>
            <w:tcW w:w="2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September 30, 2024</w:t>
            </w:r>
          </w:p>
        </w:tc>
        <w:tc>
          <w:tcPr>
            <w:tcW w:w="500" w:type="dxa"/>
            <w:vAlign w:val="bottom"/>
            <w:shd w:val="clear" w:color="auto" w:fill="CCECFF"/>
          </w:tcPr>
          <w:p>
            <w:pPr>
              <w:spacing w:after="0"/>
              <w:rPr>
                <w:sz w:val="13"/>
                <w:szCs w:val="13"/>
                <w:color w:val="auto"/>
              </w:rPr>
            </w:pPr>
          </w:p>
        </w:tc>
        <w:tc>
          <w:tcPr>
            <w:tcW w:w="106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500" w:type="dxa"/>
            <w:vAlign w:val="bottom"/>
            <w:shd w:val="clear" w:color="auto" w:fill="CCECFF"/>
          </w:tcPr>
          <w:p>
            <w:pPr>
              <w:spacing w:after="0"/>
              <w:rPr>
                <w:sz w:val="13"/>
                <w:szCs w:val="13"/>
                <w:color w:val="auto"/>
              </w:rPr>
            </w:pPr>
          </w:p>
        </w:tc>
        <w:tc>
          <w:tcPr>
            <w:tcW w:w="1460" w:type="dxa"/>
            <w:vAlign w:val="bottom"/>
            <w:shd w:val="clear" w:color="auto" w:fill="CCECFF"/>
          </w:tcPr>
          <w:p>
            <w:pPr>
              <w:spacing w:after="0"/>
              <w:rPr>
                <w:sz w:val="13"/>
                <w:szCs w:val="13"/>
                <w:color w:val="auto"/>
              </w:rPr>
            </w:pPr>
          </w:p>
        </w:tc>
        <w:tc>
          <w:tcPr>
            <w:tcW w:w="1500" w:type="dxa"/>
            <w:vAlign w:val="bottom"/>
            <w:shd w:val="clear" w:color="auto" w:fill="CCECFF"/>
          </w:tcPr>
          <w:p>
            <w:pPr>
              <w:spacing w:after="0"/>
              <w:rPr>
                <w:sz w:val="13"/>
                <w:szCs w:val="13"/>
                <w:color w:val="auto"/>
              </w:rPr>
            </w:pPr>
          </w:p>
        </w:tc>
        <w:tc>
          <w:tcPr>
            <w:tcW w:w="10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Fourth quarter</w:t>
            </w:r>
          </w:p>
        </w:tc>
        <w:tc>
          <w:tcPr>
            <w:tcW w:w="5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7.56</w:t>
            </w:r>
          </w:p>
        </w:tc>
        <w:tc>
          <w:tcPr>
            <w:tcW w:w="3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7.89</w:t>
            </w:r>
          </w:p>
        </w:tc>
        <w:tc>
          <w:tcPr>
            <w:tcW w:w="920" w:type="dxa"/>
            <w:vAlign w:val="bottom"/>
          </w:tcPr>
          <w:p>
            <w:pPr>
              <w:jc w:val="right"/>
              <w:ind w:right="654"/>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6.62</w:t>
            </w: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4 %</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(12 )% $</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0.24</w:t>
            </w:r>
          </w:p>
        </w:tc>
        <w:tc>
          <w:tcPr>
            <w:tcW w:w="0" w:type="dxa"/>
            <w:vAlign w:val="bottom"/>
          </w:tcPr>
          <w:p>
            <w:pPr>
              <w:spacing w:after="0"/>
              <w:rPr>
                <w:sz w:val="1"/>
                <w:szCs w:val="1"/>
                <w:color w:val="auto"/>
              </w:rPr>
            </w:pPr>
          </w:p>
        </w:tc>
      </w:tr>
      <w:tr>
        <w:trPr>
          <w:trHeight w:val="172"/>
        </w:trPr>
        <w:tc>
          <w:tcPr>
            <w:tcW w:w="2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Third quarter</w:t>
            </w:r>
          </w:p>
        </w:tc>
        <w:tc>
          <w:tcPr>
            <w:tcW w:w="500" w:type="dxa"/>
            <w:vAlign w:val="bottom"/>
            <w:vMerge w:val="restart"/>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7.52</w:t>
            </w:r>
          </w:p>
        </w:tc>
        <w:tc>
          <w:tcPr>
            <w:tcW w:w="380" w:type="dxa"/>
            <w:vAlign w:val="bottom"/>
            <w:vMerge w:val="restart"/>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7.72</w:t>
            </w:r>
          </w:p>
        </w:tc>
        <w:tc>
          <w:tcPr>
            <w:tcW w:w="920" w:type="dxa"/>
            <w:vAlign w:val="bottom"/>
            <w:vMerge w:val="restart"/>
            <w:shd w:val="clear" w:color="auto" w:fill="CCECFF"/>
          </w:tcPr>
          <w:p>
            <w:pPr>
              <w:jc w:val="right"/>
              <w:ind w:right="654"/>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6.78</w:t>
            </w:r>
          </w:p>
        </w:tc>
        <w:tc>
          <w:tcPr>
            <w:tcW w:w="1460" w:type="dxa"/>
            <w:vAlign w:val="bottom"/>
            <w:vMerge w:val="restart"/>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3 %</w:t>
            </w:r>
          </w:p>
        </w:tc>
        <w:tc>
          <w:tcPr>
            <w:tcW w:w="15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(10 )% $</w:t>
            </w:r>
          </w:p>
        </w:tc>
        <w:tc>
          <w:tcPr>
            <w:tcW w:w="10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0.22</w:t>
            </w:r>
          </w:p>
        </w:tc>
        <w:tc>
          <w:tcPr>
            <w:tcW w:w="0" w:type="dxa"/>
            <w:vAlign w:val="bottom"/>
          </w:tcPr>
          <w:p>
            <w:pPr>
              <w:spacing w:after="0"/>
              <w:rPr>
                <w:sz w:val="1"/>
                <w:szCs w:val="1"/>
                <w:color w:val="auto"/>
              </w:rPr>
            </w:pPr>
          </w:p>
        </w:tc>
      </w:tr>
      <w:tr>
        <w:trPr>
          <w:trHeight w:val="104"/>
        </w:trPr>
        <w:tc>
          <w:tcPr>
            <w:tcW w:w="2140" w:type="dxa"/>
            <w:vAlign w:val="bottom"/>
            <w:shd w:val="clear" w:color="auto" w:fill="CCECFF"/>
          </w:tcPr>
          <w:p>
            <w:pPr>
              <w:spacing w:after="0"/>
              <w:rPr>
                <w:sz w:val="9"/>
                <w:szCs w:val="9"/>
                <w:color w:val="auto"/>
              </w:rPr>
            </w:pPr>
          </w:p>
        </w:tc>
        <w:tc>
          <w:tcPr>
            <w:tcW w:w="500" w:type="dxa"/>
            <w:vAlign w:val="bottom"/>
            <w:vMerge w:val="continue"/>
            <w:shd w:val="clear" w:color="auto" w:fill="CCECFF"/>
          </w:tcPr>
          <w:p>
            <w:pPr>
              <w:spacing w:after="0"/>
              <w:rPr>
                <w:sz w:val="9"/>
                <w:szCs w:val="9"/>
                <w:color w:val="auto"/>
              </w:rPr>
            </w:pPr>
          </w:p>
        </w:tc>
        <w:tc>
          <w:tcPr>
            <w:tcW w:w="1060" w:type="dxa"/>
            <w:vAlign w:val="bottom"/>
            <w:shd w:val="clear" w:color="auto" w:fill="CCECFF"/>
          </w:tcPr>
          <w:p>
            <w:pPr>
              <w:spacing w:after="0"/>
              <w:rPr>
                <w:sz w:val="9"/>
                <w:szCs w:val="9"/>
                <w:color w:val="auto"/>
              </w:rPr>
            </w:pPr>
          </w:p>
        </w:tc>
        <w:tc>
          <w:tcPr>
            <w:tcW w:w="380" w:type="dxa"/>
            <w:vAlign w:val="bottom"/>
            <w:vMerge w:val="continue"/>
            <w:shd w:val="clear" w:color="auto" w:fill="CCECFF"/>
          </w:tcPr>
          <w:p>
            <w:pPr>
              <w:spacing w:after="0"/>
              <w:rPr>
                <w:sz w:val="9"/>
                <w:szCs w:val="9"/>
                <w:color w:val="auto"/>
              </w:rPr>
            </w:pPr>
          </w:p>
        </w:tc>
        <w:tc>
          <w:tcPr>
            <w:tcW w:w="1020" w:type="dxa"/>
            <w:vAlign w:val="bottom"/>
            <w:shd w:val="clear" w:color="auto" w:fill="CCECFF"/>
          </w:tcPr>
          <w:p>
            <w:pPr>
              <w:spacing w:after="0"/>
              <w:rPr>
                <w:sz w:val="9"/>
                <w:szCs w:val="9"/>
                <w:color w:val="auto"/>
              </w:rPr>
            </w:pPr>
          </w:p>
        </w:tc>
        <w:tc>
          <w:tcPr>
            <w:tcW w:w="920" w:type="dxa"/>
            <w:vAlign w:val="bottom"/>
            <w:vMerge w:val="continue"/>
            <w:shd w:val="clear" w:color="auto" w:fill="CCECFF"/>
          </w:tcPr>
          <w:p>
            <w:pPr>
              <w:spacing w:after="0"/>
              <w:rPr>
                <w:sz w:val="9"/>
                <w:szCs w:val="9"/>
                <w:color w:val="auto"/>
              </w:rPr>
            </w:pPr>
          </w:p>
        </w:tc>
        <w:tc>
          <w:tcPr>
            <w:tcW w:w="500" w:type="dxa"/>
            <w:vAlign w:val="bottom"/>
            <w:shd w:val="clear" w:color="auto" w:fill="CCECFF"/>
          </w:tcPr>
          <w:p>
            <w:pPr>
              <w:spacing w:after="0"/>
              <w:rPr>
                <w:sz w:val="9"/>
                <w:szCs w:val="9"/>
                <w:color w:val="auto"/>
              </w:rPr>
            </w:pPr>
          </w:p>
        </w:tc>
        <w:tc>
          <w:tcPr>
            <w:tcW w:w="1460" w:type="dxa"/>
            <w:vAlign w:val="bottom"/>
            <w:vMerge w:val="continue"/>
            <w:shd w:val="clear" w:color="auto" w:fill="CCECFF"/>
          </w:tcPr>
          <w:p>
            <w:pPr>
              <w:spacing w:after="0"/>
              <w:rPr>
                <w:sz w:val="9"/>
                <w:szCs w:val="9"/>
                <w:color w:val="auto"/>
              </w:rPr>
            </w:pPr>
          </w:p>
        </w:tc>
        <w:tc>
          <w:tcPr>
            <w:tcW w:w="1500" w:type="dxa"/>
            <w:vAlign w:val="bottom"/>
            <w:vMerge w:val="continue"/>
            <w:shd w:val="clear" w:color="auto" w:fill="CCECFF"/>
          </w:tcPr>
          <w:p>
            <w:pPr>
              <w:spacing w:after="0"/>
              <w:rPr>
                <w:sz w:val="9"/>
                <w:szCs w:val="9"/>
                <w:color w:val="auto"/>
              </w:rPr>
            </w:pPr>
          </w:p>
        </w:tc>
        <w:tc>
          <w:tcPr>
            <w:tcW w:w="108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Second quarter</w:t>
            </w:r>
          </w:p>
        </w:tc>
        <w:tc>
          <w:tcPr>
            <w:tcW w:w="5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7.69</w:t>
            </w:r>
          </w:p>
        </w:tc>
        <w:tc>
          <w:tcPr>
            <w:tcW w:w="3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7.21</w:t>
            </w:r>
          </w:p>
        </w:tc>
        <w:tc>
          <w:tcPr>
            <w:tcW w:w="920" w:type="dxa"/>
            <w:vAlign w:val="bottom"/>
          </w:tcPr>
          <w:p>
            <w:pPr>
              <w:jc w:val="right"/>
              <w:ind w:right="654"/>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6.60</w:t>
            </w: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(6 )%</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(14 )% $</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0.21</w:t>
            </w:r>
          </w:p>
        </w:tc>
        <w:tc>
          <w:tcPr>
            <w:tcW w:w="0" w:type="dxa"/>
            <w:vAlign w:val="bottom"/>
          </w:tcPr>
          <w:p>
            <w:pPr>
              <w:spacing w:after="0"/>
              <w:rPr>
                <w:sz w:val="1"/>
                <w:szCs w:val="1"/>
                <w:color w:val="auto"/>
              </w:rPr>
            </w:pPr>
          </w:p>
        </w:tc>
      </w:tr>
      <w:tr>
        <w:trPr>
          <w:trHeight w:val="156"/>
        </w:trPr>
        <w:tc>
          <w:tcPr>
            <w:tcW w:w="2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quarter</w:t>
            </w:r>
          </w:p>
        </w:tc>
        <w:tc>
          <w:tcPr>
            <w:tcW w:w="50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7.65</w:t>
            </w:r>
          </w:p>
        </w:tc>
        <w:tc>
          <w:tcPr>
            <w:tcW w:w="38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6.94</w:t>
            </w:r>
          </w:p>
        </w:tc>
        <w:tc>
          <w:tcPr>
            <w:tcW w:w="920" w:type="dxa"/>
            <w:vAlign w:val="bottom"/>
            <w:shd w:val="clear" w:color="auto" w:fill="CCECFF"/>
          </w:tcPr>
          <w:p>
            <w:pPr>
              <w:jc w:val="right"/>
              <w:ind w:right="654"/>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6.04</w:t>
            </w:r>
          </w:p>
        </w:tc>
        <w:tc>
          <w:tcPr>
            <w:tcW w:w="146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rPr>
              <w:t>(9 )%</w:t>
            </w: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(21 )% $</w:t>
            </w:r>
          </w:p>
        </w:tc>
        <w:tc>
          <w:tcPr>
            <w:tcW w:w="10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0.21</w:t>
            </w:r>
          </w:p>
        </w:tc>
        <w:tc>
          <w:tcPr>
            <w:tcW w:w="0" w:type="dxa"/>
            <w:vAlign w:val="bottom"/>
          </w:tcPr>
          <w:p>
            <w:pPr>
              <w:spacing w:after="0"/>
              <w:rPr>
                <w:sz w:val="1"/>
                <w:szCs w:val="1"/>
                <w:color w:val="auto"/>
              </w:rPr>
            </w:pPr>
          </w:p>
        </w:tc>
      </w:tr>
      <w:tr>
        <w:trPr>
          <w:trHeight w:val="156"/>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September 30, 2023</w:t>
            </w:r>
          </w:p>
        </w:tc>
        <w:tc>
          <w:tcPr>
            <w:tcW w:w="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Fourth quarter</w:t>
            </w:r>
          </w:p>
        </w:tc>
        <w:tc>
          <w:tcPr>
            <w:tcW w:w="50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7.70</w:t>
            </w:r>
          </w:p>
        </w:tc>
        <w:tc>
          <w:tcPr>
            <w:tcW w:w="38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6.92</w:t>
            </w:r>
          </w:p>
        </w:tc>
        <w:tc>
          <w:tcPr>
            <w:tcW w:w="920" w:type="dxa"/>
            <w:vAlign w:val="bottom"/>
            <w:shd w:val="clear" w:color="auto" w:fill="CCECFF"/>
          </w:tcPr>
          <w:p>
            <w:pPr>
              <w:jc w:val="right"/>
              <w:ind w:right="654"/>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5.95</w:t>
            </w:r>
          </w:p>
        </w:tc>
        <w:tc>
          <w:tcPr>
            <w:tcW w:w="146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rPr>
              <w:t>(10 )%</w:t>
            </w: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(23 )% $</w:t>
            </w:r>
          </w:p>
        </w:tc>
        <w:tc>
          <w:tcPr>
            <w:tcW w:w="10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0.21</w:t>
            </w:r>
          </w:p>
        </w:tc>
        <w:tc>
          <w:tcPr>
            <w:tcW w:w="0" w:type="dxa"/>
            <w:vAlign w:val="bottom"/>
          </w:tcPr>
          <w:p>
            <w:pPr>
              <w:spacing w:after="0"/>
              <w:rPr>
                <w:sz w:val="1"/>
                <w:szCs w:val="1"/>
                <w:color w:val="auto"/>
              </w:rPr>
            </w:pPr>
          </w:p>
        </w:tc>
      </w:tr>
      <w:tr>
        <w:trPr>
          <w:trHeight w:val="156"/>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Third quarter</w:t>
            </w:r>
          </w:p>
        </w:tc>
        <w:tc>
          <w:tcPr>
            <w:tcW w:w="5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7.72</w:t>
            </w:r>
          </w:p>
        </w:tc>
        <w:tc>
          <w:tcPr>
            <w:tcW w:w="3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6.00</w:t>
            </w:r>
          </w:p>
        </w:tc>
        <w:tc>
          <w:tcPr>
            <w:tcW w:w="920" w:type="dxa"/>
            <w:vAlign w:val="bottom"/>
          </w:tcPr>
          <w:p>
            <w:pPr>
              <w:jc w:val="right"/>
              <w:ind w:right="654"/>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4.76</w:t>
            </w: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(22 )%</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(38 )% $</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0.20</w:t>
            </w:r>
          </w:p>
        </w:tc>
        <w:tc>
          <w:tcPr>
            <w:tcW w:w="0" w:type="dxa"/>
            <w:vAlign w:val="bottom"/>
          </w:tcPr>
          <w:p>
            <w:pPr>
              <w:spacing w:after="0"/>
              <w:rPr>
                <w:sz w:val="1"/>
                <w:szCs w:val="1"/>
                <w:color w:val="auto"/>
              </w:rPr>
            </w:pPr>
          </w:p>
        </w:tc>
      </w:tr>
      <w:tr>
        <w:trPr>
          <w:trHeight w:val="156"/>
        </w:trPr>
        <w:tc>
          <w:tcPr>
            <w:tcW w:w="2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Second quarter</w:t>
            </w:r>
          </w:p>
        </w:tc>
        <w:tc>
          <w:tcPr>
            <w:tcW w:w="50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7.60</w:t>
            </w:r>
          </w:p>
        </w:tc>
        <w:tc>
          <w:tcPr>
            <w:tcW w:w="38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6.25</w:t>
            </w:r>
          </w:p>
        </w:tc>
        <w:tc>
          <w:tcPr>
            <w:tcW w:w="920" w:type="dxa"/>
            <w:vAlign w:val="bottom"/>
            <w:shd w:val="clear" w:color="auto" w:fill="CCECFF"/>
          </w:tcPr>
          <w:p>
            <w:pPr>
              <w:jc w:val="right"/>
              <w:ind w:right="654"/>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4.99</w:t>
            </w:r>
          </w:p>
        </w:tc>
        <w:tc>
          <w:tcPr>
            <w:tcW w:w="146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rPr>
              <w:t>(18 )%</w:t>
            </w: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(34 )% $</w:t>
            </w:r>
          </w:p>
        </w:tc>
        <w:tc>
          <w:tcPr>
            <w:tcW w:w="10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0.19</w:t>
            </w:r>
          </w:p>
        </w:tc>
        <w:tc>
          <w:tcPr>
            <w:tcW w:w="0" w:type="dxa"/>
            <w:vAlign w:val="bottom"/>
          </w:tcPr>
          <w:p>
            <w:pPr>
              <w:spacing w:after="0"/>
              <w:rPr>
                <w:sz w:val="1"/>
                <w:szCs w:val="1"/>
                <w:color w:val="auto"/>
              </w:rPr>
            </w:pPr>
          </w:p>
        </w:tc>
      </w:tr>
      <w:tr>
        <w:trPr>
          <w:trHeight w:val="312"/>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quarter</w:t>
            </w:r>
          </w:p>
        </w:tc>
        <w:tc>
          <w:tcPr>
            <w:tcW w:w="5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7.71</w:t>
            </w:r>
          </w:p>
        </w:tc>
        <w:tc>
          <w:tcPr>
            <w:tcW w:w="3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6.30</w:t>
            </w:r>
          </w:p>
        </w:tc>
        <w:tc>
          <w:tcPr>
            <w:tcW w:w="920" w:type="dxa"/>
            <w:vAlign w:val="bottom"/>
          </w:tcPr>
          <w:p>
            <w:pPr>
              <w:jc w:val="right"/>
              <w:ind w:right="654"/>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5.45</w:t>
            </w: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 xml:space="preserve">(18 </w:t>
            </w:r>
            <w:r>
              <w:rPr>
                <w:rFonts w:ascii="Times New Roman" w:cs="Times New Roman" w:eastAsia="Times New Roman" w:hAnsi="Times New Roman"/>
                <w:sz w:val="26"/>
                <w:szCs w:val="26"/>
                <w:color w:val="auto"/>
                <w:vertAlign w:val="subscript"/>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xml:space="preserve">(29 </w:t>
            </w:r>
            <w:r>
              <w:rPr>
                <w:rFonts w:ascii="Times New Roman" w:cs="Times New Roman" w:eastAsia="Times New Roman" w:hAnsi="Times New Roman"/>
                <w:sz w:val="26"/>
                <w:szCs w:val="26"/>
                <w:color w:val="auto"/>
                <w:vertAlign w:val="subscript"/>
              </w:rPr>
              <w:t>)% $</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0.17</w:t>
            </w:r>
          </w:p>
        </w:tc>
        <w:tc>
          <w:tcPr>
            <w:tcW w:w="0" w:type="dxa"/>
            <w:vAlign w:val="bottom"/>
          </w:tcPr>
          <w:p>
            <w:pPr>
              <w:spacing w:after="0"/>
              <w:rPr>
                <w:sz w:val="1"/>
                <w:szCs w:val="1"/>
                <w:color w:val="auto"/>
              </w:rPr>
            </w:pPr>
          </w:p>
        </w:tc>
      </w:tr>
    </w:tbl>
    <w:p>
      <w:pPr>
        <w:ind w:left="80"/>
        <w:spacing w:after="0" w:line="187" w:lineRule="auto"/>
        <w:rPr>
          <w:sz w:val="20"/>
          <w:szCs w:val="20"/>
          <w:color w:val="auto"/>
        </w:rPr>
      </w:pP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0"/>
          <w:szCs w:val="10"/>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b w:val="1"/>
          <w:bCs w:val="1"/>
          <w:color w:val="auto"/>
          <w:vertAlign w:val="superscript"/>
        </w:rPr>
        <w:t>(2)</w:t>
      </w:r>
      <w:r>
        <w:rPr>
          <w:rFonts w:ascii="Times New Roman" w:cs="Times New Roman" w:eastAsia="Times New Roman" w:hAnsi="Times New Roman"/>
          <w:sz w:val="11"/>
          <w:szCs w:val="11"/>
          <w:color w:val="auto"/>
        </w:rPr>
        <w:t>Calculated as the respective high or low closing sales price less NAV per share, divided by the quarter-end NAV per share.</w:t>
      </w:r>
    </w:p>
    <w:p>
      <w:pPr>
        <w:spacing w:after="0" w:line="71" w:lineRule="exact"/>
        <w:rPr>
          <w:sz w:val="20"/>
          <w:szCs w:val="20"/>
          <w:color w:val="auto"/>
        </w:rPr>
      </w:pPr>
    </w:p>
    <w:p>
      <w:pPr>
        <w:ind w:left="80" w:right="20" w:firstLine="420"/>
        <w:spacing w:after="0" w:line="262" w:lineRule="auto"/>
        <w:rPr>
          <w:sz w:val="20"/>
          <w:szCs w:val="20"/>
          <w:color w:val="auto"/>
        </w:rPr>
      </w:pPr>
      <w:r>
        <w:rPr>
          <w:rFonts w:ascii="Times New Roman" w:cs="Times New Roman" w:eastAsia="Times New Roman" w:hAnsi="Times New Roman"/>
          <w:sz w:val="13"/>
          <w:szCs w:val="13"/>
          <w:color w:val="auto"/>
        </w:rPr>
        <w:t>Shares of BDCs may trade at a market price both above and below the NAV that is attributable to those shares. During the periods covered in the above table, our shares have traded below our NAV. Our shares closed on the New York Stock Exchange at $6.99 and $6.58 as of September 30, 2024 and 2023, respectively. Our NAV per share was $7.56 and $ 7.70 as of September 30, 2024 and 2023,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September 30, 2024, we had eight stockholders of record.</w:t>
      </w:r>
    </w:p>
    <w:p>
      <w:pPr>
        <w:spacing w:after="0" w:line="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i w:val="1"/>
          <w:iCs w:val="1"/>
          <w:color w:val="auto"/>
        </w:rPr>
        <w:t>Sale of Unregistered Securities</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We did not engage in any sales of unregistered securities during the year ended September 30, 2024.</w:t>
      </w:r>
    </w:p>
    <w:p>
      <w:pPr>
        <w:spacing w:after="0" w:line="1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i w:val="1"/>
          <w:iCs w:val="1"/>
          <w:color w:val="auto"/>
        </w:rPr>
        <w:t>Issuer Purchases of Equity Securities</w:t>
      </w:r>
    </w:p>
    <w:p>
      <w:pPr>
        <w:spacing w:after="0" w:line="167" w:lineRule="exact"/>
        <w:rPr>
          <w:sz w:val="20"/>
          <w:szCs w:val="20"/>
          <w:color w:val="auto"/>
        </w:rPr>
      </w:pPr>
    </w:p>
    <w:p>
      <w:pPr>
        <w:ind w:left="80" w:right="40" w:firstLine="420"/>
        <w:spacing w:after="0" w:line="268" w:lineRule="auto"/>
        <w:rPr>
          <w:sz w:val="20"/>
          <w:szCs w:val="20"/>
          <w:color w:val="auto"/>
        </w:rPr>
      </w:pPr>
      <w:r>
        <w:rPr>
          <w:rFonts w:ascii="Times New Roman" w:cs="Times New Roman" w:eastAsia="Times New Roman" w:hAnsi="Times New Roman"/>
          <w:sz w:val="13"/>
          <w:szCs w:val="13"/>
          <w:color w:val="auto"/>
        </w:rPr>
        <w:t>During the year ended September 30, 2024, we did not make any repurchase of our common shares. On February 9, 2022, we announced a share repurchase program which allows us to repurchase up to $25 million of our outstanding common stock in the open market at prices below our net asset value as reported in our then most recently published consolidated financial statements. The program expired on March 31, 2023. Repurchases of our common stock under our share repurchase program were as follows:</w:t>
      </w:r>
    </w:p>
    <w:p>
      <w:pPr>
        <w:spacing w:after="0" w:line="145" w:lineRule="exact"/>
        <w:rPr>
          <w:sz w:val="20"/>
          <w:szCs w:val="20"/>
          <w:color w:val="auto"/>
        </w:rPr>
      </w:pPr>
    </w:p>
    <w:tbl>
      <w:tblPr>
        <w:tblLayout w:type="fixed"/>
        <w:tblInd w:w="80" w:type="dxa"/>
        <w:tblCellMar>
          <w:top w:w="0" w:type="dxa"/>
          <w:left w:w="0" w:type="dxa"/>
          <w:bottom w:w="0" w:type="dxa"/>
          <w:right w:w="0" w:type="dxa"/>
        </w:tblCellMar>
      </w:tblPr>
      <w:tr>
        <w:trPr>
          <w:trHeight w:val="156"/>
        </w:trPr>
        <w:tc>
          <w:tcPr>
            <w:tcW w:w="28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Total Number of Shares</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Approximate Dollar Value</w:t>
            </w:r>
          </w:p>
        </w:tc>
      </w:tr>
      <w:tr>
        <w:trPr>
          <w:trHeight w:val="156"/>
        </w:trPr>
        <w:tc>
          <w:tcPr>
            <w:tcW w:w="28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Purchased as Part of Publicly</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of Shares that May Yet Be</w:t>
            </w:r>
          </w:p>
        </w:tc>
      </w:tr>
      <w:tr>
        <w:trPr>
          <w:trHeight w:val="156"/>
        </w:trPr>
        <w:tc>
          <w:tcPr>
            <w:tcW w:w="2860" w:type="dxa"/>
            <w:vAlign w:val="bottom"/>
          </w:tcPr>
          <w:p>
            <w:pPr>
              <w:spacing w:after="0"/>
              <w:rPr>
                <w:sz w:val="13"/>
                <w:szCs w:val="13"/>
                <w:color w:val="auto"/>
              </w:rPr>
            </w:pPr>
          </w:p>
        </w:tc>
        <w:tc>
          <w:tcPr>
            <w:tcW w:w="214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Total Number of Shares</w:t>
            </w: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Announced Plans or</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Purchased Under the Plans</w:t>
            </w:r>
          </w:p>
        </w:tc>
      </w:tr>
      <w:tr>
        <w:trPr>
          <w:trHeight w:val="158"/>
        </w:trPr>
        <w:tc>
          <w:tcPr>
            <w:tcW w:w="2860" w:type="dxa"/>
            <w:vAlign w:val="bottom"/>
          </w:tcPr>
          <w:p>
            <w:pPr>
              <w:ind w:left="136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2140" w:type="dxa"/>
            <w:vAlign w:val="bottom"/>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rPr>
              <w:t>Purchased</w:t>
            </w:r>
          </w:p>
        </w:tc>
        <w:tc>
          <w:tcPr>
            <w:tcW w:w="200" w:type="dxa"/>
            <w:vAlign w:val="bottom"/>
          </w:tcPr>
          <w:p>
            <w:pPr>
              <w:spacing w:after="0"/>
              <w:rPr>
                <w:sz w:val="13"/>
                <w:szCs w:val="13"/>
                <w:color w:val="auto"/>
              </w:rPr>
            </w:pPr>
          </w:p>
        </w:tc>
        <w:tc>
          <w:tcPr>
            <w:tcW w:w="164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Average Price per Share</w:t>
            </w:r>
          </w:p>
        </w:tc>
        <w:tc>
          <w:tcPr>
            <w:tcW w:w="1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 xml:space="preserve">Programs </w:t>
            </w:r>
            <w:r>
              <w:rPr>
                <w:rFonts w:ascii="Times New Roman" w:cs="Times New Roman" w:eastAsia="Times New Roman" w:hAnsi="Times New Roman"/>
                <w:sz w:val="7"/>
                <w:szCs w:val="7"/>
                <w:b w:val="1"/>
                <w:bCs w:val="1"/>
                <w:color w:val="auto"/>
                <w:w w:val="99"/>
              </w:rPr>
              <w:t>(1)</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or Programs (in thousands)</w:t>
            </w:r>
          </w:p>
        </w:tc>
      </w:tr>
      <w:tr>
        <w:trPr>
          <w:trHeight w:val="168"/>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January 1, 2022 through March 31, 2022</w:t>
            </w:r>
          </w:p>
        </w:tc>
        <w:tc>
          <w:tcPr>
            <w:tcW w:w="21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913,454</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7.72</w:t>
            </w:r>
          </w:p>
        </w:tc>
        <w:tc>
          <w:tcPr>
            <w:tcW w:w="19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913,454</w:t>
            </w:r>
          </w:p>
        </w:tc>
        <w:tc>
          <w:tcPr>
            <w:tcW w:w="760" w:type="dxa"/>
            <w:vAlign w:val="bottom"/>
          </w:tcPr>
          <w:p>
            <w:pPr>
              <w:jc w:val="right"/>
              <w:ind w:right="51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17,944</w:t>
            </w:r>
          </w:p>
        </w:tc>
      </w:tr>
      <w:tr>
        <w:trPr>
          <w:trHeight w:val="156"/>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April 1, 2022 through June 30, 2022</w:t>
            </w:r>
          </w:p>
        </w:tc>
        <w:tc>
          <w:tcPr>
            <w:tcW w:w="214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717,709</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6.91</w:t>
            </w:r>
          </w:p>
        </w:tc>
        <w:tc>
          <w:tcPr>
            <w:tcW w:w="190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1,631,163</w:t>
            </w:r>
          </w:p>
        </w:tc>
        <w:tc>
          <w:tcPr>
            <w:tcW w:w="760" w:type="dxa"/>
            <w:vAlign w:val="bottom"/>
            <w:shd w:val="clear" w:color="auto" w:fill="CCECFF"/>
          </w:tcPr>
          <w:p>
            <w:pPr>
              <w:jc w:val="right"/>
              <w:ind w:right="51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12,986</w:t>
            </w:r>
          </w:p>
        </w:tc>
      </w:tr>
      <w:tr>
        <w:trPr>
          <w:trHeight w:val="15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July 1, 2022 through September 30, 2022</w:t>
            </w:r>
          </w:p>
        </w:tc>
        <w:tc>
          <w:tcPr>
            <w:tcW w:w="21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189,442</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6.52</w:t>
            </w:r>
          </w:p>
        </w:tc>
        <w:tc>
          <w:tcPr>
            <w:tcW w:w="19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1,820,605</w:t>
            </w:r>
          </w:p>
        </w:tc>
        <w:tc>
          <w:tcPr>
            <w:tcW w:w="760" w:type="dxa"/>
            <w:vAlign w:val="bottom"/>
          </w:tcPr>
          <w:p>
            <w:pPr>
              <w:jc w:val="right"/>
              <w:ind w:right="51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11,751</w:t>
            </w:r>
          </w:p>
        </w:tc>
      </w:tr>
      <w:tr>
        <w:trPr>
          <w:trHeight w:val="156"/>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October 1, 2022 through December 31, 2022</w:t>
            </w:r>
          </w:p>
        </w:tc>
        <w:tc>
          <w:tcPr>
            <w:tcW w:w="214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90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1,820,605</w:t>
            </w:r>
          </w:p>
        </w:tc>
        <w:tc>
          <w:tcPr>
            <w:tcW w:w="760" w:type="dxa"/>
            <w:vAlign w:val="bottom"/>
            <w:shd w:val="clear" w:color="auto" w:fill="CCECFF"/>
          </w:tcPr>
          <w:p>
            <w:pPr>
              <w:jc w:val="right"/>
              <w:ind w:right="51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11,751</w:t>
            </w:r>
          </w:p>
        </w:tc>
      </w:tr>
      <w:tr>
        <w:trPr>
          <w:trHeight w:val="15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January 1, 2023 through March 31, 2023</w:t>
            </w:r>
          </w:p>
        </w:tc>
        <w:tc>
          <w:tcPr>
            <w:tcW w:w="21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9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1,820,605</w:t>
            </w:r>
          </w:p>
        </w:tc>
        <w:tc>
          <w:tcPr>
            <w:tcW w:w="760" w:type="dxa"/>
            <w:vAlign w:val="bottom"/>
          </w:tcPr>
          <w:p>
            <w:pPr>
              <w:jc w:val="right"/>
              <w:ind w:right="51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investments</w:t>
            </w:r>
          </w:p>
        </w:tc>
        <w:tc>
          <w:tcPr>
            <w:tcW w:w="214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1,820,605</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7.28</w:t>
            </w:r>
          </w:p>
        </w:tc>
        <w:tc>
          <w:tcPr>
            <w:tcW w:w="190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1060" w:type="dxa"/>
            <w:vAlign w:val="bottom"/>
            <w:shd w:val="clear" w:color="auto" w:fill="CCECFF"/>
          </w:tcPr>
          <w:p>
            <w:pPr>
              <w:spacing w:after="0"/>
              <w:rPr>
                <w:sz w:val="13"/>
                <w:szCs w:val="13"/>
                <w:color w:val="auto"/>
              </w:rPr>
            </w:pPr>
          </w:p>
        </w:tc>
      </w:tr>
      <w:tr>
        <w:trPr>
          <w:trHeight w:val="167"/>
        </w:trPr>
        <w:tc>
          <w:tcPr>
            <w:tcW w:w="28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ind w:left="80"/>
        <w:spacing w:after="0" w:line="237" w:lineRule="auto"/>
        <w:rPr>
          <w:sz w:val="20"/>
          <w:szCs w:val="20"/>
          <w:color w:val="auto"/>
        </w:rPr>
      </w:pPr>
      <w:r>
        <w:rPr>
          <w:rFonts w:ascii="Times New Roman" w:cs="Times New Roman" w:eastAsia="Times New Roman" w:hAnsi="Times New Roman"/>
          <w:sz w:val="10"/>
          <w:szCs w:val="10"/>
          <w:color w:val="auto"/>
        </w:rPr>
        <w:t>(1)The program expired on March 31, 2023 and we purchased $1.8 million shares of our common stock in open market transaction while the program was in effect for an aggregate cost (including transaction costs) of $13.2 million.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425450</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1156" w:right="680" w:bottom="1440" w:gutter="0" w:footer="0" w:header="0"/>
        </w:sectPr>
      </w:pPr>
    </w:p>
    <w:bookmarkStart w:id="40" w:name="page41"/>
    <w:bookmarkEnd w:id="40"/>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DISTRIBUTIONS</w:t>
      </w:r>
    </w:p>
    <w:p>
      <w:pPr>
        <w:spacing w:after="0" w:line="129" w:lineRule="exact"/>
        <w:rPr>
          <w:sz w:val="20"/>
          <w:szCs w:val="20"/>
          <w:color w:val="auto"/>
        </w:rPr>
      </w:pPr>
    </w:p>
    <w:p>
      <w:pPr>
        <w:ind w:firstLine="420"/>
        <w:spacing w:after="0" w:line="265" w:lineRule="auto"/>
        <w:rPr>
          <w:sz w:val="20"/>
          <w:szCs w:val="20"/>
          <w:color w:val="auto"/>
        </w:rPr>
      </w:pPr>
      <w:r>
        <w:rPr>
          <w:rFonts w:ascii="Times New Roman" w:cs="Times New Roman" w:eastAsia="Times New Roman" w:hAnsi="Times New Roman"/>
          <w:sz w:val="13"/>
          <w:szCs w:val="13"/>
          <w:color w:val="auto"/>
        </w:rPr>
        <w:t>We intend to continue making distributions to our stockholders. The timing and amount of our distributions, if any, is determined by our board of directors. Any distributions to our stockholders are declared out of assets legally available for distribution. We monitor available net taxable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285" w:lineRule="exact"/>
        <w:rPr>
          <w:sz w:val="20"/>
          <w:szCs w:val="20"/>
          <w:color w:val="auto"/>
        </w:rPr>
      </w:pPr>
    </w:p>
    <w:p>
      <w:pPr>
        <w:ind w:right="360" w:firstLine="420"/>
        <w:spacing w:after="0" w:line="286" w:lineRule="auto"/>
        <w:rPr>
          <w:sz w:val="20"/>
          <w:szCs w:val="20"/>
          <w:color w:val="auto"/>
        </w:rPr>
      </w:pPr>
      <w:r>
        <w:rPr>
          <w:rFonts w:ascii="Times New Roman" w:cs="Times New Roman" w:eastAsia="Times New Roman" w:hAnsi="Times New Roman"/>
          <w:sz w:val="13"/>
          <w:szCs w:val="13"/>
          <w:color w:val="auto"/>
        </w:rPr>
        <w:t>In January 2025, a Form 1099 -DIV will be sent to stockholders subject to information reporting that will state the amount and composition of distributions and provide information with respect to appropriate tax treatment of our distributions.</w:t>
      </w:r>
    </w:p>
    <w:p>
      <w:pPr>
        <w:spacing w:after="0" w:line="76" w:lineRule="exact"/>
        <w:rPr>
          <w:sz w:val="20"/>
          <w:szCs w:val="20"/>
          <w:color w:val="auto"/>
        </w:rPr>
      </w:pPr>
    </w:p>
    <w:p>
      <w:pPr>
        <w:ind w:right="100" w:firstLine="420"/>
        <w:spacing w:after="0" w:line="268" w:lineRule="auto"/>
        <w:rPr>
          <w:sz w:val="20"/>
          <w:szCs w:val="20"/>
          <w:color w:val="auto"/>
        </w:rPr>
      </w:pPr>
      <w:r>
        <w:rPr>
          <w:rFonts w:ascii="Times New Roman" w:cs="Times New Roman" w:eastAsia="Times New Roman" w:hAnsi="Times New Roman"/>
          <w:sz w:val="13"/>
          <w:szCs w:val="13"/>
          <w:color w:val="auto"/>
        </w:rPr>
        <w:t>The tax characteristics of distributions declared, in accordance with Section 19(a) of the 1940 Act, during the years ended September 30, 2024 and 2023 from ordinary income (including short-term gains), if any, totaled $57.4 million and $49.6 million, or $0.88 and $0.76 per share, respectively, based on the weighted average shares outstanding for the respective years. Additionally, for both years ended September 30, 2024 and 2023, we did not pay any distribution from long-term capital gains.</w:t>
      </w:r>
    </w:p>
    <w:p>
      <w:pPr>
        <w:spacing w:after="0" w:line="87" w:lineRule="exact"/>
        <w:rPr>
          <w:sz w:val="20"/>
          <w:szCs w:val="20"/>
          <w:color w:val="auto"/>
        </w:rPr>
      </w:pPr>
    </w:p>
    <w:p>
      <w:pPr>
        <w:ind w:right="260" w:firstLine="420"/>
        <w:spacing w:after="0" w:line="286" w:lineRule="auto"/>
        <w:rPr>
          <w:sz w:val="20"/>
          <w:szCs w:val="20"/>
          <w:color w:val="auto"/>
        </w:rPr>
      </w:pPr>
      <w:r>
        <w:rPr>
          <w:rFonts w:ascii="Times New Roman" w:cs="Times New Roman" w:eastAsia="Times New Roman" w:hAnsi="Times New Roman"/>
          <w:sz w:val="13"/>
          <w:szCs w:val="13"/>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76"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Stock Performance Graph</w:t>
      </w:r>
    </w:p>
    <w:p>
      <w:pPr>
        <w:spacing w:after="0" w:line="131" w:lineRule="exact"/>
        <w:rPr>
          <w:sz w:val="20"/>
          <w:szCs w:val="20"/>
          <w:color w:val="auto"/>
        </w:rPr>
      </w:pPr>
    </w:p>
    <w:p>
      <w:pPr>
        <w:ind w:right="200" w:firstLine="420"/>
        <w:spacing w:after="0" w:line="268" w:lineRule="auto"/>
        <w:rPr>
          <w:sz w:val="20"/>
          <w:szCs w:val="20"/>
          <w:color w:val="auto"/>
        </w:rPr>
      </w:pPr>
      <w:r>
        <w:rPr>
          <w:rFonts w:ascii="Times New Roman" w:cs="Times New Roman" w:eastAsia="Times New Roman" w:hAnsi="Times New Roman"/>
          <w:sz w:val="13"/>
          <w:szCs w:val="13"/>
          <w:color w:val="auto"/>
        </w:rPr>
        <w:t>This graph compares the return on our common stock with that of the Standard &amp; Poor’s 500 Stock Index (the "S&amp;P Index") and the Russell 2000 Financial Services Index, for the last five fiscal years. The graph assumes that, on September 30, 2019, a person invested $100 in each of our common stock, the S&amp;P 500 Index, and the Russell 2000 Financial Services Index. The graph measures total stockholder return, which takes into account both changes in stock price and distributions. It assumes that distributions paid are invested in like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85725</wp:posOffset>
            </wp:positionV>
            <wp:extent cx="5335270" cy="36741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35270" cy="3674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60" w:firstLine="420"/>
        <w:spacing w:after="0" w:line="286" w:lineRule="auto"/>
        <w:rPr>
          <w:sz w:val="20"/>
          <w:szCs w:val="20"/>
          <w:color w:val="auto"/>
        </w:rPr>
      </w:pPr>
      <w:r>
        <w:rPr>
          <w:rFonts w:ascii="Times New Roman" w:cs="Times New Roman" w:eastAsia="Times New Roman" w:hAnsi="Times New Roman"/>
          <w:sz w:val="13"/>
          <w:szCs w:val="13"/>
          <w:color w:val="auto"/>
        </w:rPr>
        <w:t>The graph and other information furnished under this Part II Item 5 of this Report shall not be deemed to be “soliciting material” or to be “filed” with the SEC or subject to Regulation 14A or 14C, or to the liabilities of Section 18 of the Exchange Act. The stock price performance included in the above graph is not necessarily indicative of future stock price performance.</w:t>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156" w:right="700"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Fees and Expenses</w:t>
      </w:r>
    </w:p>
    <w:p>
      <w:pPr>
        <w:spacing w:after="0" w:line="129" w:lineRule="exact"/>
        <w:rPr>
          <w:sz w:val="20"/>
          <w:szCs w:val="20"/>
          <w:color w:val="auto"/>
        </w:rPr>
      </w:pPr>
    </w:p>
    <w:p>
      <w:pPr>
        <w:ind w:right="60" w:firstLine="420"/>
        <w:spacing w:after="0" w:line="259" w:lineRule="auto"/>
        <w:rPr>
          <w:sz w:val="20"/>
          <w:szCs w:val="20"/>
          <w:color w:val="auto"/>
        </w:rPr>
      </w:pPr>
      <w:r>
        <w:rPr>
          <w:rFonts w:ascii="Times New Roman" w:cs="Times New Roman" w:eastAsia="Times New Roman" w:hAnsi="Times New Roman"/>
          <w:sz w:val="13"/>
          <w:szCs w:val="13"/>
          <w:color w:val="auto"/>
        </w:rPr>
        <w:t>The following table is being provided to update, as of September 30, 2024, certain information in our registration statement on Form N-2 (File No. 333-263564), most recently declared effective by the SEC on April 28, 2022. 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reference is made to fees or expenses paid by “you” or “us” or that “we” will pay, stockholders will indirectly bear such fees or expenses as investors in us.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 transaction expenses</w:t>
            </w:r>
          </w:p>
        </w:tc>
        <w:tc>
          <w:tcPr>
            <w:tcW w:w="25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56"/>
        </w:trPr>
        <w:tc>
          <w:tcPr>
            <w:tcW w:w="7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Sales load (as a percentage of offering price)</w:t>
            </w:r>
          </w:p>
        </w:tc>
        <w:tc>
          <w:tcPr>
            <w:tcW w:w="2820" w:type="dxa"/>
            <w:vAlign w:val="bottom"/>
            <w:gridSpan w:val="2"/>
            <w:shd w:val="clear" w:color="auto" w:fill="CCECFF"/>
          </w:tcPr>
          <w:p>
            <w:pPr>
              <w:jc w:val="right"/>
              <w:ind w:right="58"/>
              <w:spacing w:after="0" w:line="156" w:lineRule="exact"/>
              <w:rPr>
                <w:sz w:val="20"/>
                <w:szCs w:val="20"/>
                <w:color w:val="auto"/>
              </w:rPr>
            </w:pPr>
            <w:r>
              <w:rPr>
                <w:rFonts w:ascii="Times New Roman" w:cs="Times New Roman" w:eastAsia="Times New Roman" w:hAnsi="Times New Roman"/>
                <w:sz w:val="18"/>
                <w:szCs w:val="18"/>
                <w:color w:val="auto"/>
                <w:vertAlign w:val="subscript"/>
              </w:rPr>
              <w:t>— %</w:t>
            </w:r>
            <w:r>
              <w:rPr>
                <w:rFonts w:ascii="Times New Roman" w:cs="Times New Roman" w:eastAsia="Times New Roman" w:hAnsi="Times New Roman"/>
                <w:sz w:val="7"/>
                <w:szCs w:val="7"/>
                <w:color w:val="auto"/>
              </w:rPr>
              <w:t>(1)</w:t>
            </w:r>
          </w:p>
        </w:tc>
      </w:tr>
      <w:tr>
        <w:trPr>
          <w:trHeight w:val="156"/>
        </w:trPr>
        <w:tc>
          <w:tcPr>
            <w:tcW w:w="7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Offering expenses (as a percentage of offering price)</w:t>
            </w:r>
          </w:p>
        </w:tc>
        <w:tc>
          <w:tcPr>
            <w:tcW w:w="2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(2)</w:t>
            </w:r>
          </w:p>
        </w:tc>
      </w:tr>
      <w:tr>
        <w:trPr>
          <w:trHeight w:val="156"/>
        </w:trPr>
        <w:tc>
          <w:tcPr>
            <w:tcW w:w="7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Dividend reinvestment plan expenses</w:t>
            </w:r>
          </w:p>
        </w:tc>
        <w:tc>
          <w:tcPr>
            <w:tcW w:w="2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jc w:val="right"/>
              <w:ind w:right="58"/>
              <w:spacing w:after="0"/>
              <w:rPr>
                <w:sz w:val="20"/>
                <w:szCs w:val="20"/>
                <w:color w:val="auto"/>
              </w:rPr>
            </w:pPr>
            <w:r>
              <w:rPr>
                <w:rFonts w:ascii="Times New Roman" w:cs="Times New Roman" w:eastAsia="Times New Roman" w:hAnsi="Times New Roman"/>
                <w:sz w:val="8"/>
                <w:szCs w:val="8"/>
                <w:color w:val="auto"/>
              </w:rPr>
              <w:t>(3)</w:t>
            </w:r>
          </w:p>
        </w:tc>
      </w:tr>
      <w:tr>
        <w:trPr>
          <w:trHeight w:val="156"/>
        </w:trPr>
        <w:tc>
          <w:tcPr>
            <w:tcW w:w="7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stockholder expenses (as a percentage of offering price)</w:t>
            </w:r>
          </w:p>
        </w:tc>
        <w:tc>
          <w:tcPr>
            <w:tcW w:w="2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r>
      <w:tr>
        <w:trPr>
          <w:trHeight w:val="156"/>
        </w:trPr>
        <w:tc>
          <w:tcPr>
            <w:tcW w:w="774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3"/>
                <w:szCs w:val="13"/>
                <w:b w:val="1"/>
                <w:bCs w:val="1"/>
                <w:color w:val="auto"/>
              </w:rPr>
              <w:t>Estimated annual expenses (as a percentage of average net assets attributable to common shares)</w:t>
            </w:r>
            <w:r>
              <w:rPr>
                <w:rFonts w:ascii="Times New Roman" w:cs="Times New Roman" w:eastAsia="Times New Roman" w:hAnsi="Times New Roman"/>
                <w:sz w:val="16"/>
                <w:szCs w:val="16"/>
                <w:b w:val="1"/>
                <w:bCs w:val="1"/>
                <w:color w:val="auto"/>
                <w:vertAlign w:val="superscript"/>
              </w:rPr>
              <w:t>(4)</w:t>
            </w:r>
          </w:p>
        </w:tc>
        <w:tc>
          <w:tcPr>
            <w:tcW w:w="25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r>
      <w:tr>
        <w:trPr>
          <w:trHeight w:val="156"/>
        </w:trPr>
        <w:tc>
          <w:tcPr>
            <w:tcW w:w="7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Management fees</w:t>
            </w:r>
          </w:p>
        </w:tc>
        <w:tc>
          <w:tcPr>
            <w:tcW w:w="2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26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(5)</w:t>
            </w:r>
          </w:p>
        </w:tc>
      </w:tr>
      <w:tr>
        <w:trPr>
          <w:trHeight w:val="156"/>
        </w:trPr>
        <w:tc>
          <w:tcPr>
            <w:tcW w:w="7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Incentive fees</w:t>
            </w:r>
          </w:p>
        </w:tc>
        <w:tc>
          <w:tcPr>
            <w:tcW w:w="2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260" w:type="dxa"/>
            <w:vAlign w:val="bottom"/>
            <w:shd w:val="clear" w:color="auto" w:fill="CCECFF"/>
          </w:tcPr>
          <w:p>
            <w:pPr>
              <w:jc w:val="right"/>
              <w:ind w:right="58"/>
              <w:spacing w:after="0"/>
              <w:rPr>
                <w:sz w:val="20"/>
                <w:szCs w:val="20"/>
                <w:color w:val="auto"/>
              </w:rPr>
            </w:pPr>
            <w:r>
              <w:rPr>
                <w:rFonts w:ascii="Times New Roman" w:cs="Times New Roman" w:eastAsia="Times New Roman" w:hAnsi="Times New Roman"/>
                <w:sz w:val="8"/>
                <w:szCs w:val="8"/>
                <w:color w:val="auto"/>
              </w:rPr>
              <w:t>(6)</w:t>
            </w:r>
          </w:p>
        </w:tc>
      </w:tr>
      <w:tr>
        <w:trPr>
          <w:trHeight w:val="156"/>
        </w:trPr>
        <w:tc>
          <w:tcPr>
            <w:tcW w:w="7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on borrowed funds</w:t>
            </w:r>
          </w:p>
        </w:tc>
        <w:tc>
          <w:tcPr>
            <w:tcW w:w="2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9.06</w:t>
            </w:r>
          </w:p>
        </w:tc>
        <w:tc>
          <w:tcPr>
            <w:tcW w:w="26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(7)</w:t>
            </w:r>
          </w:p>
        </w:tc>
      </w:tr>
      <w:tr>
        <w:trPr>
          <w:trHeight w:val="156"/>
        </w:trPr>
        <w:tc>
          <w:tcPr>
            <w:tcW w:w="7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Acquired fund fees and expenses</w:t>
            </w:r>
          </w:p>
        </w:tc>
        <w:tc>
          <w:tcPr>
            <w:tcW w:w="2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11.21</w:t>
            </w:r>
          </w:p>
        </w:tc>
        <w:tc>
          <w:tcPr>
            <w:tcW w:w="260" w:type="dxa"/>
            <w:vAlign w:val="bottom"/>
            <w:shd w:val="clear" w:color="auto" w:fill="CCECFF"/>
          </w:tcPr>
          <w:p>
            <w:pPr>
              <w:jc w:val="right"/>
              <w:ind w:right="58"/>
              <w:spacing w:after="0"/>
              <w:rPr>
                <w:sz w:val="20"/>
                <w:szCs w:val="20"/>
                <w:color w:val="auto"/>
              </w:rPr>
            </w:pPr>
            <w:r>
              <w:rPr>
                <w:rFonts w:ascii="Times New Roman" w:cs="Times New Roman" w:eastAsia="Times New Roman" w:hAnsi="Times New Roman"/>
                <w:sz w:val="8"/>
                <w:szCs w:val="8"/>
                <w:color w:val="auto"/>
              </w:rPr>
              <w:t>(8)</w:t>
            </w:r>
          </w:p>
        </w:tc>
      </w:tr>
      <w:tr>
        <w:trPr>
          <w:trHeight w:val="156"/>
        </w:trPr>
        <w:tc>
          <w:tcPr>
            <w:tcW w:w="7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expenses</w:t>
            </w:r>
          </w:p>
        </w:tc>
        <w:tc>
          <w:tcPr>
            <w:tcW w:w="2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26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(9)</w:t>
            </w:r>
          </w:p>
        </w:tc>
      </w:tr>
      <w:tr>
        <w:trPr>
          <w:trHeight w:val="156"/>
        </w:trPr>
        <w:tc>
          <w:tcPr>
            <w:tcW w:w="7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Total estimated annual expenses</w:t>
            </w:r>
          </w:p>
        </w:tc>
        <w:tc>
          <w:tcPr>
            <w:tcW w:w="2820" w:type="dxa"/>
            <w:vAlign w:val="bottom"/>
            <w:gridSpan w:val="2"/>
            <w:shd w:val="clear" w:color="auto" w:fill="CCECFF"/>
          </w:tcPr>
          <w:p>
            <w:pPr>
              <w:jc w:val="right"/>
              <w:ind w:right="18"/>
              <w:spacing w:after="0" w:line="156" w:lineRule="exact"/>
              <w:rPr>
                <w:sz w:val="20"/>
                <w:szCs w:val="20"/>
                <w:color w:val="auto"/>
              </w:rPr>
            </w:pPr>
            <w:r>
              <w:rPr>
                <w:rFonts w:ascii="Times New Roman" w:cs="Times New Roman" w:eastAsia="Times New Roman" w:hAnsi="Times New Roman"/>
                <w:sz w:val="13"/>
                <w:szCs w:val="13"/>
                <w:color w:val="auto"/>
              </w:rPr>
              <w:t>28.00 %</w:t>
            </w:r>
            <w:r>
              <w:rPr>
                <w:rFonts w:ascii="Times New Roman" w:cs="Times New Roman" w:eastAsia="Times New Roman" w:hAnsi="Times New Roman"/>
                <w:sz w:val="16"/>
                <w:szCs w:val="16"/>
                <w:color w:val="auto"/>
                <w:vertAlign w:val="superscript"/>
              </w:rPr>
              <w:t>(10)</w:t>
            </w:r>
          </w:p>
        </w:tc>
      </w:tr>
      <w:tr>
        <w:trPr>
          <w:trHeight w:val="120"/>
        </w:trPr>
        <w:tc>
          <w:tcPr>
            <w:tcW w:w="774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(1)In the event that the securities to which any applicable prospectus relates are sold to or through underwriters or agents, a corresponding prospectus supplement will disclose the applicable sales load.</w:t>
      </w:r>
    </w:p>
    <w:p>
      <w:pPr>
        <w:spacing w:after="0" w:line="10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1"/>
          <w:szCs w:val="11"/>
          <w:color w:val="auto"/>
        </w:rPr>
        <w:t>(2)In the event that we conduct an offering of our securities, a corresponding prospectus supplement will disclose the estimated amount of offering expenses, the offering price and the offering expenses borne by us as a percentage of the offering price.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(3)The expenses of the dividend reinvestment plan are included in “Other expenses.”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(4)Net assets attributable to common shares equals average net assets as of September 30, 2024.</w:t>
      </w:r>
    </w:p>
    <w:p>
      <w:pPr>
        <w:spacing w:after="0" w:line="102"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1"/>
          <w:szCs w:val="11"/>
          <w:color w:val="auto"/>
        </w:rPr>
        <w:t>(5)The contractual management fee is calculated at an annual rate of 1.50% of our average adjusted gross assets up to 200% of the Company’s total net assets as of the immediately preceding quarter-end and 1.00% for amounts that exceed such amount on September 30, 2024. See “Business—Investment Management Agreement” and “Business—Management Fees” for more information.</w:t>
      </w:r>
    </w:p>
    <w:p>
      <w:pPr>
        <w:spacing w:after="0" w:line="6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1"/>
          <w:szCs w:val="11"/>
          <w:color w:val="auto"/>
        </w:rPr>
        <w:t>(6)The portion of incentive fees paid with respect to net investment income and capital gains, if any, is based on actual amounts incurred during the fiscal year ended September 30, 2024 .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17.5%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GAAP. As we cannot predict our future net investment income or capital gains, the incentive fee paid in future periods, if any, may be substantially different than the fee earned during the fiscal year ended September 30, 2024. For more detailed information about the incentive fee, please see “Business—Investment Management Agreement” and “Business—Management Fees” for more information.</w:t>
      </w:r>
    </w:p>
    <w:p>
      <w:pPr>
        <w:spacing w:after="0" w:line="8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1"/>
          <w:szCs w:val="11"/>
          <w:color w:val="auto"/>
        </w:rPr>
        <w:t>(7)As of September 30, 2024, we had $13.5 million of unused borrowing capacity, subject to maintenance of the applicable total assets to debt ratio, under the 1940 Act. As of such date, we had $461.5 million in borrowings outstanding under our $475.0 million Truist Credit Facility, $150.0 million in aggregate principal of 2026 Notes and $165.0 million in aggregate principal of 2026-2 Notes. We may use proceeds of any offering of securities under any applicable registration statement to repay outstanding obligations under our Truist Credit Facility. After completing any such offering, we may continue to borrow under our Truist Credit Facility to finance our investment objectives. Annual interest expense on borrowed funds represents actual interest expense incurred for the fiscal year ended September 30, 2024 and amendment costs and make-whole premiums, if any, and we caution you that our actual interest expense will depend on prevailing interest rates and our rate of borrowing, which may be substantially higher than the estimate provided in this table.</w:t>
      </w:r>
    </w:p>
    <w:p>
      <w:pPr>
        <w:spacing w:after="0" w:line="7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1"/>
          <w:szCs w:val="11"/>
          <w:color w:val="auto"/>
        </w:rPr>
        <w:t>(8)Our stockholders indirectly bear 60.5% of the expenses of our investment in PSLF. No management fee is charged by PennantPark Investment Advisers in connection with PSLF. PSLF pays the Administrator an annual fee of 0.25% of average gross assets under management. For this chart, PSLF fees and operating expenses are based on our share of the actual fees and operating expenses of PSLF for the fiscal year ended September 30, 2024. Expenses for PSLF may fluctuate over time and may be substantially higher or lower in the future.</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1"/>
          <w:szCs w:val="11"/>
          <w:color w:val="auto"/>
        </w:rPr>
        <w:t>Our stockholders indirectly bear 23.1% of the expenses of our investment in PTSF II. A management fee equal to 0.50% per annum of the gross assets of PTSF II and its subsidiaries is charged by</w:t>
      </w:r>
    </w:p>
    <w:p>
      <w:pPr>
        <w:spacing w:after="0" w:line="6" w:lineRule="exact"/>
        <w:rPr>
          <w:sz w:val="20"/>
          <w:szCs w:val="20"/>
          <w:color w:val="auto"/>
        </w:rPr>
      </w:pPr>
    </w:p>
    <w:p>
      <w:pPr>
        <w:ind w:left="360"/>
        <w:spacing w:after="0" w:line="255" w:lineRule="auto"/>
        <w:rPr>
          <w:sz w:val="20"/>
          <w:szCs w:val="20"/>
          <w:color w:val="auto"/>
        </w:rPr>
      </w:pPr>
      <w:r>
        <w:rPr>
          <w:rFonts w:ascii="Times New Roman" w:cs="Times New Roman" w:eastAsia="Times New Roman" w:hAnsi="Times New Roman"/>
          <w:sz w:val="11"/>
          <w:szCs w:val="11"/>
          <w:color w:val="auto"/>
        </w:rPr>
        <w:t>PennantPark Investment Advisers in connection with PTSF II, and the entity is subject to an incentive fee of 20% of residual income proceeds after the internal rate of return on the equity has reached at least 12%. For this chart, PTSF II fees and operating expenses are based on our share of the actual fees and operating expenses of PTSF II for the fiscal year ended September 30, 2024. Expenses for PTSF II may fluctuate over time and may be substantially higher or lower in the future.</w:t>
      </w:r>
    </w:p>
    <w:p>
      <w:pPr>
        <w:spacing w:after="0" w:line="81"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1"/>
          <w:szCs w:val="11"/>
          <w:color w:val="auto"/>
        </w:rPr>
        <w:t>(9)“Other expenses” includes our general and administrative expenses, professional fees, directors’ fees, insurance costs, taxes, expenses of our dividend reinvestment plan and the expenses of the Investment Adviser reimbursable under our Investment Management Agreement and of the Administrator reimbursable under our Administration Agreement.</w:t>
      </w:r>
    </w:p>
    <w:p>
      <w:pPr>
        <w:spacing w:after="0" w:line="6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1"/>
          <w:szCs w:val="11"/>
          <w:color w:val="auto"/>
        </w:rPr>
        <w:t>(10)“Total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net assets (defined as total assets less indebtedness) rather than total assets, which include assets that have been funded with borrowed money. If the “Total estimated annual expenses” percentage were calculated instead as a percentage of total assets, our “Total estimated annual expenses” would be 11.23% of average total assets.</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3"/>
          <w:szCs w:val="13"/>
          <w:b w:val="1"/>
          <w:bCs w:val="1"/>
          <w:color w:val="auto"/>
        </w:rPr>
        <w:t>Example</w:t>
      </w:r>
    </w:p>
    <w:p>
      <w:pPr>
        <w:spacing w:after="0" w:line="105" w:lineRule="exact"/>
        <w:rPr>
          <w:sz w:val="20"/>
          <w:szCs w:val="20"/>
          <w:color w:val="auto"/>
        </w:rPr>
      </w:pPr>
    </w:p>
    <w:p>
      <w:pPr>
        <w:jc w:val="both"/>
        <w:ind w:right="40" w:firstLine="432"/>
        <w:spacing w:after="0" w:line="268" w:lineRule="auto"/>
        <w:rPr>
          <w:sz w:val="20"/>
          <w:szCs w:val="20"/>
          <w:color w:val="auto"/>
        </w:rPr>
      </w:pPr>
      <w:r>
        <w:rPr>
          <w:rFonts w:ascii="Times New Roman" w:cs="Times New Roman" w:eastAsia="Times New Roman" w:hAnsi="Times New Roman"/>
          <w:sz w:val="13"/>
          <w:szCs w:val="13"/>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0.5%, (2) total net annual expenses of 25.5% of average net assets attributable to common shares as set forth in the table above (other than performance-based incentive fees) and (3) a 5% annual return.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You would pay the following expenses on a $1,000 common stock investment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 Years</w:t>
            </w: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 Years</w:t>
            </w: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 Years</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10 Years</w:t>
            </w:r>
          </w:p>
        </w:tc>
      </w:tr>
      <w:tr>
        <w:trPr>
          <w:trHeight w:val="156"/>
        </w:trPr>
        <w:tc>
          <w:tcPr>
            <w:tcW w:w="6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Assuming a 5% annual return (assumes no return from net realized capital gains or net</w:t>
            </w:r>
          </w:p>
        </w:tc>
        <w:tc>
          <w:tcPr>
            <w:tcW w:w="78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r>
      <w:tr>
        <w:trPr>
          <w:trHeight w:val="156"/>
        </w:trPr>
        <w:tc>
          <w:tcPr>
            <w:tcW w:w="62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unrealized capital appreciation)</w:t>
            </w:r>
          </w:p>
        </w:tc>
        <w:tc>
          <w:tcPr>
            <w:tcW w:w="780" w:type="dxa"/>
            <w:vAlign w:val="bottom"/>
            <w:shd w:val="clear" w:color="auto" w:fill="CCECFF"/>
          </w:tcPr>
          <w:p>
            <w:pPr>
              <w:jc w:val="right"/>
              <w:ind w:right="514"/>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2"/>
              </w:rPr>
              <w:t>255</w:t>
            </w:r>
          </w:p>
        </w:tc>
        <w:tc>
          <w:tcPr>
            <w:tcW w:w="760" w:type="dxa"/>
            <w:vAlign w:val="bottom"/>
            <w:shd w:val="clear" w:color="auto" w:fill="CCECFF"/>
          </w:tcPr>
          <w:p>
            <w:pPr>
              <w:jc w:val="right"/>
              <w:ind w:right="514"/>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2"/>
              </w:rPr>
              <w:t>570</w:t>
            </w:r>
          </w:p>
        </w:tc>
        <w:tc>
          <w:tcPr>
            <w:tcW w:w="760" w:type="dxa"/>
            <w:vAlign w:val="bottom"/>
            <w:shd w:val="clear" w:color="auto" w:fill="CCECFF"/>
          </w:tcPr>
          <w:p>
            <w:pPr>
              <w:jc w:val="right"/>
              <w:ind w:right="494"/>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w w:val="92"/>
              </w:rPr>
              <w:t>770</w:t>
            </w:r>
          </w:p>
        </w:tc>
        <w:tc>
          <w:tcPr>
            <w:tcW w:w="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1,004</w:t>
            </w:r>
          </w:p>
        </w:tc>
      </w:tr>
      <w:tr>
        <w:trPr>
          <w:trHeight w:val="144"/>
        </w:trPr>
        <w:tc>
          <w:tcPr>
            <w:tcW w:w="62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Assuming a 5% annual return (assumes return only from realized capital gains and thus</w:t>
            </w: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72"/>
        </w:trPr>
        <w:tc>
          <w:tcPr>
            <w:tcW w:w="6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subject to the capital gains incentive fee)</w:t>
            </w:r>
          </w:p>
        </w:tc>
        <w:tc>
          <w:tcPr>
            <w:tcW w:w="780" w:type="dxa"/>
            <w:vAlign w:val="bottom"/>
          </w:tcPr>
          <w:p>
            <w:pPr>
              <w:jc w:val="right"/>
              <w:ind w:right="514"/>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2"/>
              </w:rPr>
              <w:t>263</w:t>
            </w:r>
          </w:p>
        </w:tc>
        <w:tc>
          <w:tcPr>
            <w:tcW w:w="760" w:type="dxa"/>
            <w:vAlign w:val="bottom"/>
          </w:tcPr>
          <w:p>
            <w:pPr>
              <w:jc w:val="right"/>
              <w:ind w:right="514"/>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2"/>
              </w:rPr>
              <w:t>582</w:t>
            </w:r>
          </w:p>
        </w:tc>
        <w:tc>
          <w:tcPr>
            <w:tcW w:w="76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2"/>
              </w:rPr>
              <w:t>780</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1,002</w:t>
            </w:r>
          </w:p>
        </w:tc>
      </w:tr>
    </w:tbl>
    <w:p>
      <w:pPr>
        <w:spacing w:after="0" w:line="188" w:lineRule="exact"/>
        <w:rPr>
          <w:sz w:val="20"/>
          <w:szCs w:val="20"/>
          <w:color w:val="auto"/>
        </w:rPr>
      </w:pPr>
    </w:p>
    <w:p>
      <w:pPr>
        <w:ind w:firstLine="420"/>
        <w:spacing w:after="0" w:line="257" w:lineRule="auto"/>
        <w:rPr>
          <w:sz w:val="20"/>
          <w:szCs w:val="20"/>
          <w:color w:val="auto"/>
        </w:rPr>
      </w:pPr>
      <w:r>
        <w:rPr>
          <w:rFonts w:ascii="Times New Roman" w:cs="Times New Roman" w:eastAsia="Times New Roman" w:hAnsi="Times New Roman"/>
          <w:sz w:val="13"/>
          <w:szCs w:val="13"/>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returns on our investments, including realized capital gains, result in an incentive fee, our expenses, and returns to investors, would be higher. The example assumes that all distributions are reinvested at NAV. Reinvestment of distributions under our dividend reinvestment plan may occur at a price per share that differs from NAV. See “Distributions” for more information.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43" w:name="page44"/>
    <w:bookmarkEnd w:id="43"/>
    <w:p>
      <w:pPr>
        <w:jc w:val="center"/>
        <w:ind w:right="8140"/>
        <w:spacing w:after="0"/>
        <w:rPr>
          <w:sz w:val="20"/>
          <w:szCs w:val="20"/>
          <w:color w:val="auto"/>
        </w:rPr>
      </w:pPr>
      <w:r>
        <w:rPr>
          <w:rFonts w:ascii="Times New Roman" w:cs="Times New Roman" w:eastAsia="Times New Roman" w:hAnsi="Times New Roman"/>
          <w:sz w:val="13"/>
          <w:szCs w:val="13"/>
          <w:b w:val="1"/>
          <w:bCs w:val="1"/>
          <w:color w:val="auto"/>
        </w:rPr>
        <w:t>Item 6. Selected Financial Data</w:t>
      </w:r>
    </w:p>
    <w:p>
      <w:pPr>
        <w:spacing w:after="0" w:line="129" w:lineRule="exact"/>
        <w:rPr>
          <w:sz w:val="20"/>
          <w:szCs w:val="20"/>
          <w:color w:val="auto"/>
        </w:rPr>
      </w:pPr>
    </w:p>
    <w:p>
      <w:pPr>
        <w:jc w:val="center"/>
        <w:ind w:right="8080"/>
        <w:spacing w:after="0"/>
        <w:rPr>
          <w:sz w:val="20"/>
          <w:szCs w:val="20"/>
          <w:color w:val="auto"/>
        </w:rPr>
      </w:pPr>
      <w:r>
        <w:rPr>
          <w:rFonts w:ascii="Times New Roman" w:cs="Times New Roman" w:eastAsia="Times New Roman" w:hAnsi="Times New Roman"/>
          <w:sz w:val="13"/>
          <w:szCs w:val="13"/>
          <w:color w:val="auto"/>
        </w:rPr>
        <w:t>Not applicable</w:t>
      </w:r>
    </w:p>
    <w:p>
      <w:pPr>
        <w:spacing w:after="0" w:line="199" w:lineRule="exact"/>
        <w:rPr>
          <w:sz w:val="20"/>
          <w:szCs w:val="20"/>
          <w:color w:val="auto"/>
        </w:rPr>
      </w:pPr>
    </w:p>
    <w:p>
      <w:pPr>
        <w:jc w:val="right"/>
        <w:ind w:right="4440"/>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425450</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80"/>
          </w:cols>
          <w:pgMar w:left="580" w:top="1156" w:right="1440" w:bottom="1440" w:gutter="0" w:footer="0" w:header="0"/>
        </w:sectPr>
      </w:pPr>
    </w:p>
    <w:bookmarkStart w:id="44" w:name="page45"/>
    <w:bookmarkEnd w:id="44"/>
    <w:p>
      <w:pPr>
        <w:ind w:right="3280"/>
        <w:spacing w:after="0" w:line="444" w:lineRule="auto"/>
        <w:rPr>
          <w:sz w:val="20"/>
          <w:szCs w:val="20"/>
          <w:color w:val="auto"/>
        </w:rPr>
      </w:pPr>
      <w:r>
        <w:rPr>
          <w:rFonts w:ascii="Times New Roman" w:cs="Times New Roman" w:eastAsia="Times New Roman" w:hAnsi="Times New Roman"/>
          <w:sz w:val="13"/>
          <w:szCs w:val="13"/>
          <w:b w:val="1"/>
          <w:bCs w:val="1"/>
          <w:color w:val="auto"/>
        </w:rPr>
        <w:t>Item 7. MANAGEMENT’S DISCUSSION AND ANALYSIS OF FINANCIAL CONDITION AND RESULTS OF OPERATIONS FORWARD-LOOKING STATEMENTS</w:t>
      </w:r>
    </w:p>
    <w:p>
      <w:pPr>
        <w:spacing w:after="0" w:line="1"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•our future operating results;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•our business prospects and the prospects of our prospective portfolio companies;</w:t>
      </w:r>
    </w:p>
    <w:p>
      <w:pPr>
        <w:spacing w:after="0" w:line="127" w:lineRule="exact"/>
        <w:rPr>
          <w:sz w:val="20"/>
          <w:szCs w:val="20"/>
          <w:color w:val="auto"/>
        </w:rPr>
      </w:pPr>
    </w:p>
    <w:p>
      <w:pPr>
        <w:ind w:left="540" w:right="160"/>
        <w:spacing w:after="0" w:line="286" w:lineRule="auto"/>
        <w:rPr>
          <w:sz w:val="20"/>
          <w:szCs w:val="20"/>
          <w:color w:val="auto"/>
        </w:rPr>
      </w:pPr>
      <w:r>
        <w:rPr>
          <w:rFonts w:ascii="Times New Roman" w:cs="Times New Roman" w:eastAsia="Times New Roman" w:hAnsi="Times New Roman"/>
          <w:sz w:val="13"/>
          <w:szCs w:val="13"/>
          <w:color w:val="auto"/>
        </w:rPr>
        <w:t>•changes in political, economic or industry conditions, the interest rate environment or conditions affecting the financial and capital markets that could result in changes to the value of our assets;</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dependence of our future success on the general economy and its impact on the industries in which we invest;</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impact of a protracted decline in the liquidity of credit markets on our business;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impact of investments that we expect to make;</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impact of fluctuations in interest rates and foreign exchange rates on our business and our portfolio companies;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•our contractual arrangements and relationships with third parties;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valuation of our investments in portfolio companies, particularly those having no liquid trading market;</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ability of our prospective portfolio companies to achieve their objectives;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•our expected financings and investments;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adequacy of our cash resources and working capital;</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timing of cash flows, if any, from the operations of our prospective portfolio companies;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impact of price and volume fluctuations in the stock market;</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•increasing levels of inflation, and its impact on us and our portfolio companies;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ability of our Investment Adviser to locate suitable investments for us and to monitor and administer our investments;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impact of future legislation and regulation on our business and our portfolio companies;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impact of the ongoing world economic and political issues; and</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inability to develop and maintain effective internal control over financial reporting.</w:t>
      </w:r>
    </w:p>
    <w:p>
      <w:pPr>
        <w:spacing w:after="0" w:line="127" w:lineRule="exact"/>
        <w:rPr>
          <w:sz w:val="20"/>
          <w:szCs w:val="20"/>
          <w:color w:val="auto"/>
        </w:rPr>
      </w:pPr>
    </w:p>
    <w:p>
      <w:pPr>
        <w:ind w:right="20" w:firstLine="420"/>
        <w:spacing w:after="0" w:line="268" w:lineRule="auto"/>
        <w:rPr>
          <w:sz w:val="20"/>
          <w:szCs w:val="20"/>
          <w:color w:val="auto"/>
        </w:rPr>
      </w:pPr>
      <w:r>
        <w:rPr>
          <w:rFonts w:ascii="Times New Roman" w:cs="Times New Roman" w:eastAsia="Times New Roman" w:hAnsi="Times New Roman"/>
          <w:sz w:val="13"/>
          <w:szCs w:val="13"/>
          <w:color w:val="auto"/>
        </w:rPr>
        <w:t>We use words such as “anticipates,” “believes,” “expects,” “intends,” “seeks,” “plans,” “estimates” and similar expressions to identify forward- 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87" w:lineRule="exact"/>
        <w:rPr>
          <w:sz w:val="20"/>
          <w:szCs w:val="20"/>
          <w:color w:val="auto"/>
        </w:rPr>
      </w:pPr>
    </w:p>
    <w:p>
      <w:pPr>
        <w:ind w:right="280" w:firstLine="420"/>
        <w:spacing w:after="0" w:line="262" w:lineRule="auto"/>
        <w:rPr>
          <w:sz w:val="20"/>
          <w:szCs w:val="20"/>
          <w:color w:val="auto"/>
        </w:rPr>
      </w:pPr>
      <w:r>
        <w:rPr>
          <w:rFonts w:ascii="Times New Roman" w:cs="Times New Roman" w:eastAsia="Times New Roman" w:hAnsi="Times New Roman"/>
          <w:sz w:val="13"/>
          <w:szCs w:val="13"/>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 looking statement in this Report should not be regarded as a representation by us that our plans and objectives will be achieved.</w:t>
      </w:r>
    </w:p>
    <w:p>
      <w:pPr>
        <w:spacing w:after="0" w:line="91" w:lineRule="exact"/>
        <w:rPr>
          <w:sz w:val="20"/>
          <w:szCs w:val="20"/>
          <w:color w:val="auto"/>
        </w:rPr>
      </w:pPr>
    </w:p>
    <w:p>
      <w:pPr>
        <w:ind w:right="40" w:firstLine="420"/>
        <w:spacing w:after="0" w:line="265" w:lineRule="auto"/>
        <w:rPr>
          <w:sz w:val="20"/>
          <w:szCs w:val="20"/>
          <w:color w:val="auto"/>
        </w:rPr>
      </w:pPr>
      <w:r>
        <w:rPr>
          <w:rFonts w:ascii="Times New Roman" w:cs="Times New Roman" w:eastAsia="Times New Roman" w:hAnsi="Times New Roman"/>
          <w:sz w:val="13"/>
          <w:szCs w:val="13"/>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 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249" w:lineRule="exact"/>
        <w:rPr>
          <w:sz w:val="20"/>
          <w:szCs w:val="20"/>
          <w:color w:val="auto"/>
        </w:rPr>
      </w:pPr>
    </w:p>
    <w:p>
      <w:pPr>
        <w:ind w:right="160" w:firstLine="420"/>
        <w:spacing w:after="0" w:line="286" w:lineRule="auto"/>
        <w:rPr>
          <w:sz w:val="20"/>
          <w:szCs w:val="20"/>
          <w:color w:val="auto"/>
        </w:rPr>
      </w:pPr>
      <w:r>
        <w:rPr>
          <w:rFonts w:ascii="Times New Roman" w:cs="Times New Roman" w:eastAsia="Times New Roman" w:hAnsi="Times New Roman"/>
          <w:sz w:val="13"/>
          <w:szCs w:val="13"/>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76" w:lineRule="exact"/>
        <w:rPr>
          <w:sz w:val="20"/>
          <w:szCs w:val="20"/>
          <w:color w:val="auto"/>
        </w:rPr>
      </w:pPr>
    </w:p>
    <w:p>
      <w:pPr>
        <w:ind w:right="220" w:firstLine="420"/>
        <w:spacing w:after="0" w:line="286" w:lineRule="auto"/>
        <w:rPr>
          <w:sz w:val="20"/>
          <w:szCs w:val="20"/>
          <w:color w:val="auto"/>
        </w:rPr>
      </w:pPr>
      <w:r>
        <w:rPr>
          <w:rFonts w:ascii="Times New Roman" w:cs="Times New Roman" w:eastAsia="Times New Roman" w:hAnsi="Times New Roman"/>
          <w:sz w:val="13"/>
          <w:szCs w:val="13"/>
          <w:color w:val="auto"/>
        </w:rPr>
        <w:t>The following analysis of our financial condition and results of operations should be read in conjunction with our Consolidated Financial Statements and the related notes thereto contained elsewhere in this Report.</w:t>
      </w:r>
    </w:p>
    <w:p>
      <w:pPr>
        <w:spacing w:after="0" w:line="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i w:val="1"/>
          <w:iCs w:val="1"/>
          <w:color w:val="auto"/>
        </w:rPr>
        <w:t>Overview</w:t>
      </w:r>
    </w:p>
    <w:p>
      <w:pPr>
        <w:spacing w:after="0" w:line="131" w:lineRule="exact"/>
        <w:rPr>
          <w:sz w:val="20"/>
          <w:szCs w:val="20"/>
          <w:color w:val="auto"/>
        </w:rPr>
      </w:pPr>
    </w:p>
    <w:p>
      <w:pPr>
        <w:ind w:right="480" w:firstLine="420"/>
        <w:spacing w:after="0" w:line="286" w:lineRule="auto"/>
        <w:rPr>
          <w:sz w:val="20"/>
          <w:szCs w:val="20"/>
          <w:color w:val="auto"/>
        </w:rPr>
      </w:pPr>
      <w:r>
        <w:rPr>
          <w:rFonts w:ascii="Times New Roman" w:cs="Times New Roman" w:eastAsia="Times New Roman" w:hAnsi="Times New Roman"/>
          <w:sz w:val="13"/>
          <w:szCs w:val="13"/>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76" w:lineRule="exact"/>
        <w:rPr>
          <w:sz w:val="20"/>
          <w:szCs w:val="20"/>
          <w:color w:val="auto"/>
        </w:rPr>
      </w:pPr>
    </w:p>
    <w:p>
      <w:pPr>
        <w:ind w:right="60" w:firstLine="420"/>
        <w:spacing w:after="0" w:line="256" w:lineRule="auto"/>
        <w:rPr>
          <w:sz w:val="20"/>
          <w:szCs w:val="20"/>
          <w:color w:val="auto"/>
        </w:rPr>
      </w:pPr>
      <w:r>
        <w:rPr>
          <w:rFonts w:ascii="Times New Roman" w:cs="Times New Roman" w:eastAsia="Times New Roman" w:hAnsi="Times New Roman"/>
          <w:sz w:val="13"/>
          <w:szCs w:val="13"/>
          <w:color w:val="auto"/>
        </w:rPr>
        <w:t>We believe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45" w:name="page46"/>
    <w:bookmarkEnd w:id="45"/>
    <w:p>
      <w:pPr>
        <w:ind w:right="360"/>
        <w:spacing w:after="0" w:line="286" w:lineRule="auto"/>
        <w:rPr>
          <w:sz w:val="20"/>
          <w:szCs w:val="20"/>
          <w:color w:val="auto"/>
        </w:rPr>
      </w:pPr>
      <w:r>
        <w:rPr>
          <w:rFonts w:ascii="Times New Roman" w:cs="Times New Roman" w:eastAsia="Times New Roman" w:hAnsi="Times New Roman"/>
          <w:sz w:val="13"/>
          <w:szCs w:val="13"/>
          <w:color w:val="auto"/>
        </w:rPr>
        <w:t>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76" w:lineRule="exact"/>
        <w:rPr>
          <w:sz w:val="20"/>
          <w:szCs w:val="20"/>
          <w:color w:val="auto"/>
        </w:rPr>
      </w:pPr>
    </w:p>
    <w:p>
      <w:pPr>
        <w:ind w:right="40" w:firstLine="420"/>
        <w:spacing w:after="0" w:line="268" w:lineRule="auto"/>
        <w:rPr>
          <w:sz w:val="20"/>
          <w:szCs w:val="20"/>
          <w:color w:val="auto"/>
        </w:rPr>
      </w:pPr>
      <w:r>
        <w:rPr>
          <w:rFonts w:ascii="Times New Roman" w:cs="Times New Roman" w:eastAsia="Times New Roman" w:hAnsi="Times New Roman"/>
          <w:sz w:val="13"/>
          <w:szCs w:val="13"/>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Organization and Structure of PennantPark Investment Corporation</w:t>
      </w:r>
    </w:p>
    <w:p>
      <w:pPr>
        <w:spacing w:after="0" w:line="131" w:lineRule="exact"/>
        <w:rPr>
          <w:sz w:val="20"/>
          <w:szCs w:val="20"/>
          <w:color w:val="auto"/>
        </w:rPr>
      </w:pPr>
    </w:p>
    <w:p>
      <w:pPr>
        <w:ind w:right="380" w:firstLine="420"/>
        <w:spacing w:after="0" w:line="286" w:lineRule="auto"/>
        <w:rPr>
          <w:sz w:val="20"/>
          <w:szCs w:val="20"/>
          <w:color w:val="auto"/>
        </w:rPr>
      </w:pPr>
      <w:r>
        <w:rPr>
          <w:rFonts w:ascii="Times New Roman" w:cs="Times New Roman" w:eastAsia="Times New Roman" w:hAnsi="Times New Roman"/>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76" w:lineRule="exact"/>
        <w:rPr>
          <w:sz w:val="20"/>
          <w:szCs w:val="20"/>
          <w:color w:val="auto"/>
        </w:rPr>
      </w:pPr>
    </w:p>
    <w:p>
      <w:pPr>
        <w:ind w:firstLine="420"/>
        <w:spacing w:after="0" w:line="253" w:lineRule="auto"/>
        <w:rPr>
          <w:sz w:val="20"/>
          <w:szCs w:val="20"/>
          <w:color w:val="auto"/>
        </w:rPr>
      </w:pPr>
      <w:r>
        <w:rPr>
          <w:rFonts w:ascii="Times New Roman" w:cs="Times New Roman" w:eastAsia="Times New Roman" w:hAnsi="Times New Roman"/>
          <w:sz w:val="13"/>
          <w:szCs w:val="13"/>
          <w:color w:val="auto"/>
        </w:rPr>
        <w:t>We execute our investment strategy directly and through our wholly owned subsidiaries, our unconsolidated joint venture and unconsolidated limited partnership. The term “subsidiary” means entities that primarily engage in investment activities in securities or other assets and are wholly owned by us. The Company does not intend to create or acquire primary control of any entity which primarily engages in investment activities of securities or other assets other than entities wholly owned by the Company. We comply with the provisions of Section 18 of the 1940 Act governing capital structure and leverage on an aggregate basis with our subsidiaries. Our subsidiaries comply with the provisions of Section 17 of the 1940 Act related to affiliated transactions and custody. To the extent that the Company forms a subsidiary advised by an investment adviser other than the Investment Adviser, the investment adviser to such subsidiaries will comply with the provisions of the 1940 Act relating to investment advisory contracts, including but not limited to, Section 15, as if it were an investment adviser to the Company under Section 2(a)(20) of the 1940 Act. 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had provided similar services to SBIC II under its investment management agreement. SBIC II’s investment management agreement has no effect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Corporate Counsel and their respective staffs. PennantPark Investment, through the Administrator, has provided similar services to SBIC II under its administration agreement with us. Our board of directors, a majority of whom are independent of us, provides overall supervision of our activities, and the Investment Adviser supervises our day-to-day activities.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At-the-Market Offering</w:t>
      </w:r>
    </w:p>
    <w:p>
      <w:pPr>
        <w:spacing w:after="0" w:line="131" w:lineRule="exact"/>
        <w:rPr>
          <w:sz w:val="20"/>
          <w:szCs w:val="20"/>
          <w:color w:val="auto"/>
        </w:rPr>
      </w:pPr>
    </w:p>
    <w:p>
      <w:pPr>
        <w:ind w:right="40" w:firstLine="420"/>
        <w:spacing w:after="0" w:line="256" w:lineRule="auto"/>
        <w:rPr>
          <w:sz w:val="20"/>
          <w:szCs w:val="20"/>
          <w:color w:val="auto"/>
        </w:rPr>
      </w:pPr>
      <w:r>
        <w:rPr>
          <w:rFonts w:ascii="Times New Roman" w:cs="Times New Roman" w:eastAsia="Times New Roman" w:hAnsi="Times New Roman"/>
          <w:sz w:val="13"/>
          <w:szCs w:val="13"/>
          <w:color w:val="auto"/>
        </w:rPr>
        <w:t>On June 4, 2024, we entered into equity distribution agreements with Truist Securities, Inc. and Keefe, Bruyette &amp; Woods, Inc. (together, the "Equity Distribution Agreements"), as sales agents (each a "Sales Agent" and together, the "Sales Agents") in connection with the sale of shares of our common stock, with an aggregate offering price of up to $100 million under an at-the- market offering ("ATM Program"). We may offer and sell shares of our common stock from time to time through a sales agent in amounts and at times to be determined by us. Actual sales will depend on a variety of factors to be determined by us from time to time, including, market conditions and the trading price of our common stock. The Investment Adviser may, from time to time, in its sole discretion, pay some or all of the commissions payable under the equity distribution agreements or make additional supplemental payments to ensure that the sales price per share of our common stock in connection with all of the offerings made hereunder will not be less than our current NAV per share. Any such payments made by the Investment Adviser will not be subject to reimbursement by us.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Revenues</w:t>
      </w:r>
    </w:p>
    <w:p>
      <w:pPr>
        <w:spacing w:after="0" w:line="131" w:lineRule="exact"/>
        <w:rPr>
          <w:sz w:val="20"/>
          <w:szCs w:val="20"/>
          <w:color w:val="auto"/>
        </w:rPr>
      </w:pPr>
    </w:p>
    <w:p>
      <w:pPr>
        <w:ind w:right="60" w:firstLine="420"/>
        <w:spacing w:after="0" w:line="255" w:lineRule="auto"/>
        <w:rPr>
          <w:sz w:val="20"/>
          <w:szCs w:val="20"/>
          <w:color w:val="auto"/>
        </w:rPr>
      </w:pPr>
      <w:r>
        <w:rPr>
          <w:rFonts w:ascii="Times New Roman" w:cs="Times New Roman" w:eastAsia="Times New Roman" w:hAnsi="Times New Roman"/>
          <w:sz w:val="13"/>
          <w:szCs w:val="13"/>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fixed or a floating rate. Interest on debt securities is generally payable quarterly or semiannually. In some cases,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and deferred financing costs on liabilities, which we do not fair value,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Expenses</w:t>
      </w:r>
    </w:p>
    <w:p>
      <w:pPr>
        <w:spacing w:after="0" w:line="131" w:lineRule="exact"/>
        <w:rPr>
          <w:sz w:val="20"/>
          <w:szCs w:val="20"/>
          <w:color w:val="auto"/>
        </w:rPr>
      </w:pPr>
    </w:p>
    <w:p>
      <w:pPr>
        <w:ind w:right="260" w:firstLine="420"/>
        <w:spacing w:after="0" w:line="262" w:lineRule="auto"/>
        <w:rPr>
          <w:sz w:val="20"/>
          <w:szCs w:val="20"/>
          <w:color w:val="auto"/>
        </w:rPr>
      </w:pPr>
      <w:r>
        <w:rPr>
          <w:rFonts w:ascii="Times New Roman" w:cs="Times New Roman" w:eastAsia="Times New Roman" w:hAnsi="Times New Roman"/>
          <w:sz w:val="13"/>
          <w:szCs w:val="13"/>
          <w:color w:val="auto"/>
        </w:rPr>
        <w:t>Our primary operating expenses include interest expense on the outstanding debt and unused commitment fees on undrawn amounts, under our various debt facilities,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We bear all other direct or indirect costs and expenses of our operations and transactions, including:</w:t>
      </w:r>
    </w:p>
    <w:p>
      <w:pPr>
        <w:spacing w:after="0" w:line="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cost of calculating our net asset value, including the cost of any third-party valuation services;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cost of effecting sales and repurchases of shares of our common stock and other securities;</w:t>
      </w:r>
    </w:p>
    <w:p>
      <w:pPr>
        <w:spacing w:after="0" w:line="127" w:lineRule="exact"/>
        <w:rPr>
          <w:sz w:val="20"/>
          <w:szCs w:val="20"/>
          <w:color w:val="auto"/>
        </w:rPr>
      </w:pPr>
    </w:p>
    <w:p>
      <w:pPr>
        <w:ind w:left="540" w:right="40"/>
        <w:spacing w:after="0" w:line="286" w:lineRule="auto"/>
        <w:rPr>
          <w:sz w:val="20"/>
          <w:szCs w:val="20"/>
          <w:color w:val="auto"/>
        </w:rPr>
      </w:pPr>
      <w:r>
        <w:rPr>
          <w:rFonts w:ascii="Times New Roman" w:cs="Times New Roman" w:eastAsia="Times New Roman" w:hAnsi="Times New Roman"/>
          <w:sz w:val="13"/>
          <w:szCs w:val="13"/>
          <w:color w:val="auto"/>
        </w:rPr>
        <w:t>fees payable to third parties relating to, or associated with, making investments, including fees and expenses associated with performing due diligence and reviews of prospective investments or complementary businesses;</w:t>
      </w:r>
    </w:p>
    <w:p>
      <w:pPr>
        <w:spacing w:after="0" w:line="76" w:lineRule="exact"/>
        <w:rPr>
          <w:sz w:val="20"/>
          <w:szCs w:val="20"/>
          <w:color w:val="auto"/>
        </w:rPr>
      </w:pPr>
    </w:p>
    <w:p>
      <w:pPr>
        <w:ind w:left="540" w:right="460"/>
        <w:spacing w:after="0" w:line="286" w:lineRule="auto"/>
        <w:rPr>
          <w:sz w:val="20"/>
          <w:szCs w:val="20"/>
          <w:color w:val="auto"/>
        </w:rPr>
      </w:pPr>
      <w:r>
        <w:rPr>
          <w:rFonts w:ascii="Times New Roman" w:cs="Times New Roman" w:eastAsia="Times New Roman" w:hAnsi="Times New Roman"/>
          <w:sz w:val="13"/>
          <w:szCs w:val="13"/>
          <w:color w:val="auto"/>
        </w:rPr>
        <w:t>expenses incurred by the Investment Adviser in performing due diligence and reviews of investments; including expenses incurred by the Investment Adviser payable to third parties (including agents and consultants) in monitoring financial and legal affairs for the Company and in monitoring the Company's investments;</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transfer agent and custodial fees;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fees and expenses associated with marketing efforts;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federal and state registration fees and any exchange listing fees;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federal, state, local and foreign taxes;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independent directors’ fees and expenses;</w:t>
      </w: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278" w:right="640" w:bottom="1440" w:gutter="0" w:footer="0" w:header="0"/>
        </w:sectPr>
      </w:pPr>
    </w:p>
    <w:bookmarkStart w:id="46" w:name="page47"/>
    <w:bookmarkEnd w:id="46"/>
    <w:p>
      <w:pPr>
        <w:ind w:left="540"/>
        <w:spacing w:after="0"/>
        <w:rPr>
          <w:sz w:val="20"/>
          <w:szCs w:val="20"/>
          <w:color w:val="auto"/>
        </w:rPr>
      </w:pPr>
      <w:r>
        <w:rPr>
          <w:rFonts w:ascii="Times New Roman" w:cs="Times New Roman" w:eastAsia="Times New Roman" w:hAnsi="Times New Roman"/>
          <w:sz w:val="13"/>
          <w:szCs w:val="13"/>
          <w:color w:val="auto"/>
        </w:rPr>
        <w:t>brokerage commissions;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fidelity bond, directors and officers, errors and omissions liability insurance and other insurance premiums;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direct costs such as printing, mailing, long distance telephone and staff;</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fees and expenses associated with independent audits and outside legal costs;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costs associated with our reporting and compliance obligations under the 1940 Act, the 1958 Act and applicable federal and state securities laws; and</w:t>
      </w:r>
    </w:p>
    <w:p>
      <w:pPr>
        <w:spacing w:after="0" w:line="127" w:lineRule="exact"/>
        <w:rPr>
          <w:sz w:val="20"/>
          <w:szCs w:val="20"/>
          <w:color w:val="auto"/>
        </w:rPr>
      </w:pPr>
    </w:p>
    <w:p>
      <w:pPr>
        <w:ind w:left="540" w:right="20"/>
        <w:spacing w:after="0" w:line="268" w:lineRule="auto"/>
        <w:rPr>
          <w:sz w:val="20"/>
          <w:szCs w:val="20"/>
          <w:color w:val="auto"/>
        </w:rPr>
      </w:pPr>
      <w:r>
        <w:rPr>
          <w:rFonts w:ascii="Times New Roman" w:cs="Times New Roman" w:eastAsia="Times New Roman" w:hAnsi="Times New Roman"/>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Corporate Counsel and their respective staffs.</w:t>
      </w:r>
    </w:p>
    <w:p>
      <w:pPr>
        <w:spacing w:after="0" w:line="89" w:lineRule="exact"/>
        <w:rPr>
          <w:sz w:val="20"/>
          <w:szCs w:val="20"/>
          <w:color w:val="auto"/>
        </w:rPr>
      </w:pPr>
    </w:p>
    <w:p>
      <w:pPr>
        <w:ind w:right="100" w:firstLine="420"/>
        <w:spacing w:after="0" w:line="286" w:lineRule="auto"/>
        <w:rPr>
          <w:sz w:val="20"/>
          <w:szCs w:val="20"/>
          <w:color w:val="auto"/>
        </w:rPr>
      </w:pPr>
      <w:r>
        <w:rPr>
          <w:rFonts w:ascii="Times New Roman" w:cs="Times New Roman" w:eastAsia="Times New Roman" w:hAnsi="Times New Roman"/>
          <w:sz w:val="13"/>
          <w:szCs w:val="13"/>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PORTFOLIO AND INVESTMENT ACTIVITY</w:t>
      </w:r>
    </w:p>
    <w:p>
      <w:pPr>
        <w:spacing w:after="0" w:line="129" w:lineRule="exact"/>
        <w:rPr>
          <w:sz w:val="20"/>
          <w:szCs w:val="20"/>
          <w:color w:val="auto"/>
        </w:rPr>
      </w:pPr>
    </w:p>
    <w:p>
      <w:pPr>
        <w:ind w:right="80" w:firstLine="420"/>
        <w:spacing w:after="0" w:line="257" w:lineRule="auto"/>
        <w:rPr>
          <w:sz w:val="20"/>
          <w:szCs w:val="20"/>
          <w:color w:val="auto"/>
        </w:rPr>
      </w:pPr>
      <w:r>
        <w:rPr>
          <w:rFonts w:ascii="Times New Roman" w:cs="Times New Roman" w:eastAsia="Times New Roman" w:hAnsi="Times New Roman"/>
          <w:sz w:val="13"/>
          <w:szCs w:val="13"/>
          <w:color w:val="auto"/>
        </w:rPr>
        <w:t>As of September 30, 2024, our portfolio totaled $1,328.1 million and consisted of $667.9 million or 50% of first lien secured debt, $99.6 million or 8% of U.S. Government Securities, $67.2 million or 5% of second lien secured debt, $181.7 million or 14% of subordinated debt (including $115.9 million or 9% in PSLF) and $311.7 million or 23% of preferred and common equity (including $67.9 million or 5% in PSLF). Our interest bearing debt portfolio consisted of 94% variable-rate investments and 6% fixed-rate investments. As of September 30, 2024, we had two portfolio companies on non-accrual, representing 4.1% and 2.3% percent of our overall portfolio on a cost and fair value basis, respectively. Overall, the portfolio had net unrealized appreciation of $11.2 million as of September 30, 2024. Our overall portfolio consisted of 152 companies with an average investment size of $8.1 million (excluding U.S. Government Securities), had a weighted average yield on interest bearing debt investments of 12.3%.</w:t>
      </w:r>
    </w:p>
    <w:p>
      <w:pPr>
        <w:spacing w:after="0" w:line="96" w:lineRule="exact"/>
        <w:rPr>
          <w:sz w:val="20"/>
          <w:szCs w:val="20"/>
          <w:color w:val="auto"/>
        </w:rPr>
      </w:pPr>
    </w:p>
    <w:p>
      <w:pPr>
        <w:ind w:right="120" w:firstLine="420"/>
        <w:spacing w:after="0" w:line="257" w:lineRule="auto"/>
        <w:rPr>
          <w:sz w:val="20"/>
          <w:szCs w:val="20"/>
          <w:color w:val="auto"/>
        </w:rPr>
      </w:pPr>
      <w:r>
        <w:rPr>
          <w:rFonts w:ascii="Times New Roman" w:cs="Times New Roman" w:eastAsia="Times New Roman" w:hAnsi="Times New Roman"/>
          <w:sz w:val="13"/>
          <w:szCs w:val="13"/>
          <w:color w:val="auto"/>
        </w:rPr>
        <w:t>As of September 30, 2023, our portfolio totaled $1,101.7 million and consisted of $527.7 million or 48% of first lien secured debt, $99.8 million or 9% of US Government Securities, $80.4 million or 7% of second lien secured debt, $156.2 million or 14% of subordinated debt (including $102.3 million or 9% in PSLF) and $237.6 million or 22% of preferred and common equity (including $62.1 million or 6% in PSLF). Our interest bearing debt portfolio consisted of 95% variable-rate investments and 5% fixed-rate investments. As of September 30, 2023, we had one portfolio company on non-accrual, representing 1.2% and zero percent of our overall portfolio on a cost and fair value basis, respectively. Overall, the portfolio had net unrealized depreciation of $16.3 million as of September 30, 2023. Our overall portfolio consisted of 129 companies with an average investment size of $7.8 million (excluding U.S. Government Securities), had a weighted average yield on interest bearing debt investments of 13.0%.</w:t>
      </w:r>
    </w:p>
    <w:p>
      <w:pPr>
        <w:spacing w:after="0" w:line="96" w:lineRule="exact"/>
        <w:rPr>
          <w:sz w:val="20"/>
          <w:szCs w:val="20"/>
          <w:color w:val="auto"/>
        </w:rPr>
      </w:pPr>
    </w:p>
    <w:p>
      <w:pPr>
        <w:ind w:right="140" w:firstLine="420"/>
        <w:spacing w:after="0" w:line="286" w:lineRule="auto"/>
        <w:rPr>
          <w:sz w:val="20"/>
          <w:szCs w:val="20"/>
          <w:color w:val="auto"/>
        </w:rPr>
      </w:pPr>
      <w:r>
        <w:rPr>
          <w:rFonts w:ascii="Times New Roman" w:cs="Times New Roman" w:eastAsia="Times New Roman" w:hAnsi="Times New Roman"/>
          <w:sz w:val="13"/>
          <w:szCs w:val="13"/>
          <w:color w:val="auto"/>
        </w:rPr>
        <w:t>For the year ended September 30, 2024, we invested $774.6 million of investments in 41 new and 81 existing portfolio companies with a weighted average yield on debt investments of 11.7 % (excluding U.S. Government Securities). Sales and repayments of investments for the same period totaled $555.4 million (excluding U.S. Government Securities).</w:t>
      </w:r>
    </w:p>
    <w:p>
      <w:pPr>
        <w:spacing w:after="0" w:line="76" w:lineRule="exact"/>
        <w:rPr>
          <w:sz w:val="20"/>
          <w:szCs w:val="20"/>
          <w:color w:val="auto"/>
        </w:rPr>
      </w:pPr>
    </w:p>
    <w:p>
      <w:pPr>
        <w:ind w:right="20" w:firstLine="420"/>
        <w:spacing w:after="0" w:line="286" w:lineRule="auto"/>
        <w:rPr>
          <w:sz w:val="20"/>
          <w:szCs w:val="20"/>
          <w:color w:val="auto"/>
        </w:rPr>
      </w:pPr>
      <w:r>
        <w:rPr>
          <w:rFonts w:ascii="Times New Roman" w:cs="Times New Roman" w:eastAsia="Times New Roman" w:hAnsi="Times New Roman"/>
          <w:sz w:val="13"/>
          <w:szCs w:val="13"/>
          <w:color w:val="auto"/>
        </w:rPr>
        <w:t>For the year ended September 30, 2023, we invested $275.4 million of investments in 17 new and 69 existing portfolio companies with a weighted average yield on debt investments of 12.0% (excluding U.S. Government Securities). Sales and repayments of investments for the same period totaled $418.6 million (excluding U.S. Government Securities).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PennantPark Senior Loan Fund, LLC</w:t>
      </w:r>
    </w:p>
    <w:p>
      <w:pPr>
        <w:spacing w:after="0" w:line="129" w:lineRule="exact"/>
        <w:rPr>
          <w:sz w:val="20"/>
          <w:szCs w:val="20"/>
          <w:color w:val="auto"/>
        </w:rPr>
      </w:pPr>
    </w:p>
    <w:p>
      <w:pPr>
        <w:ind w:right="120" w:firstLine="420"/>
        <w:spacing w:after="0" w:line="262" w:lineRule="auto"/>
        <w:rPr>
          <w:sz w:val="20"/>
          <w:szCs w:val="20"/>
          <w:color w:val="auto"/>
        </w:rPr>
      </w:pPr>
      <w:r>
        <w:rPr>
          <w:rFonts w:ascii="Times New Roman" w:cs="Times New Roman" w:eastAsia="Times New Roman" w:hAnsi="Times New Roman"/>
          <w:sz w:val="13"/>
          <w:szCs w:val="13"/>
          <w:color w:val="auto"/>
        </w:rPr>
        <w:t>As of September 30, 2024, PSLF’s portfolio totaled $1,031.2 million, consisted of 102 companies with an average investment size of $10.1 million and had a weighted average yield interest bearing debt investments of 11.3%. As of September 30, 2024, approximately 100% of the investments held by PSLF were first lien secured debt. For the year ended September 30, 2024, PSLF invested $396.1 million (of which $308.8 million was purchased from the Company) in 20 new and 24 existing portfolio companies with a weighted average yield on debt investments of 11.8%. PSLF’s sales and repayments of investments for the same period totaled $172.9 million.</w:t>
      </w:r>
    </w:p>
    <w:p>
      <w:pPr>
        <w:spacing w:after="0" w:line="91" w:lineRule="exact"/>
        <w:rPr>
          <w:sz w:val="20"/>
          <w:szCs w:val="20"/>
          <w:color w:val="auto"/>
        </w:rPr>
      </w:pPr>
    </w:p>
    <w:p>
      <w:pPr>
        <w:ind w:right="160" w:firstLine="420"/>
        <w:spacing w:after="0" w:line="262" w:lineRule="auto"/>
        <w:rPr>
          <w:sz w:val="20"/>
          <w:szCs w:val="20"/>
          <w:color w:val="auto"/>
        </w:rPr>
      </w:pPr>
      <w:r>
        <w:rPr>
          <w:rFonts w:ascii="Times New Roman" w:cs="Times New Roman" w:eastAsia="Times New Roman" w:hAnsi="Times New Roman"/>
          <w:sz w:val="13"/>
          <w:szCs w:val="13"/>
          <w:color w:val="auto"/>
        </w:rPr>
        <w:t>As of September 30, 2023, PSLF’s portfolio totaled $804.2 million, consisted of 90 companies with an average investment size of $8.9 million and had a weighted average yield on debt investments of 12.1%. As of September 30, 2023, all of the investments held by PSLF were first lien secured debt. For the year ended September 30, 2023, PSLF invested $ 176.2 million (of which $127.8 million was purchased from the Company) in 21 new and 23 existing portfolio companies with a weighted average yield on debt investments of 11.8%. PSLF’s sales and repayments of investments for the same period totaled $106.6 million.</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CRITICAL ACCOUNTING POLICIES AND ESTIMATES</w:t>
      </w:r>
    </w:p>
    <w:p>
      <w:pPr>
        <w:spacing w:after="0" w:line="129" w:lineRule="exact"/>
        <w:rPr>
          <w:sz w:val="20"/>
          <w:szCs w:val="20"/>
          <w:color w:val="auto"/>
        </w:rPr>
      </w:pPr>
    </w:p>
    <w:p>
      <w:pPr>
        <w:ind w:firstLine="420"/>
        <w:spacing w:after="0" w:line="256" w:lineRule="auto"/>
        <w:rPr>
          <w:sz w:val="20"/>
          <w:szCs w:val="20"/>
          <w:color w:val="auto"/>
        </w:rPr>
      </w:pPr>
      <w:r>
        <w:rPr>
          <w:rFonts w:ascii="Times New Roman" w:cs="Times New Roman" w:eastAsia="Times New Roman" w:hAnsi="Times New Roman"/>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including the credit worthiness of our portfolio companies.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i w:val="1"/>
          <w:iCs w:val="1"/>
          <w:color w:val="auto"/>
        </w:rPr>
        <w:t>Investment Valuations</w:t>
      </w:r>
    </w:p>
    <w:p>
      <w:pPr>
        <w:spacing w:after="0" w:line="131" w:lineRule="exact"/>
        <w:rPr>
          <w:sz w:val="20"/>
          <w:szCs w:val="20"/>
          <w:color w:val="auto"/>
        </w:rPr>
      </w:pPr>
    </w:p>
    <w:p>
      <w:pPr>
        <w:ind w:right="20" w:firstLine="420"/>
        <w:spacing w:after="0" w:line="256" w:lineRule="auto"/>
        <w:rPr>
          <w:sz w:val="20"/>
          <w:szCs w:val="20"/>
          <w:color w:val="auto"/>
        </w:rPr>
      </w:pPr>
      <w:r>
        <w:rPr>
          <w:rFonts w:ascii="Times New Roman" w:cs="Times New Roman" w:eastAsia="Times New Roman" w:hAnsi="Times New Roman"/>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276" w:right="700" w:bottom="1440" w:gutter="0" w:footer="0" w:header="0"/>
        </w:sectPr>
      </w:pPr>
    </w:p>
    <w:bookmarkStart w:id="47" w:name="page48"/>
    <w:bookmarkEnd w:id="47"/>
    <w:p>
      <w:pPr>
        <w:ind w:right="220" w:firstLine="420"/>
        <w:spacing w:after="0" w:line="286" w:lineRule="auto"/>
        <w:rPr>
          <w:sz w:val="20"/>
          <w:szCs w:val="20"/>
          <w:color w:val="auto"/>
        </w:rPr>
      </w:pPr>
      <w:r>
        <w:rPr>
          <w:rFonts w:ascii="Times New Roman" w:cs="Times New Roman" w:eastAsia="Times New Roman" w:hAnsi="Times New Roman"/>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540" w:right="220"/>
        <w:spacing w:after="0" w:line="286" w:lineRule="auto"/>
        <w:rPr>
          <w:sz w:val="20"/>
          <w:szCs w:val="20"/>
          <w:color w:val="auto"/>
        </w:rPr>
      </w:pPr>
      <w:r>
        <w:rPr>
          <w:rFonts w:ascii="Times New Roman" w:cs="Times New Roman" w:eastAsia="Times New Roman" w:hAnsi="Times New Roman"/>
          <w:sz w:val="13"/>
          <w:szCs w:val="13"/>
          <w:color w:val="auto"/>
        </w:rPr>
        <w:t>(1)Our quarterly valuation process begins with each portfolio company or investment being initially valued by the investment professionals of our Investment Adviser responsible for the portfolio investment;</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(2)Preliminary valuation conclusions are then documented and discussed with the management of the Investment Adviser;</w:t>
      </w:r>
    </w:p>
    <w:p>
      <w:pPr>
        <w:spacing w:after="0" w:line="127" w:lineRule="exact"/>
        <w:rPr>
          <w:sz w:val="20"/>
          <w:szCs w:val="20"/>
          <w:color w:val="auto"/>
        </w:rPr>
      </w:pPr>
    </w:p>
    <w:p>
      <w:pPr>
        <w:ind w:left="540" w:right="80"/>
        <w:spacing w:after="0" w:line="268" w:lineRule="auto"/>
        <w:rPr>
          <w:sz w:val="20"/>
          <w:szCs w:val="20"/>
          <w:color w:val="auto"/>
        </w:rPr>
      </w:pPr>
      <w:r>
        <w:rPr>
          <w:rFonts w:ascii="Times New Roman" w:cs="Times New Roman" w:eastAsia="Times New Roman" w:hAnsi="Times New Roman"/>
          <w:sz w:val="13"/>
          <w:szCs w:val="13"/>
          <w:color w:val="auto"/>
        </w:rPr>
        <w:t>(3)Our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87" w:lineRule="exact"/>
        <w:rPr>
          <w:sz w:val="20"/>
          <w:szCs w:val="20"/>
          <w:color w:val="auto"/>
        </w:rPr>
      </w:pPr>
    </w:p>
    <w:p>
      <w:pPr>
        <w:ind w:left="540" w:right="40"/>
        <w:spacing w:after="0" w:line="268" w:lineRule="auto"/>
        <w:rPr>
          <w:sz w:val="20"/>
          <w:szCs w:val="20"/>
          <w:color w:val="auto"/>
        </w:rPr>
      </w:pPr>
      <w:r>
        <w:rPr>
          <w:rFonts w:ascii="Times New Roman" w:cs="Times New Roman" w:eastAsia="Times New Roman" w:hAnsi="Times New Roman"/>
          <w:sz w:val="13"/>
          <w:szCs w:val="13"/>
          <w:color w:val="auto"/>
        </w:rPr>
        <w:t>(4)The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7" w:lineRule="exact"/>
        <w:rPr>
          <w:sz w:val="20"/>
          <w:szCs w:val="20"/>
          <w:color w:val="auto"/>
        </w:rPr>
      </w:pPr>
    </w:p>
    <w:p>
      <w:pPr>
        <w:ind w:left="540" w:right="480"/>
        <w:spacing w:after="0" w:line="286" w:lineRule="auto"/>
        <w:rPr>
          <w:sz w:val="20"/>
          <w:szCs w:val="20"/>
          <w:color w:val="auto"/>
        </w:rPr>
      </w:pPr>
      <w:r>
        <w:rPr>
          <w:rFonts w:ascii="Times New Roman" w:cs="Times New Roman" w:eastAsia="Times New Roman" w:hAnsi="Times New Roman"/>
          <w:sz w:val="13"/>
          <w:szCs w:val="13"/>
          <w:color w:val="auto"/>
        </w:rPr>
        <w:t>(5)Our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76" w:lineRule="exact"/>
        <w:rPr>
          <w:sz w:val="20"/>
          <w:szCs w:val="20"/>
          <w:color w:val="auto"/>
        </w:rPr>
      </w:pPr>
    </w:p>
    <w:p>
      <w:pPr>
        <w:ind w:right="300" w:firstLine="420"/>
        <w:spacing w:after="0" w:line="262" w:lineRule="auto"/>
        <w:rPr>
          <w:sz w:val="20"/>
          <w:szCs w:val="20"/>
          <w:color w:val="auto"/>
        </w:rPr>
      </w:pPr>
      <w:r>
        <w:rPr>
          <w:rFonts w:ascii="Times New Roman" w:cs="Times New Roman" w:eastAsia="Times New Roman" w:hAnsi="Times New Roman"/>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91"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ASC 820 classifies the inputs used to measure these fair values into the following hierarchies: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Level 1: Inputs that are quoted prices (unadjusted) in active markets for identical assets or liabilities, accessible by us at the measurement date.</w:t>
      </w:r>
    </w:p>
    <w:p>
      <w:pPr>
        <w:spacing w:after="0" w:line="127" w:lineRule="exact"/>
        <w:rPr>
          <w:sz w:val="20"/>
          <w:szCs w:val="20"/>
          <w:color w:val="auto"/>
        </w:rPr>
      </w:pPr>
    </w:p>
    <w:p>
      <w:pPr>
        <w:ind w:left="540" w:right="200"/>
        <w:spacing w:after="0" w:line="286" w:lineRule="auto"/>
        <w:rPr>
          <w:sz w:val="20"/>
          <w:szCs w:val="20"/>
          <w:color w:val="auto"/>
        </w:rPr>
      </w:pPr>
      <w:r>
        <w:rPr>
          <w:rFonts w:ascii="Times New Roman" w:cs="Times New Roman" w:eastAsia="Times New Roman" w:hAnsi="Times New Roman"/>
          <w:sz w:val="13"/>
          <w:szCs w:val="13"/>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Level 3: Inputs that are unobservable for an asset or liability because they are based on our own assumptions about how market participants would price the asset or liability.</w:t>
      </w:r>
    </w:p>
    <w:p>
      <w:pPr>
        <w:spacing w:after="0" w:line="127"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A financial instrument’s categorization within the valuation hierarchy is based upon the lowest level of input that is significant to the fair value measurement. Generally, most of our investments, and our Truist Credit Facility are classified as Level 3. Our 2026 Notes and 2026 Notes-2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27"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On December 3, 2020, the SEC adopted Rule 2a -5 under the 1940 Act, which establishes an updated regulatory framework for determining fair value in good faith for purposes of the 1940 Act. The new rule clarifies how fund boards of directors can satisfy their valuation obligations and requires, among other things, the board of directors to periodically assess material valuation risks and take steps to manage those risks. The rule also permit boards of directors, subject to board oversight and certain other conditions, to designate the fund’s investment adviser to perform fair value determinations. The new rule went into effect on March 8, 2021 and had a compliance date of September 8, 2022. We came into compliance with Rule 2a-5 under the 1940 Act before the compliance date. While our board of directors has not elected to designate the Investment Adviser as the valuation designee at this time, we have adopted certain revisions to our valuation policies and procedures in order comply with the applicable requirements of Rule 2a-5 under the 1940 Act.</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78" w:right="680" w:bottom="1440" w:gutter="0" w:footer="0" w:header="0"/>
        </w:sectPr>
      </w:pPr>
    </w:p>
    <w:bookmarkStart w:id="48" w:name="page49"/>
    <w:bookmarkEnd w:id="48"/>
    <w:p>
      <w:pPr>
        <w:ind w:right="100" w:firstLine="420"/>
        <w:spacing w:after="0" w:line="268" w:lineRule="auto"/>
        <w:rPr>
          <w:sz w:val="20"/>
          <w:szCs w:val="20"/>
          <w:color w:val="auto"/>
        </w:rPr>
      </w:pPr>
      <w:r>
        <w:rPr>
          <w:rFonts w:ascii="Times New Roman" w:cs="Times New Roman" w:eastAsia="Times New Roman" w:hAnsi="Times New Roman"/>
          <w:sz w:val="13"/>
          <w:szCs w:val="13"/>
          <w:color w:val="auto"/>
        </w:rPr>
        <w:t>In addition to using the above inputs to value cash equivalents, investments, our 2026 Notes, 2026-2 Notes and our Truist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87" w:lineRule="exact"/>
        <w:rPr>
          <w:sz w:val="20"/>
          <w:szCs w:val="20"/>
          <w:color w:val="auto"/>
        </w:rPr>
      </w:pPr>
    </w:p>
    <w:p>
      <w:pPr>
        <w:ind w:firstLine="420"/>
        <w:spacing w:after="0" w:line="255" w:lineRule="auto"/>
        <w:rPr>
          <w:sz w:val="20"/>
          <w:szCs w:val="20"/>
          <w:color w:val="auto"/>
        </w:rPr>
      </w:pPr>
      <w:r>
        <w:rPr>
          <w:rFonts w:ascii="Times New Roman" w:cs="Times New Roman" w:eastAsia="Times New Roman" w:hAnsi="Times New Roman"/>
          <w:sz w:val="13"/>
          <w:szCs w:val="13"/>
          <w:color w:val="auto"/>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825 -10 to our Truist Credit Facility. We elected to use the fair value option for the Truist Credit Facility to align the measurement attributes of both our assets and liabilities while mitigating volatility in earnings from using different measurement attributes. Due to that election and in accordance with GAAP, we incurred expenses of zero, zero, and $5.1 million relating to amendment costs on the Truist Credit Facility during the years ended September 30, 2024, 2023 and 2022, respectively. ASC 825- 10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Truist Credit Facility are reported in our Consolidated Statements of Operations. We elect not to apply ASC 825-10 to any other financial assets or liabilities, 2026 Notes, and 2026 Notes-2.</w:t>
      </w:r>
    </w:p>
    <w:p>
      <w:pPr>
        <w:spacing w:after="0" w:line="98" w:lineRule="exact"/>
        <w:rPr>
          <w:sz w:val="20"/>
          <w:szCs w:val="20"/>
          <w:color w:val="auto"/>
        </w:rPr>
      </w:pPr>
    </w:p>
    <w:p>
      <w:pPr>
        <w:ind w:right="60" w:firstLine="420"/>
        <w:spacing w:after="0" w:line="268" w:lineRule="auto"/>
        <w:rPr>
          <w:sz w:val="20"/>
          <w:szCs w:val="20"/>
          <w:color w:val="auto"/>
        </w:rPr>
      </w:pPr>
      <w:r>
        <w:rPr>
          <w:rFonts w:ascii="Times New Roman" w:cs="Times New Roman" w:eastAsia="Times New Roman" w:hAnsi="Times New Roman"/>
          <w:sz w:val="13"/>
          <w:szCs w:val="13"/>
          <w:color w:val="auto"/>
        </w:rPr>
        <w:t>For the years ended September 30, 2024, 2023, and 2022 the Truist Credit Facility had a net change in unrealized appreciation (depreciation) of $(4.4) million, $ (3.8) million and $7.5 million, respectively. As of September 30, 2024 and 2023, the net unrealized depreciation on our Truist Credit Facility totaled $1.1 million and $5.5 million. We use a nationally recognized independent valuation service to measure the fair value of our Truist Credit Facility in a manner consistent with the valuation process that the board of directors uses to value our investments.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Revenue Recognition</w:t>
      </w:r>
    </w:p>
    <w:p>
      <w:pPr>
        <w:spacing w:after="0" w:line="131" w:lineRule="exact"/>
        <w:rPr>
          <w:sz w:val="20"/>
          <w:szCs w:val="20"/>
          <w:color w:val="auto"/>
        </w:rPr>
      </w:pPr>
    </w:p>
    <w:p>
      <w:pPr>
        <w:ind w:right="120" w:firstLine="420"/>
        <w:spacing w:after="0" w:line="256" w:lineRule="auto"/>
        <w:rPr>
          <w:sz w:val="20"/>
          <w:szCs w:val="20"/>
          <w:color w:val="auto"/>
        </w:rPr>
      </w:pPr>
      <w:r>
        <w:rPr>
          <w:rFonts w:ascii="Times New Roman" w:cs="Times New Roman" w:eastAsia="Times New Roman" w:hAnsi="Times New Roman"/>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Net Realized Gains or Losses and Net Change in Unrealized Appreciation or Depreciation</w:t>
      </w:r>
    </w:p>
    <w:p>
      <w:pPr>
        <w:spacing w:after="0" w:line="131" w:lineRule="exact"/>
        <w:rPr>
          <w:sz w:val="20"/>
          <w:szCs w:val="20"/>
          <w:color w:val="auto"/>
        </w:rPr>
      </w:pPr>
    </w:p>
    <w:p>
      <w:pPr>
        <w:ind w:right="80" w:firstLine="420"/>
        <w:spacing w:after="0" w:line="262" w:lineRule="auto"/>
        <w:rPr>
          <w:sz w:val="20"/>
          <w:szCs w:val="20"/>
          <w:color w:val="auto"/>
        </w:rPr>
      </w:pPr>
      <w:r>
        <w:rPr>
          <w:rFonts w:ascii="Times New Roman" w:cs="Times New Roman" w:eastAsia="Times New Roman" w:hAnsi="Times New Roman"/>
          <w:sz w:val="13"/>
          <w:szCs w:val="13"/>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values of our portfolio investments, and our Truist Credit Facility, including any reversal of previously recorded unrealized appreciation or depreciation, when gains or losses are realized.</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Foreign Currency Translation</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books and records are maintained in U.S. dollars. Any foreign currency amounts are translated into U.S. dollars on the following basis: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1.Fair value of investment securities, other assets and liabilities – at the exchange rates prevailing at the end of the applicable period; and</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2.Purchases and sales of investment securities, income and expenses – at the exchange rates prevailing on the respective dates of such transactions.</w:t>
      </w:r>
    </w:p>
    <w:p>
      <w:pPr>
        <w:spacing w:after="0" w:line="127" w:lineRule="exact"/>
        <w:rPr>
          <w:sz w:val="20"/>
          <w:szCs w:val="20"/>
          <w:color w:val="auto"/>
        </w:rPr>
      </w:pPr>
    </w:p>
    <w:p>
      <w:pPr>
        <w:jc w:val="both"/>
        <w:ind w:right="200" w:firstLine="420"/>
        <w:spacing w:after="0" w:line="268" w:lineRule="auto"/>
        <w:rPr>
          <w:sz w:val="20"/>
          <w:szCs w:val="20"/>
          <w:color w:val="auto"/>
        </w:rPr>
      </w:pPr>
      <w:r>
        <w:rPr>
          <w:rFonts w:ascii="Times New Roman" w:cs="Times New Roman" w:eastAsia="Times New Roman" w:hAnsi="Times New Roman"/>
          <w:sz w:val="13"/>
          <w:szCs w:val="13"/>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Payment-in-Kind, or, PIK Interest</w:t>
      </w:r>
    </w:p>
    <w:p>
      <w:pPr>
        <w:spacing w:after="0" w:line="131" w:lineRule="exact"/>
        <w:rPr>
          <w:sz w:val="20"/>
          <w:szCs w:val="20"/>
          <w:color w:val="auto"/>
        </w:rPr>
      </w:pPr>
    </w:p>
    <w:p>
      <w:pPr>
        <w:ind w:right="140" w:firstLine="420"/>
        <w:spacing w:after="0" w:line="268" w:lineRule="auto"/>
        <w:rPr>
          <w:sz w:val="20"/>
          <w:szCs w:val="20"/>
          <w:color w:val="auto"/>
        </w:rPr>
      </w:pPr>
      <w:r>
        <w:rPr>
          <w:rFonts w:ascii="Times New Roman" w:cs="Times New Roman" w:eastAsia="Times New Roman" w:hAnsi="Times New Roman"/>
          <w:sz w:val="13"/>
          <w:szCs w:val="13"/>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Federal Income Taxes</w:t>
      </w:r>
    </w:p>
    <w:p>
      <w:pPr>
        <w:spacing w:after="0" w:line="131" w:lineRule="exact"/>
        <w:rPr>
          <w:sz w:val="20"/>
          <w:szCs w:val="20"/>
          <w:color w:val="auto"/>
        </w:rPr>
      </w:pPr>
    </w:p>
    <w:p>
      <w:pPr>
        <w:ind w:right="20" w:firstLine="420"/>
        <w:spacing w:after="0" w:line="262" w:lineRule="auto"/>
        <w:rPr>
          <w:sz w:val="20"/>
          <w:szCs w:val="20"/>
          <w:color w:val="auto"/>
        </w:rPr>
      </w:pPr>
      <w:r>
        <w:rPr>
          <w:rFonts w:ascii="Times New Roman" w:cs="Times New Roman" w:eastAsia="Times New Roman" w:hAnsi="Times New Roman"/>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 -of-income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91" w:lineRule="exact"/>
        <w:rPr>
          <w:sz w:val="20"/>
          <w:szCs w:val="20"/>
          <w:color w:val="auto"/>
        </w:rPr>
      </w:pPr>
    </w:p>
    <w:p>
      <w:pPr>
        <w:ind w:right="140" w:firstLine="420"/>
        <w:spacing w:after="0" w:line="256" w:lineRule="auto"/>
        <w:rPr>
          <w:sz w:val="20"/>
          <w:szCs w:val="20"/>
          <w:color w:val="auto"/>
        </w:rPr>
      </w:pPr>
      <w:r>
        <w:rPr>
          <w:rFonts w:ascii="Times New Roman" w:cs="Times New Roman" w:eastAsia="Times New Roman" w:hAnsi="Times New Roman"/>
          <w:sz w:val="13"/>
          <w:szCs w:val="13"/>
          <w:color w:val="auto"/>
        </w:rPr>
        <w:t>Although not required for us to maintain our RIC tax status, in order to preclude the imposition of a 4% nondeductible U.S. federal excise tax imposed on RICs, we must distribute dividends for federal income tax purposes to our stockholders in respect of each calendar year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realized but not distributed during such years and on which we did not incur any U.S. federal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32" w:lineRule="exact"/>
        <w:rPr>
          <w:sz w:val="20"/>
          <w:szCs w:val="20"/>
          <w:color w:val="auto"/>
        </w:rPr>
      </w:pPr>
    </w:p>
    <w:p>
      <w:pPr>
        <w:ind w:right="380" w:firstLine="420"/>
        <w:spacing w:after="0" w:line="268" w:lineRule="auto"/>
        <w:rPr>
          <w:sz w:val="20"/>
          <w:szCs w:val="20"/>
          <w:color w:val="auto"/>
        </w:rPr>
      </w:pPr>
      <w:r>
        <w:rPr>
          <w:rFonts w:ascii="Times New Roman" w:cs="Times New Roman" w:eastAsia="Times New Roman" w:hAnsi="Times New Roman"/>
          <w:sz w:val="13"/>
          <w:szCs w:val="13"/>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78" w:right="660" w:bottom="1440" w:gutter="0" w:footer="0" w:header="0"/>
        </w:sectPr>
      </w:pPr>
    </w:p>
    <w:bookmarkStart w:id="49" w:name="page50"/>
    <w:bookmarkEnd w:id="49"/>
    <w:p>
      <w:pPr>
        <w:ind w:right="40" w:firstLine="420"/>
        <w:spacing w:after="0" w:line="286" w:lineRule="auto"/>
        <w:rPr>
          <w:sz w:val="20"/>
          <w:szCs w:val="20"/>
          <w:color w:val="auto"/>
        </w:rPr>
      </w:pPr>
      <w:r>
        <w:rPr>
          <w:rFonts w:ascii="Times New Roman" w:cs="Times New Roman" w:eastAsia="Times New Roman" w:hAnsi="Times New Roman"/>
          <w:sz w:val="13"/>
          <w:szCs w:val="13"/>
          <w:color w:val="auto"/>
        </w:rPr>
        <w:t>For the years ended September 30, 2024, 2023 and 2022, we recorded a provision for taxes on net investment income of $2.6 million, $4.3 million and $0.8 million, respectively, pertaining to federal excise tax.</w:t>
      </w:r>
    </w:p>
    <w:p>
      <w:pPr>
        <w:spacing w:after="0" w:line="112" w:lineRule="exact"/>
        <w:rPr>
          <w:sz w:val="20"/>
          <w:szCs w:val="20"/>
          <w:color w:val="auto"/>
        </w:rPr>
      </w:pPr>
    </w:p>
    <w:p>
      <w:pPr>
        <w:ind w:right="220" w:firstLine="420"/>
        <w:spacing w:after="0" w:line="259" w:lineRule="auto"/>
        <w:rPr>
          <w:sz w:val="20"/>
          <w:szCs w:val="20"/>
          <w:color w:val="auto"/>
        </w:rPr>
      </w:pPr>
      <w:r>
        <w:rPr>
          <w:rFonts w:ascii="Times New Roman" w:cs="Times New Roman" w:eastAsia="Times New Roman" w:hAnsi="Times New Roman"/>
          <w:sz w:val="13"/>
          <w:szCs w:val="13"/>
          <w:color w:val="auto"/>
        </w:rPr>
        <w:t>On November 22, 2021, we formed PNNT Investment Holdings II, LLC, a Delaware limited liability company (“Holdings II”), as a wholly owned subsidiary. On December 31, 2022, we contributed 100% of our interests in PNNT Investment Holdings, LLC (“Holdings”) to Holdings II . Effective as of January 1, 2024, Holdings II made an election to be treated as a corporation for U.S. federal income tax purposes. On January 3, 2024, we purchased an equity interest in Holdings from Holdings II and Holdings became a partnership for U.S. federal income tax purposes. The Company and Holdings II entered into a limited liability company agreement with respect to Holdings that provides for certain payments and the sharing of income, gain, loss and deductions attributable to Holdings’ investments.</w:t>
      </w:r>
    </w:p>
    <w:p>
      <w:pPr>
        <w:spacing w:after="0" w:line="130"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For the years ended September 30, 2024, 2023 and 2022 the Company recognized a provision for taxes of $(0.2) million, $5.0 million, and $6.2 million respectively, on net realized gain on investments by the Taxable Subsidiary. For the years ended September 30, 2024, 2023, and 2022 the Company recognized a provision for taxes of $ (0.7) million, $ 1.6 million and $(0.9) million, respectively, on net unrealized gain (loss) on investments by the Taxable Subsidiary. The provision for taxes on net realized and unrealized gains on investments is the result of netting (i) the expected tax liability on the gains from the sales of investments which were realized and unrealized during the fiscal year and (ii) the expected tax benefit resulting from the use of loss carryforwards to offset such gains.</w:t>
      </w:r>
    </w:p>
    <w:p>
      <w:pPr>
        <w:spacing w:after="0" w:line="130" w:lineRule="exact"/>
        <w:rPr>
          <w:sz w:val="20"/>
          <w:szCs w:val="20"/>
          <w:color w:val="auto"/>
        </w:rPr>
      </w:pPr>
    </w:p>
    <w:p>
      <w:pPr>
        <w:ind w:right="180" w:firstLine="420"/>
        <w:spacing w:after="0" w:line="286" w:lineRule="auto"/>
        <w:rPr>
          <w:sz w:val="20"/>
          <w:szCs w:val="20"/>
          <w:color w:val="auto"/>
        </w:rPr>
      </w:pPr>
      <w:r>
        <w:rPr>
          <w:rFonts w:ascii="Times New Roman" w:cs="Times New Roman" w:eastAsia="Times New Roman" w:hAnsi="Times New Roman"/>
          <w:sz w:val="13"/>
          <w:szCs w:val="13"/>
          <w:color w:val="auto"/>
        </w:rPr>
        <w:t>During the year ended September 30, 2024, 2023 and 2022 the Company paid zero, zero, and $4.0 million respectively, in federal taxes on realized gains on the sale of investments held by the Taxable Subsidiary. The state and local tax liability of zero as of September 30, 2024 is included under accrued other expenses in the consolidated statement of assets and liabilities.</w:t>
      </w:r>
    </w:p>
    <w:p>
      <w:pPr>
        <w:spacing w:after="0" w:line="112" w:lineRule="exact"/>
        <w:rPr>
          <w:sz w:val="20"/>
          <w:szCs w:val="20"/>
          <w:color w:val="auto"/>
        </w:rPr>
      </w:pPr>
    </w:p>
    <w:p>
      <w:pPr>
        <w:ind w:right="120" w:firstLine="420"/>
        <w:spacing w:after="0" w:line="286" w:lineRule="auto"/>
        <w:rPr>
          <w:sz w:val="20"/>
          <w:szCs w:val="20"/>
          <w:color w:val="auto"/>
        </w:rPr>
      </w:pPr>
      <w:r>
        <w:rPr>
          <w:rFonts w:ascii="Times New Roman" w:cs="Times New Roman" w:eastAsia="Times New Roman" w:hAnsi="Times New Roman"/>
          <w:sz w:val="13"/>
          <w:szCs w:val="13"/>
          <w:color w:val="auto"/>
        </w:rPr>
        <w:t>The Taxable Subsidiary, which is subject to tax as a corporation, allows us to hold equity securities of certain portfolio companies treated as pass-through entities for U.S. federal income tax purposes while facilitating our ability to qualify as a RIC under the Code.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RESULTS OF OPERATIONS</w:t>
      </w:r>
    </w:p>
    <w:p>
      <w:pPr>
        <w:spacing w:after="0" w:line="129" w:lineRule="exact"/>
        <w:rPr>
          <w:sz w:val="20"/>
          <w:szCs w:val="20"/>
          <w:color w:val="auto"/>
        </w:rPr>
      </w:pPr>
    </w:p>
    <w:p>
      <w:pPr>
        <w:ind w:right="100" w:firstLine="420"/>
        <w:spacing w:after="0" w:line="286" w:lineRule="auto"/>
        <w:rPr>
          <w:sz w:val="20"/>
          <w:szCs w:val="20"/>
          <w:color w:val="auto"/>
        </w:rPr>
      </w:pPr>
      <w:r>
        <w:rPr>
          <w:rFonts w:ascii="Times New Roman" w:cs="Times New Roman" w:eastAsia="Times New Roman" w:hAnsi="Times New Roman"/>
          <w:sz w:val="13"/>
          <w:szCs w:val="13"/>
          <w:color w:val="auto"/>
        </w:rPr>
        <w:t>Set forth below are the results of operations for the years ended September 30, 2024 and 2023. For information regarding results of operations for the year ended September 30, 2022, see the Company's Form 10-K for the fiscal year ended September 30, 2023, as filed with the SEC on December 8, 2023.</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 Income</w:t>
      </w:r>
    </w:p>
    <w:p>
      <w:pPr>
        <w:spacing w:after="0" w:line="131" w:lineRule="exact"/>
        <w:rPr>
          <w:sz w:val="20"/>
          <w:szCs w:val="20"/>
          <w:color w:val="auto"/>
        </w:rPr>
      </w:pPr>
    </w:p>
    <w:p>
      <w:pPr>
        <w:ind w:right="140" w:firstLine="420"/>
        <w:spacing w:after="0" w:line="268" w:lineRule="auto"/>
        <w:rPr>
          <w:sz w:val="20"/>
          <w:szCs w:val="20"/>
          <w:color w:val="auto"/>
        </w:rPr>
      </w:pPr>
      <w:r>
        <w:rPr>
          <w:rFonts w:ascii="Times New Roman" w:cs="Times New Roman" w:eastAsia="Times New Roman" w:hAnsi="Times New Roman"/>
          <w:sz w:val="13"/>
          <w:szCs w:val="13"/>
          <w:color w:val="auto"/>
        </w:rPr>
        <w:t>Investment income for the year ended September 30, 2024 was $143.8 million and was attributable to $ 104.8 million from first lien secured debt, $9.8 million from second lien secured debt and $3.0 million from subordinated debt and $26.2 from other investments. The decrease in investment income compared to the same periods in the prior year was primarily due to a decrease in dividend income.</w:t>
      </w:r>
    </w:p>
    <w:p>
      <w:pPr>
        <w:spacing w:after="0" w:line="87" w:lineRule="exact"/>
        <w:rPr>
          <w:sz w:val="20"/>
          <w:szCs w:val="20"/>
          <w:color w:val="auto"/>
        </w:rPr>
      </w:pPr>
    </w:p>
    <w:p>
      <w:pPr>
        <w:ind w:right="140" w:firstLine="420"/>
        <w:spacing w:after="0" w:line="286" w:lineRule="auto"/>
        <w:rPr>
          <w:sz w:val="20"/>
          <w:szCs w:val="20"/>
          <w:color w:val="auto"/>
        </w:rPr>
      </w:pPr>
      <w:r>
        <w:rPr>
          <w:rFonts w:ascii="Times New Roman" w:cs="Times New Roman" w:eastAsia="Times New Roman" w:hAnsi="Times New Roman"/>
          <w:sz w:val="13"/>
          <w:szCs w:val="13"/>
          <w:color w:val="auto"/>
        </w:rPr>
        <w:t>Investment income for the year ended September 30, 2023 was $145.4 million and was attributable to $97.2 million from first lien secured debt, $13.8 million from second lien secured debt and $4.7 million from subordinated debt and $29.7 million from preferred and common equity.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Expenses</w:t>
      </w:r>
    </w:p>
    <w:p>
      <w:pPr>
        <w:spacing w:after="0" w:line="131" w:lineRule="exact"/>
        <w:rPr>
          <w:sz w:val="20"/>
          <w:szCs w:val="20"/>
          <w:color w:val="auto"/>
        </w:rPr>
      </w:pPr>
    </w:p>
    <w:p>
      <w:pPr>
        <w:ind w:right="20" w:firstLine="420"/>
        <w:spacing w:after="0" w:line="268" w:lineRule="auto"/>
        <w:rPr>
          <w:sz w:val="20"/>
          <w:szCs w:val="20"/>
          <w:color w:val="auto"/>
        </w:rPr>
      </w:pPr>
      <w:r>
        <w:rPr>
          <w:rFonts w:ascii="Times New Roman" w:cs="Times New Roman" w:eastAsia="Times New Roman" w:hAnsi="Times New Roman"/>
          <w:sz w:val="13"/>
          <w:szCs w:val="13"/>
          <w:color w:val="auto"/>
        </w:rPr>
        <w:t>Net expenses for the year ended September 30, 2024 totaled $83.7 million. Base management fee for the same period totaled $ 16.7 million, incentive fee totaled $12.7 million, debt related interest and other financing expenses totaled $45.2 million and general and administrative expenses totaled $6.6 million and provision for taxes and totaled $2.6 million. The increase in expenses over the prior year was primarily due to an increase in debt related interest and expenses.</w:t>
      </w:r>
    </w:p>
    <w:p>
      <w:pPr>
        <w:spacing w:after="0" w:line="87" w:lineRule="exact"/>
        <w:rPr>
          <w:sz w:val="20"/>
          <w:szCs w:val="20"/>
          <w:color w:val="auto"/>
        </w:rPr>
      </w:pPr>
    </w:p>
    <w:p>
      <w:pPr>
        <w:ind w:right="180" w:firstLine="420"/>
        <w:spacing w:after="0" w:line="286" w:lineRule="auto"/>
        <w:rPr>
          <w:sz w:val="20"/>
          <w:szCs w:val="20"/>
          <w:color w:val="auto"/>
        </w:rPr>
      </w:pPr>
      <w:r>
        <w:rPr>
          <w:rFonts w:ascii="Times New Roman" w:cs="Times New Roman" w:eastAsia="Times New Roman" w:hAnsi="Times New Roman"/>
          <w:sz w:val="13"/>
          <w:szCs w:val="13"/>
          <w:color w:val="auto"/>
        </w:rPr>
        <w:t>Net expenses for the year ended September 30, 2023 totaled $79.8 million. Base management fee for the same period totaled $ 16.5 million, incentive fee totaled $13.9 million, debt related interest and other financing expenses totaled $39.4 million and general and administrative expenses totaled $5.7 million and provision for taxes totaled $4.3 million.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Net Investment Income</w:t>
      </w:r>
    </w:p>
    <w:p>
      <w:pPr>
        <w:spacing w:after="0" w:line="131" w:lineRule="exact"/>
        <w:rPr>
          <w:sz w:val="20"/>
          <w:szCs w:val="20"/>
          <w:color w:val="auto"/>
        </w:rPr>
      </w:pPr>
    </w:p>
    <w:p>
      <w:pPr>
        <w:ind w:right="180" w:firstLine="420"/>
        <w:spacing w:after="0" w:line="286" w:lineRule="auto"/>
        <w:rPr>
          <w:sz w:val="20"/>
          <w:szCs w:val="20"/>
          <w:color w:val="auto"/>
        </w:rPr>
      </w:pPr>
      <w:r>
        <w:rPr>
          <w:rFonts w:ascii="Times New Roman" w:cs="Times New Roman" w:eastAsia="Times New Roman" w:hAnsi="Times New Roman"/>
          <w:sz w:val="13"/>
          <w:szCs w:val="13"/>
          <w:color w:val="auto"/>
        </w:rPr>
        <w:t>For the years ended September 30, 2024 and 2023 net investment income totaled $60.1 million, or $0.92 per share, and $65.5 million, or $1.00 per share, respectively. The decrease in net investment income per share compared to the prior year was primarily due to an increase in debt-related interest expenses and decrease in dividend income.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Net Realized Gains or Losses</w:t>
      </w:r>
    </w:p>
    <w:p>
      <w:pPr>
        <w:spacing w:after="0" w:line="131" w:lineRule="exact"/>
        <w:rPr>
          <w:sz w:val="20"/>
          <w:szCs w:val="20"/>
          <w:color w:val="auto"/>
        </w:rPr>
      </w:pPr>
    </w:p>
    <w:p>
      <w:pPr>
        <w:ind w:right="140" w:firstLine="420"/>
        <w:spacing w:after="0" w:line="268" w:lineRule="auto"/>
        <w:rPr>
          <w:sz w:val="20"/>
          <w:szCs w:val="20"/>
          <w:color w:val="auto"/>
        </w:rPr>
      </w:pPr>
      <w:r>
        <w:rPr>
          <w:rFonts w:ascii="Times New Roman" w:cs="Times New Roman" w:eastAsia="Times New Roman" w:hAnsi="Times New Roman"/>
          <w:sz w:val="13"/>
          <w:szCs w:val="13"/>
          <w:color w:val="auto"/>
        </w:rPr>
        <w:t>For the years ended September 30, 2024 and 2023 net realized gain (loss) totaled $(33.6) million and $(156.8) million, respectively. The change in realized gains/losses was primarily due to changes in market conditions of our investments and the values at which they were realized and the fluctuations in the market and in the economy, as discussed above under “Forward-Looking Statements".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Unrealized Appreciation or Depreciation on Investments and Debt</w:t>
      </w:r>
    </w:p>
    <w:p>
      <w:pPr>
        <w:spacing w:after="0" w:line="131" w:lineRule="exact"/>
        <w:rPr>
          <w:sz w:val="20"/>
          <w:szCs w:val="20"/>
          <w:color w:val="auto"/>
        </w:rPr>
      </w:pPr>
    </w:p>
    <w:p>
      <w:pPr>
        <w:ind w:right="140" w:firstLine="420"/>
        <w:spacing w:after="0" w:line="262" w:lineRule="auto"/>
        <w:rPr>
          <w:sz w:val="20"/>
          <w:szCs w:val="20"/>
          <w:color w:val="auto"/>
        </w:rPr>
      </w:pPr>
      <w:r>
        <w:rPr>
          <w:rFonts w:ascii="Times New Roman" w:cs="Times New Roman" w:eastAsia="Times New Roman" w:hAnsi="Times New Roman"/>
          <w:sz w:val="13"/>
          <w:szCs w:val="13"/>
          <w:color w:val="auto"/>
        </w:rPr>
        <w:t>For the years ended September 30, 2024 and 2023, we reported net change unrealized appreciation (depreciation) on investments of $26.8 million and $61.2 million, respectively. As of September 30, 2024 and 2023, our net unrealized appreciation (depreciation) on investments totaled $ 11.2 million and $(16.3) million, respectively. The net change in unrealized appreciation/depreciation on our investments for the year ended September 30, 2024 compared to the prior year was primarily due to changes in the capital market conditions of our investments and the values at which they were realized and the fluctuation in the market and in the economy, as discussed above under the “Forward-Looking Statements” section above.</w:t>
      </w:r>
    </w:p>
    <w:p>
      <w:pPr>
        <w:spacing w:after="0" w:line="91" w:lineRule="exact"/>
        <w:rPr>
          <w:sz w:val="20"/>
          <w:szCs w:val="20"/>
          <w:color w:val="auto"/>
        </w:rPr>
      </w:pPr>
    </w:p>
    <w:p>
      <w:pPr>
        <w:jc w:val="both"/>
        <w:ind w:firstLine="420"/>
        <w:spacing w:after="0" w:line="268" w:lineRule="auto"/>
        <w:rPr>
          <w:sz w:val="20"/>
          <w:szCs w:val="20"/>
          <w:color w:val="auto"/>
        </w:rPr>
      </w:pPr>
      <w:r>
        <w:rPr>
          <w:rFonts w:ascii="Times New Roman" w:cs="Times New Roman" w:eastAsia="Times New Roman" w:hAnsi="Times New Roman"/>
          <w:sz w:val="13"/>
          <w:szCs w:val="13"/>
          <w:color w:val="auto"/>
        </w:rPr>
        <w:t>For the years ended September 30, 2024 and 2023, we reported a net unrealized appreciation (depreciation) in our Truist Credit Facility of $(4.4) million and $(3.8) million, respectively. As of September 30, 2024 and 2023, our net unrealized (appreciation) depreciation on our Truist Credit Facility totaled $1.1 million and $5.5 million, respectively. The net change in unrealized depreciation for the year ended September 30, 2024 compared to the prior year was primarily due to changes in the capital markets, as further discussed above under “Forward-Looking Statements”.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Net Change in Net Assets Resulting From Operations</w:t>
      </w:r>
    </w:p>
    <w:p>
      <w:pPr>
        <w:spacing w:after="0" w:line="131" w:lineRule="exact"/>
        <w:rPr>
          <w:sz w:val="20"/>
          <w:szCs w:val="20"/>
          <w:color w:val="auto"/>
        </w:rPr>
      </w:pPr>
    </w:p>
    <w:p>
      <w:pPr>
        <w:ind w:right="280" w:firstLine="420"/>
        <w:spacing w:after="0" w:line="268" w:lineRule="auto"/>
        <w:rPr>
          <w:sz w:val="20"/>
          <w:szCs w:val="20"/>
          <w:color w:val="auto"/>
        </w:rPr>
      </w:pPr>
      <w:r>
        <w:rPr>
          <w:rFonts w:ascii="Times New Roman" w:cs="Times New Roman" w:eastAsia="Times New Roman" w:hAnsi="Times New Roman"/>
          <w:sz w:val="13"/>
          <w:szCs w:val="13"/>
          <w:color w:val="auto"/>
        </w:rPr>
        <w:t>Net change in net assets resulting from operations totaled $48.9 million, or $0.75 per share, and $ (33.8) million, or $(0.52) per share, for the years ended September 30, 2024 and 2023, respectively. The increase in net assets from operations for the year ended September 30, 2024 compared to the prior year was primarily due to larger depreciation of the portfolioin the prior year primarily driven by changes in market conditions, as discussed above under “Forward-Looking Statements”.</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158" w:right="70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3"/>
          <w:szCs w:val="13"/>
          <w:b w:val="1"/>
          <w:bCs w:val="1"/>
          <w:color w:val="auto"/>
        </w:rPr>
        <w:t>LIQUIDITY AND CAPITAL RESOURCES</w:t>
      </w:r>
    </w:p>
    <w:p>
      <w:pPr>
        <w:spacing w:after="0" w:line="129" w:lineRule="exact"/>
        <w:rPr>
          <w:sz w:val="20"/>
          <w:szCs w:val="20"/>
          <w:color w:val="auto"/>
        </w:rPr>
      </w:pPr>
    </w:p>
    <w:p>
      <w:pPr>
        <w:ind w:right="200" w:firstLine="420"/>
        <w:spacing w:after="0" w:line="257" w:lineRule="auto"/>
        <w:rPr>
          <w:sz w:val="20"/>
          <w:szCs w:val="20"/>
          <w:color w:val="auto"/>
        </w:rPr>
      </w:pPr>
      <w:r>
        <w:rPr>
          <w:rFonts w:ascii="Times New Roman" w:cs="Times New Roman" w:eastAsia="Times New Roman" w:hAnsi="Times New Roman"/>
          <w:sz w:val="13"/>
          <w:szCs w:val="13"/>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interest expense, fees and other operating expenses we incur. We have used, and expect to continue to use, our debt capital, proceeds from the rotation of our portfolio and proceeds from public and private offerings of securities to finance our investment objectives. As of September 30, 2024, in accordance with the 1940 Act, with certain limited exceptions, we are only allowed to borrow amounts such that we are in compliance with a 150% asset coverage ratio requirement after such borrowing, excluding SBA debentures pursuant to exemptive relief from the SEC received in June 2011. This “Liquidity and Capital Resources” section should be read in conjunction with the “Forward-Looking Statements” section above.</w:t>
      </w:r>
    </w:p>
    <w:p>
      <w:pPr>
        <w:spacing w:after="0" w:line="96" w:lineRule="exact"/>
        <w:rPr>
          <w:sz w:val="20"/>
          <w:szCs w:val="20"/>
          <w:color w:val="auto"/>
        </w:rPr>
      </w:pPr>
    </w:p>
    <w:p>
      <w:pPr>
        <w:ind w:right="280" w:firstLine="420"/>
        <w:spacing w:after="0" w:line="262" w:lineRule="auto"/>
        <w:rPr>
          <w:sz w:val="20"/>
          <w:szCs w:val="20"/>
          <w:color w:val="auto"/>
        </w:rPr>
      </w:pPr>
      <w:r>
        <w:rPr>
          <w:rFonts w:ascii="Times New Roman" w:cs="Times New Roman" w:eastAsia="Times New Roman" w:hAnsi="Times New Roman"/>
          <w:sz w:val="13"/>
          <w:szCs w:val="13"/>
          <w:color w:val="auto"/>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w:t>
      </w:r>
    </w:p>
    <w:p>
      <w:pPr>
        <w:spacing w:after="0" w:line="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 of September 30, 2024 and 2023, our asset coverage ratio, as computed in accordance with the 1940 Act, was 164% and 195%, respectively.</w:t>
      </w:r>
    </w:p>
    <w:p>
      <w:pPr>
        <w:spacing w:after="0" w:line="127" w:lineRule="exact"/>
        <w:rPr>
          <w:sz w:val="20"/>
          <w:szCs w:val="20"/>
          <w:color w:val="auto"/>
        </w:rPr>
      </w:pPr>
    </w:p>
    <w:p>
      <w:pPr>
        <w:ind w:right="220" w:firstLine="420"/>
        <w:spacing w:after="0" w:line="286" w:lineRule="auto"/>
        <w:rPr>
          <w:sz w:val="20"/>
          <w:szCs w:val="20"/>
          <w:color w:val="auto"/>
        </w:rPr>
      </w:pPr>
      <w:r>
        <w:rPr>
          <w:rFonts w:ascii="Times New Roman" w:cs="Times New Roman" w:eastAsia="Times New Roman" w:hAnsi="Times New Roman"/>
          <w:sz w:val="13"/>
          <w:szCs w:val="13"/>
          <w:color w:val="auto"/>
        </w:rPr>
        <w:t>The annualized weighted average cost of debt for the years ended September 30, 2024 and 2023, inclusive of the fee on the undrawn commitment and amendment costs on the Truist Credit Facility, was 6.5% and 6.0%, respectively.</w:t>
      </w:r>
    </w:p>
    <w:p>
      <w:pPr>
        <w:spacing w:after="0" w:line="76" w:lineRule="exact"/>
        <w:rPr>
          <w:sz w:val="20"/>
          <w:szCs w:val="20"/>
          <w:color w:val="auto"/>
        </w:rPr>
      </w:pPr>
    </w:p>
    <w:p>
      <w:pPr>
        <w:ind w:right="60" w:firstLine="420"/>
        <w:spacing w:after="0" w:line="256" w:lineRule="auto"/>
        <w:rPr>
          <w:sz w:val="20"/>
          <w:szCs w:val="20"/>
          <w:color w:val="auto"/>
        </w:rPr>
      </w:pPr>
      <w:r>
        <w:rPr>
          <w:rFonts w:ascii="Times New Roman" w:cs="Times New Roman" w:eastAsia="Times New Roman" w:hAnsi="Times New Roman"/>
          <w:sz w:val="13"/>
          <w:szCs w:val="13"/>
          <w:color w:val="auto"/>
        </w:rPr>
        <w:t>As of September 30, 2024, we had the multi- currency Truist Credit Facility for up to $475.0 million, which may be further increased up to $750.0 million in borrowings with certain lenders and Truist Bank (formerly SunTrust Bank), acting as administrative agent, Regions Bank, acting as an additional multicurrency lender, and JPMorgan Chase Bank, N.A., acting as syndication agent for the lenders. As of September 30, 2024 and 2023, we had $461.5 million and $212.4 million, respectively, in outstanding borrowings under the Truist Credit Facility. The Truist Credit Facility had a weighted average interest rate of 7.2% and 7.7%, respectively, exclusive of the fee on undrawn commitments, as of September 30, 2024 and 2023. The Truist Credit Facility is a revolving facility with a stated maturity date of July 29, 2027 and pricing set at 235 basis points over SOFR. As of September 30, 2024 and 2023, we had $13.5 million and $262.6 million of unused borrowing capacity under the Truist Credit Facility, respectively, subject to leverage and borrowing base restrictions. The Truist Credit Facility is secured by substantially all of our assets. As of September 30, 2024, we were in compliance with the terms of the Truist Credit Facility.</w:t>
      </w:r>
    </w:p>
    <w:p>
      <w:pPr>
        <w:spacing w:after="0" w:line="96"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As of September 30, 2024, we had $150.0 million in aggregate principal amount of 2026 Notes outstanding. Interest on the 2026 Notes is paid semi-annually on May 1 and November 1, at a rate of 4.50% per year, commencing November 1, 2021. The 2026 Notes mature on May 1, 2026, and may be redeemed in whole or in part at our option subject to a make-whole premium if redeemed more than three months prior to maturity. The 2026 Notes are direct unsecured obligations and rank pari passu in right of payment with future unsecured unsubordinated indebtedness. The 2026 Notes are structurally subordinated to all existing and future indebtedness and other obligations of any of our subsidiaries, financing vehicles, or similar facilities.</w:t>
      </w:r>
    </w:p>
    <w:p>
      <w:pPr>
        <w:spacing w:after="0" w:line="91" w:lineRule="exact"/>
        <w:rPr>
          <w:sz w:val="20"/>
          <w:szCs w:val="20"/>
          <w:color w:val="auto"/>
        </w:rPr>
      </w:pPr>
    </w:p>
    <w:p>
      <w:pPr>
        <w:ind w:right="140" w:firstLine="420"/>
        <w:spacing w:after="0" w:line="262" w:lineRule="auto"/>
        <w:rPr>
          <w:sz w:val="20"/>
          <w:szCs w:val="20"/>
          <w:color w:val="auto"/>
        </w:rPr>
      </w:pPr>
      <w:r>
        <w:rPr>
          <w:rFonts w:ascii="Times New Roman" w:cs="Times New Roman" w:eastAsia="Times New Roman" w:hAnsi="Times New Roman"/>
          <w:sz w:val="13"/>
          <w:szCs w:val="13"/>
          <w:color w:val="auto"/>
        </w:rPr>
        <w:t>As of September 30, 2024, we had $165.0 million in aggregate principal amount of 2026 Notes- 2 outstanding. Interest on the 2026 Notes is paid semi-annually on May 1 and November 1, at a rate of 4.0% per year, commencing May 1, 2022. The 2026 Notes-2 mature on November 1, 2026,and may be redeemed in whole or in part at our option subject to a make-whole premium if redeemed more than three months prior to maturity. The 2026 Notes-2 are direct unsecured obligations and rank pari passu in right of payment with future unsecured unsubordinated indebtedness. The 2026 Notes-2 are structurally subordinated to all existing and future indebtedness and other obligations of any of our subsidiaries, financing vehicles, or similar facilities.</w:t>
      </w:r>
    </w:p>
    <w:p>
      <w:pPr>
        <w:spacing w:after="0" w:line="91"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3"/>
          <w:szCs w:val="13"/>
          <w:color w:val="auto"/>
        </w:rPr>
        <w:t>We may raise additional equity or debt capital through both registered offerings off our shelf registration statement and private offerings of securities, by securitizing a portion of our investments, among other sources. Any future additional debt capital we incur, to the extent it is available, may be issued at a higher cost and on less favorable terms and conditions than the Truist Credit Facility, 2026 Notes, and 2026 Notes-2. Furthermore, the Truist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stock repurchase program.</w:t>
      </w:r>
    </w:p>
    <w:p>
      <w:pPr>
        <w:spacing w:after="0" w:line="94" w:lineRule="exact"/>
        <w:rPr>
          <w:sz w:val="20"/>
          <w:szCs w:val="20"/>
          <w:color w:val="auto"/>
        </w:rPr>
      </w:pPr>
    </w:p>
    <w:p>
      <w:pPr>
        <w:ind w:right="20" w:firstLine="420"/>
        <w:spacing w:after="0" w:line="262" w:lineRule="auto"/>
        <w:rPr>
          <w:sz w:val="20"/>
          <w:szCs w:val="20"/>
          <w:color w:val="auto"/>
        </w:rPr>
      </w:pPr>
      <w:r>
        <w:rPr>
          <w:rFonts w:ascii="Times New Roman" w:cs="Times New Roman" w:eastAsia="Times New Roman" w:hAnsi="Times New Roman"/>
          <w:sz w:val="13"/>
          <w:szCs w:val="13"/>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May 2024 PennantPark Investment Advisers serves as our investment adviser. Payments under our Investment Management Agreement in each reporting period are equal to (1) a management fee equal to a percentage of the value of our average adjusted gross assets and (2) an incentive fee based on our performance.</w:t>
      </w:r>
    </w:p>
    <w:p>
      <w:pPr>
        <w:spacing w:after="0" w:line="91"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Under our Administration Agreement, which was most recently reapproved by our board of directors, including a majority of our directors who are not interested persons of us, in May 2024, the administrative services necessary to conduct our day-to- day operations.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Corporate Counsel and their respective staffs.</w:t>
      </w:r>
    </w:p>
    <w:p>
      <w:pPr>
        <w:spacing w:after="0" w:line="91" w:lineRule="exact"/>
        <w:rPr>
          <w:sz w:val="20"/>
          <w:szCs w:val="20"/>
          <w:color w:val="auto"/>
        </w:rPr>
      </w:pPr>
    </w:p>
    <w:p>
      <w:pPr>
        <w:ind w:firstLine="420"/>
        <w:spacing w:after="0" w:line="268" w:lineRule="auto"/>
        <w:rPr>
          <w:sz w:val="20"/>
          <w:szCs w:val="20"/>
          <w:color w:val="auto"/>
        </w:rPr>
      </w:pPr>
      <w:r>
        <w:rPr>
          <w:rFonts w:ascii="Times New Roman" w:cs="Times New Roman" w:eastAsia="Times New Roman" w:hAnsi="Times New Roman"/>
          <w:sz w:val="13"/>
          <w:szCs w:val="13"/>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23" w:lineRule="exact"/>
        <w:rPr>
          <w:sz w:val="20"/>
          <w:szCs w:val="20"/>
          <w:color w:val="auto"/>
        </w:rPr>
      </w:pPr>
    </w:p>
    <w:p>
      <w:pPr>
        <w:ind w:right="60" w:firstLine="420"/>
        <w:spacing w:after="0" w:line="286" w:lineRule="auto"/>
        <w:rPr>
          <w:sz w:val="20"/>
          <w:szCs w:val="20"/>
          <w:color w:val="auto"/>
        </w:rPr>
      </w:pPr>
      <w:r>
        <w:rPr>
          <w:rFonts w:ascii="Times New Roman" w:cs="Times New Roman" w:eastAsia="Times New Roman" w:hAnsi="Times New Roman"/>
          <w:sz w:val="13"/>
          <w:szCs w:val="13"/>
          <w:color w:val="auto"/>
        </w:rPr>
        <w:t>As of September 30, 2024 and 2023, we had cash and cash equivalents of $49.9 million and $38.8 million, respectively, available for investing and general corporate purposes. We believe our liquidity and capital resources are sufficient to allow us to effectively operate our business.</w:t>
      </w:r>
    </w:p>
    <w:p>
      <w:pPr>
        <w:spacing w:after="0" w:line="76" w:lineRule="exact"/>
        <w:rPr>
          <w:sz w:val="20"/>
          <w:szCs w:val="20"/>
          <w:color w:val="auto"/>
        </w:rPr>
      </w:pPr>
    </w:p>
    <w:p>
      <w:pPr>
        <w:ind w:right="160" w:firstLine="420"/>
        <w:spacing w:after="0" w:line="286" w:lineRule="auto"/>
        <w:rPr>
          <w:sz w:val="20"/>
          <w:szCs w:val="20"/>
          <w:color w:val="auto"/>
        </w:rPr>
      </w:pPr>
      <w:r>
        <w:rPr>
          <w:rFonts w:ascii="Times New Roman" w:cs="Times New Roman" w:eastAsia="Times New Roman" w:hAnsi="Times New Roman"/>
          <w:sz w:val="13"/>
          <w:szCs w:val="13"/>
          <w:color w:val="auto"/>
        </w:rPr>
        <w:t>Our operating activities used cash of $(172.4) million for the year ended September 30, 2024, and our financing activities provided cash of $183.4 million for the same period. Our operating activities used cash primarily for our investment activities and our financing activities provided cash primarily from borrowings under our Truist Credit Facility.</w:t>
      </w:r>
    </w:p>
    <w:p>
      <w:pPr>
        <w:spacing w:after="0" w:line="76" w:lineRule="exact"/>
        <w:rPr>
          <w:sz w:val="20"/>
          <w:szCs w:val="20"/>
          <w:color w:val="auto"/>
        </w:rPr>
      </w:pPr>
    </w:p>
    <w:p>
      <w:pPr>
        <w:ind w:right="240" w:firstLine="420"/>
        <w:spacing w:after="0" w:line="286" w:lineRule="auto"/>
        <w:rPr>
          <w:sz w:val="20"/>
          <w:szCs w:val="20"/>
          <w:color w:val="auto"/>
        </w:rPr>
      </w:pPr>
      <w:r>
        <w:rPr>
          <w:rFonts w:ascii="Times New Roman" w:cs="Times New Roman" w:eastAsia="Times New Roman" w:hAnsi="Times New Roman"/>
          <w:sz w:val="13"/>
          <w:szCs w:val="13"/>
          <w:color w:val="auto"/>
        </w:rPr>
        <w:t>Our operating activities provided cash of $222.9 million for the year ended September 30, 2023, and our financing activities used cash of $239.2 million for the same period. Our operating activities provided cash primarily from our investment activities and our financing activities used cash primarily from net repayments under our Truist Credit Facility.</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For more information regarding our borrowing arrangements, see “Business—Leverage” above.</w:t>
      </w: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76" w:right="66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3"/>
          <w:szCs w:val="13"/>
          <w:b w:val="1"/>
          <w:bCs w:val="1"/>
          <w:color w:val="auto"/>
        </w:rPr>
        <w:t>Senior Securities</w:t>
      </w:r>
    </w:p>
    <w:p>
      <w:pPr>
        <w:spacing w:after="0" w:line="165" w:lineRule="exact"/>
        <w:rPr>
          <w:sz w:val="20"/>
          <w:szCs w:val="20"/>
          <w:color w:val="auto"/>
        </w:rPr>
      </w:pPr>
    </w:p>
    <w:p>
      <w:pPr>
        <w:ind w:right="120" w:firstLine="420"/>
        <w:spacing w:after="0" w:line="286" w:lineRule="auto"/>
        <w:rPr>
          <w:sz w:val="20"/>
          <w:szCs w:val="20"/>
          <w:color w:val="auto"/>
        </w:rPr>
      </w:pPr>
      <w:r>
        <w:rPr>
          <w:rFonts w:ascii="Times New Roman" w:cs="Times New Roman" w:eastAsia="Times New Roman" w:hAnsi="Times New Roman"/>
          <w:sz w:val="13"/>
          <w:szCs w:val="13"/>
          <w:color w:val="auto"/>
        </w:rPr>
        <w:t>Information about our senior securities is shown in the following table as of September 30, 2024, 2023, 2022, 2021, 2020, 2019, 2018, 2017, 2016, and 2015. The report of RSM US LLP, an independent registered public accounting firm, on the Senior Securities table as of September 30, 2024, is attached as an exhibit to this Report.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5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0" w:type="dxa"/>
            <w:vAlign w:val="bottom"/>
          </w:tcPr>
          <w:p>
            <w:pPr>
              <w:jc w:val="right"/>
              <w:ind w:right="814"/>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540" w:type="dxa"/>
            <w:vAlign w:val="bottom"/>
          </w:tcPr>
          <w:p>
            <w:pPr>
              <w:spacing w:after="0"/>
              <w:rPr>
                <w:sz w:val="12"/>
                <w:szCs w:val="12"/>
                <w:color w:val="auto"/>
              </w:rPr>
            </w:pPr>
          </w:p>
        </w:tc>
        <w:tc>
          <w:tcPr>
            <w:tcW w:w="2980" w:type="dxa"/>
            <w:vAlign w:val="bottom"/>
          </w:tcPr>
          <w:p>
            <w:pPr>
              <w:ind w:left="1300"/>
              <w:spacing w:after="0" w:line="145" w:lineRule="exact"/>
              <w:rPr>
                <w:sz w:val="20"/>
                <w:szCs w:val="20"/>
                <w:color w:val="auto"/>
              </w:rPr>
            </w:pPr>
            <w:r>
              <w:rPr>
                <w:rFonts w:ascii="Times New Roman" w:cs="Times New Roman" w:eastAsia="Times New Roman" w:hAnsi="Times New Roman"/>
                <w:sz w:val="13"/>
                <w:szCs w:val="13"/>
                <w:b w:val="1"/>
                <w:bCs w:val="1"/>
                <w:color w:val="auto"/>
              </w:rPr>
              <w:t>Total Amount</w:t>
            </w:r>
          </w:p>
        </w:tc>
        <w:tc>
          <w:tcPr>
            <w:tcW w:w="460" w:type="dxa"/>
            <w:vAlign w:val="bottom"/>
          </w:tcPr>
          <w:p>
            <w:pPr>
              <w:spacing w:after="0"/>
              <w:rPr>
                <w:sz w:val="12"/>
                <w:szCs w:val="12"/>
                <w:color w:val="auto"/>
              </w:rPr>
            </w:pPr>
          </w:p>
        </w:tc>
        <w:tc>
          <w:tcPr>
            <w:tcW w:w="1800" w:type="dxa"/>
            <w:vAlign w:val="bottom"/>
          </w:tcPr>
          <w:p>
            <w:pPr>
              <w:jc w:val="right"/>
              <w:ind w:right="654"/>
              <w:spacing w:after="0" w:line="145" w:lineRule="exact"/>
              <w:rPr>
                <w:sz w:val="20"/>
                <w:szCs w:val="20"/>
                <w:color w:val="auto"/>
              </w:rPr>
            </w:pPr>
            <w:r>
              <w:rPr>
                <w:rFonts w:ascii="Times New Roman" w:cs="Times New Roman" w:eastAsia="Times New Roman" w:hAnsi="Times New Roman"/>
                <w:sz w:val="13"/>
                <w:szCs w:val="13"/>
                <w:b w:val="1"/>
                <w:bCs w:val="1"/>
                <w:color w:val="auto"/>
              </w:rPr>
              <w:t>Asset Coverage</w:t>
            </w:r>
          </w:p>
        </w:tc>
        <w:tc>
          <w:tcPr>
            <w:tcW w:w="520" w:type="dxa"/>
            <w:vAlign w:val="bottom"/>
          </w:tcPr>
          <w:p>
            <w:pPr>
              <w:spacing w:after="0"/>
              <w:rPr>
                <w:sz w:val="12"/>
                <w:szCs w:val="12"/>
                <w:color w:val="auto"/>
              </w:rPr>
            </w:pPr>
          </w:p>
        </w:tc>
        <w:tc>
          <w:tcPr>
            <w:tcW w:w="1800" w:type="dxa"/>
            <w:vAlign w:val="bottom"/>
          </w:tcPr>
          <w:p>
            <w:pPr>
              <w:jc w:val="right"/>
              <w:ind w:right="654"/>
              <w:spacing w:after="0" w:line="145" w:lineRule="exact"/>
              <w:rPr>
                <w:sz w:val="20"/>
                <w:szCs w:val="20"/>
                <w:color w:val="auto"/>
              </w:rPr>
            </w:pPr>
            <w:r>
              <w:rPr>
                <w:rFonts w:ascii="Times New Roman" w:cs="Times New Roman" w:eastAsia="Times New Roman" w:hAnsi="Times New Roman"/>
                <w:sz w:val="13"/>
                <w:szCs w:val="13"/>
                <w:b w:val="1"/>
                <w:bCs w:val="1"/>
                <w:color w:val="auto"/>
              </w:rPr>
              <w:t>Market Value</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25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Class and Year</w:t>
            </w:r>
          </w:p>
        </w:tc>
        <w:tc>
          <w:tcPr>
            <w:tcW w:w="2980" w:type="dxa"/>
            <w:vAlign w:val="bottom"/>
          </w:tcPr>
          <w:p>
            <w:pPr>
              <w:ind w:left="1300"/>
              <w:spacing w:after="0"/>
              <w:rPr>
                <w:sz w:val="20"/>
                <w:szCs w:val="20"/>
                <w:color w:val="auto"/>
              </w:rPr>
            </w:pPr>
            <w:r>
              <w:rPr>
                <w:rFonts w:ascii="Times New Roman" w:cs="Times New Roman" w:eastAsia="Times New Roman" w:hAnsi="Times New Roman"/>
                <w:sz w:val="13"/>
                <w:szCs w:val="13"/>
                <w:b w:val="1"/>
                <w:bCs w:val="1"/>
                <w:color w:val="auto"/>
              </w:rPr>
              <w:t xml:space="preserve">Outstanding </w:t>
            </w:r>
            <w:r>
              <w:rPr>
                <w:rFonts w:ascii="Times New Roman" w:cs="Times New Roman" w:eastAsia="Times New Roman" w:hAnsi="Times New Roman"/>
                <w:sz w:val="16"/>
                <w:szCs w:val="16"/>
                <w:b w:val="1"/>
                <w:bCs w:val="1"/>
                <w:color w:val="auto"/>
                <w:vertAlign w:val="superscript"/>
              </w:rPr>
              <w:t>(1)</w:t>
            </w:r>
          </w:p>
        </w:tc>
        <w:tc>
          <w:tcPr>
            <w:tcW w:w="460" w:type="dxa"/>
            <w:vAlign w:val="bottom"/>
          </w:tcPr>
          <w:p>
            <w:pPr>
              <w:spacing w:after="0"/>
              <w:rPr>
                <w:sz w:val="19"/>
                <w:szCs w:val="19"/>
                <w:color w:val="auto"/>
              </w:rPr>
            </w:pPr>
          </w:p>
        </w:tc>
        <w:tc>
          <w:tcPr>
            <w:tcW w:w="1800" w:type="dxa"/>
            <w:vAlign w:val="bottom"/>
          </w:tcPr>
          <w:p>
            <w:pPr>
              <w:jc w:val="right"/>
              <w:ind w:right="694"/>
              <w:spacing w:after="0"/>
              <w:rPr>
                <w:sz w:val="20"/>
                <w:szCs w:val="20"/>
                <w:color w:val="auto"/>
              </w:rPr>
            </w:pPr>
            <w:r>
              <w:rPr>
                <w:rFonts w:ascii="Times New Roman" w:cs="Times New Roman" w:eastAsia="Times New Roman" w:hAnsi="Times New Roman"/>
                <w:sz w:val="13"/>
                <w:szCs w:val="13"/>
                <w:b w:val="1"/>
                <w:bCs w:val="1"/>
                <w:color w:val="auto"/>
              </w:rPr>
              <w:t xml:space="preserve">Per Unit </w:t>
            </w:r>
            <w:r>
              <w:rPr>
                <w:rFonts w:ascii="Times New Roman" w:cs="Times New Roman" w:eastAsia="Times New Roman" w:hAnsi="Times New Roman"/>
                <w:sz w:val="16"/>
                <w:szCs w:val="16"/>
                <w:b w:val="1"/>
                <w:bCs w:val="1"/>
                <w:color w:val="auto"/>
                <w:vertAlign w:val="superscript"/>
              </w:rPr>
              <w:t>(2), (3)</w:t>
            </w:r>
          </w:p>
        </w:tc>
        <w:tc>
          <w:tcPr>
            <w:tcW w:w="520" w:type="dxa"/>
            <w:vAlign w:val="bottom"/>
          </w:tcPr>
          <w:p>
            <w:pPr>
              <w:spacing w:after="0"/>
              <w:rPr>
                <w:sz w:val="19"/>
                <w:szCs w:val="19"/>
                <w:color w:val="auto"/>
              </w:rPr>
            </w:pPr>
          </w:p>
        </w:tc>
        <w:tc>
          <w:tcPr>
            <w:tcW w:w="1800" w:type="dxa"/>
            <w:vAlign w:val="bottom"/>
          </w:tcPr>
          <w:p>
            <w:pPr>
              <w:jc w:val="right"/>
              <w:ind w:right="794"/>
              <w:spacing w:after="0"/>
              <w:rPr>
                <w:sz w:val="20"/>
                <w:szCs w:val="20"/>
                <w:color w:val="auto"/>
              </w:rPr>
            </w:pPr>
            <w:r>
              <w:rPr>
                <w:rFonts w:ascii="Times New Roman" w:cs="Times New Roman" w:eastAsia="Times New Roman" w:hAnsi="Times New Roman"/>
                <w:sz w:val="13"/>
                <w:szCs w:val="13"/>
                <w:b w:val="1"/>
                <w:bCs w:val="1"/>
                <w:color w:val="auto"/>
              </w:rPr>
              <w:t>Per Unit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5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Truist Credit Facility</w:t>
            </w:r>
          </w:p>
        </w:tc>
        <w:tc>
          <w:tcPr>
            <w:tcW w:w="2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2024</w:t>
            </w:r>
          </w:p>
        </w:tc>
        <w:tc>
          <w:tcPr>
            <w:tcW w:w="298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461,456</w:t>
            </w:r>
          </w:p>
        </w:tc>
        <w:tc>
          <w:tcPr>
            <w:tcW w:w="460" w:type="dxa"/>
            <w:vAlign w:val="bottom"/>
            <w:shd w:val="clear" w:color="auto" w:fill="CCECFF"/>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180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1,637</w:t>
            </w:r>
          </w:p>
        </w:tc>
        <w:tc>
          <w:tcPr>
            <w:tcW w:w="520" w:type="dxa"/>
            <w:vAlign w:val="bottom"/>
            <w:shd w:val="clear" w:color="auto" w:fill="CCECFF"/>
          </w:tcPr>
          <w:p>
            <w:pPr>
              <w:spacing w:after="0"/>
              <w:rPr>
                <w:sz w:val="18"/>
                <w:szCs w:val="18"/>
                <w:color w:val="auto"/>
              </w:rPr>
            </w:pPr>
          </w:p>
        </w:tc>
        <w:tc>
          <w:tcPr>
            <w:tcW w:w="1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2023</w:t>
            </w:r>
          </w:p>
        </w:tc>
        <w:tc>
          <w:tcPr>
            <w:tcW w:w="29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212,420</w:t>
            </w:r>
          </w:p>
        </w:tc>
        <w:tc>
          <w:tcPr>
            <w:tcW w:w="460" w:type="dxa"/>
            <w:vAlign w:val="bottom"/>
          </w:tcPr>
          <w:p>
            <w:pPr>
              <w:spacing w:after="0"/>
              <w:rPr>
                <w:sz w:val="18"/>
                <w:szCs w:val="18"/>
                <w:color w:val="auto"/>
              </w:rPr>
            </w:pPr>
          </w:p>
        </w:tc>
        <w:tc>
          <w:tcPr>
            <w:tcW w:w="18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1,952</w:t>
            </w:r>
          </w:p>
        </w:tc>
        <w:tc>
          <w:tcPr>
            <w:tcW w:w="5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2022</w:t>
            </w:r>
          </w:p>
        </w:tc>
        <w:tc>
          <w:tcPr>
            <w:tcW w:w="298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385,920</w:t>
            </w:r>
          </w:p>
        </w:tc>
        <w:tc>
          <w:tcPr>
            <w:tcW w:w="460" w:type="dxa"/>
            <w:vAlign w:val="bottom"/>
            <w:shd w:val="clear" w:color="auto" w:fill="CCECFF"/>
          </w:tcPr>
          <w:p>
            <w:pPr>
              <w:spacing w:after="0"/>
              <w:rPr>
                <w:sz w:val="18"/>
                <w:szCs w:val="18"/>
                <w:color w:val="auto"/>
              </w:rPr>
            </w:pPr>
          </w:p>
        </w:tc>
        <w:tc>
          <w:tcPr>
            <w:tcW w:w="180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1,855</w:t>
            </w:r>
          </w:p>
        </w:tc>
        <w:tc>
          <w:tcPr>
            <w:tcW w:w="520" w:type="dxa"/>
            <w:vAlign w:val="bottom"/>
            <w:shd w:val="clear" w:color="auto" w:fill="CCECFF"/>
          </w:tcPr>
          <w:p>
            <w:pPr>
              <w:spacing w:after="0"/>
              <w:rPr>
                <w:sz w:val="18"/>
                <w:szCs w:val="18"/>
                <w:color w:val="auto"/>
              </w:rPr>
            </w:pPr>
          </w:p>
        </w:tc>
        <w:tc>
          <w:tcPr>
            <w:tcW w:w="1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2021</w:t>
            </w:r>
          </w:p>
        </w:tc>
        <w:tc>
          <w:tcPr>
            <w:tcW w:w="29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316,545</w:t>
            </w:r>
          </w:p>
        </w:tc>
        <w:tc>
          <w:tcPr>
            <w:tcW w:w="460" w:type="dxa"/>
            <w:vAlign w:val="bottom"/>
          </w:tcPr>
          <w:p>
            <w:pPr>
              <w:spacing w:after="0"/>
              <w:rPr>
                <w:sz w:val="18"/>
                <w:szCs w:val="18"/>
                <w:color w:val="auto"/>
              </w:rPr>
            </w:pPr>
          </w:p>
        </w:tc>
        <w:tc>
          <w:tcPr>
            <w:tcW w:w="18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2,208</w:t>
            </w:r>
          </w:p>
        </w:tc>
        <w:tc>
          <w:tcPr>
            <w:tcW w:w="5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2020</w:t>
            </w:r>
          </w:p>
        </w:tc>
        <w:tc>
          <w:tcPr>
            <w:tcW w:w="298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388,252</w:t>
            </w:r>
          </w:p>
        </w:tc>
        <w:tc>
          <w:tcPr>
            <w:tcW w:w="460" w:type="dxa"/>
            <w:vAlign w:val="bottom"/>
            <w:shd w:val="clear" w:color="auto" w:fill="CCECFF"/>
          </w:tcPr>
          <w:p>
            <w:pPr>
              <w:spacing w:after="0"/>
              <w:rPr>
                <w:sz w:val="13"/>
                <w:szCs w:val="13"/>
                <w:color w:val="auto"/>
              </w:rPr>
            </w:pPr>
          </w:p>
        </w:tc>
        <w:tc>
          <w:tcPr>
            <w:tcW w:w="180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2,078</w:t>
            </w:r>
          </w:p>
        </w:tc>
        <w:tc>
          <w:tcPr>
            <w:tcW w:w="520" w:type="dxa"/>
            <w:vAlign w:val="bottom"/>
            <w:shd w:val="clear" w:color="auto" w:fill="CCECFF"/>
          </w:tcPr>
          <w:p>
            <w:pPr>
              <w:spacing w:after="0"/>
              <w:rPr>
                <w:sz w:val="13"/>
                <w:szCs w:val="13"/>
                <w:color w:val="auto"/>
              </w:rPr>
            </w:pPr>
          </w:p>
        </w:tc>
        <w:tc>
          <w:tcPr>
            <w:tcW w:w="1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2019</w:t>
            </w:r>
          </w:p>
        </w:tc>
        <w:tc>
          <w:tcPr>
            <w:tcW w:w="29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301,636</w:t>
            </w:r>
          </w:p>
        </w:tc>
        <w:tc>
          <w:tcPr>
            <w:tcW w:w="460" w:type="dxa"/>
            <w:vAlign w:val="bottom"/>
          </w:tcPr>
          <w:p>
            <w:pPr>
              <w:spacing w:after="0"/>
              <w:rPr>
                <w:sz w:val="13"/>
                <w:szCs w:val="13"/>
                <w:color w:val="auto"/>
              </w:rPr>
            </w:pPr>
          </w:p>
        </w:tc>
        <w:tc>
          <w:tcPr>
            <w:tcW w:w="18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2,066</w:t>
            </w:r>
          </w:p>
        </w:tc>
        <w:tc>
          <w:tcPr>
            <w:tcW w:w="52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2018</w:t>
            </w:r>
          </w:p>
        </w:tc>
        <w:tc>
          <w:tcPr>
            <w:tcW w:w="298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80,520</w:t>
            </w:r>
          </w:p>
        </w:tc>
        <w:tc>
          <w:tcPr>
            <w:tcW w:w="460" w:type="dxa"/>
            <w:vAlign w:val="bottom"/>
            <w:shd w:val="clear" w:color="auto" w:fill="CCECFF"/>
          </w:tcPr>
          <w:p>
            <w:pPr>
              <w:spacing w:after="0"/>
              <w:rPr>
                <w:sz w:val="13"/>
                <w:szCs w:val="13"/>
                <w:color w:val="auto"/>
              </w:rPr>
            </w:pPr>
          </w:p>
        </w:tc>
        <w:tc>
          <w:tcPr>
            <w:tcW w:w="180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2,919</w:t>
            </w:r>
          </w:p>
        </w:tc>
        <w:tc>
          <w:tcPr>
            <w:tcW w:w="520" w:type="dxa"/>
            <w:vAlign w:val="bottom"/>
            <w:shd w:val="clear" w:color="auto" w:fill="CCECFF"/>
          </w:tcPr>
          <w:p>
            <w:pPr>
              <w:spacing w:after="0"/>
              <w:rPr>
                <w:sz w:val="13"/>
                <w:szCs w:val="13"/>
                <w:color w:val="auto"/>
              </w:rPr>
            </w:pPr>
          </w:p>
        </w:tc>
        <w:tc>
          <w:tcPr>
            <w:tcW w:w="1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2017</w:t>
            </w:r>
          </w:p>
        </w:tc>
        <w:tc>
          <w:tcPr>
            <w:tcW w:w="29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79,393</w:t>
            </w:r>
          </w:p>
        </w:tc>
        <w:tc>
          <w:tcPr>
            <w:tcW w:w="460" w:type="dxa"/>
            <w:vAlign w:val="bottom"/>
          </w:tcPr>
          <w:p>
            <w:pPr>
              <w:spacing w:after="0"/>
              <w:rPr>
                <w:sz w:val="13"/>
                <w:szCs w:val="13"/>
                <w:color w:val="auto"/>
              </w:rPr>
            </w:pPr>
          </w:p>
        </w:tc>
        <w:tc>
          <w:tcPr>
            <w:tcW w:w="18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2,998</w:t>
            </w:r>
          </w:p>
        </w:tc>
        <w:tc>
          <w:tcPr>
            <w:tcW w:w="52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2016</w:t>
            </w:r>
          </w:p>
        </w:tc>
        <w:tc>
          <w:tcPr>
            <w:tcW w:w="298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50,340</w:t>
            </w:r>
          </w:p>
        </w:tc>
        <w:tc>
          <w:tcPr>
            <w:tcW w:w="460" w:type="dxa"/>
            <w:vAlign w:val="bottom"/>
            <w:shd w:val="clear" w:color="auto" w:fill="CCECFF"/>
          </w:tcPr>
          <w:p>
            <w:pPr>
              <w:spacing w:after="0"/>
              <w:rPr>
                <w:sz w:val="13"/>
                <w:szCs w:val="13"/>
                <w:color w:val="auto"/>
              </w:rPr>
            </w:pPr>
          </w:p>
        </w:tc>
        <w:tc>
          <w:tcPr>
            <w:tcW w:w="180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2,794</w:t>
            </w:r>
          </w:p>
        </w:tc>
        <w:tc>
          <w:tcPr>
            <w:tcW w:w="520" w:type="dxa"/>
            <w:vAlign w:val="bottom"/>
            <w:shd w:val="clear" w:color="auto" w:fill="CCECFF"/>
          </w:tcPr>
          <w:p>
            <w:pPr>
              <w:spacing w:after="0"/>
              <w:rPr>
                <w:sz w:val="13"/>
                <w:szCs w:val="13"/>
                <w:color w:val="auto"/>
              </w:rPr>
            </w:pPr>
          </w:p>
        </w:tc>
        <w:tc>
          <w:tcPr>
            <w:tcW w:w="1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2015</w:t>
            </w:r>
          </w:p>
        </w:tc>
        <w:tc>
          <w:tcPr>
            <w:tcW w:w="29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136,864</w:t>
            </w:r>
          </w:p>
        </w:tc>
        <w:tc>
          <w:tcPr>
            <w:tcW w:w="460" w:type="dxa"/>
            <w:vAlign w:val="bottom"/>
          </w:tcPr>
          <w:p>
            <w:pPr>
              <w:spacing w:after="0"/>
              <w:rPr>
                <w:sz w:val="13"/>
                <w:szCs w:val="13"/>
                <w:color w:val="auto"/>
              </w:rPr>
            </w:pPr>
          </w:p>
        </w:tc>
        <w:tc>
          <w:tcPr>
            <w:tcW w:w="18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2,586</w:t>
            </w:r>
          </w:p>
        </w:tc>
        <w:tc>
          <w:tcPr>
            <w:tcW w:w="52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BNP Credit Facility</w:t>
            </w:r>
          </w:p>
        </w:tc>
        <w:tc>
          <w:tcPr>
            <w:tcW w:w="2980" w:type="dxa"/>
            <w:vAlign w:val="bottom"/>
            <w:shd w:val="clear" w:color="auto" w:fill="CCECFF"/>
          </w:tcPr>
          <w:p>
            <w:pPr>
              <w:spacing w:after="0"/>
              <w:rPr>
                <w:sz w:val="13"/>
                <w:szCs w:val="13"/>
                <w:color w:val="auto"/>
              </w:rPr>
            </w:pPr>
          </w:p>
        </w:tc>
        <w:tc>
          <w:tcPr>
            <w:tcW w:w="460" w:type="dxa"/>
            <w:vAlign w:val="bottom"/>
            <w:shd w:val="clear" w:color="auto" w:fill="CCECFF"/>
          </w:tcPr>
          <w:p>
            <w:pPr>
              <w:spacing w:after="0"/>
              <w:rPr>
                <w:sz w:val="13"/>
                <w:szCs w:val="13"/>
                <w:color w:val="auto"/>
              </w:rPr>
            </w:pPr>
          </w:p>
        </w:tc>
        <w:tc>
          <w:tcPr>
            <w:tcW w:w="180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1800" w:type="dxa"/>
            <w:vAlign w:val="bottom"/>
            <w:shd w:val="clear" w:color="auto" w:fill="CCECFF"/>
          </w:tcPr>
          <w:p>
            <w:pPr>
              <w:spacing w:after="0"/>
              <w:rPr>
                <w:sz w:val="13"/>
                <w:szCs w:val="13"/>
                <w:color w:val="auto"/>
              </w:rPr>
            </w:pPr>
          </w:p>
        </w:tc>
        <w:tc>
          <w:tcPr>
            <w:tcW w:w="4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2019</w:t>
            </w:r>
          </w:p>
        </w:tc>
        <w:tc>
          <w:tcPr>
            <w:tcW w:w="29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171,000</w:t>
            </w:r>
          </w:p>
        </w:tc>
        <w:tc>
          <w:tcPr>
            <w:tcW w:w="460" w:type="dxa"/>
            <w:vAlign w:val="bottom"/>
          </w:tcPr>
          <w:p>
            <w:pPr>
              <w:spacing w:after="0"/>
              <w:rPr>
                <w:sz w:val="13"/>
                <w:szCs w:val="13"/>
                <w:color w:val="auto"/>
              </w:rPr>
            </w:pPr>
          </w:p>
        </w:tc>
        <w:tc>
          <w:tcPr>
            <w:tcW w:w="18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2,066</w:t>
            </w:r>
          </w:p>
        </w:tc>
        <w:tc>
          <w:tcPr>
            <w:tcW w:w="52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2019 Notes</w:t>
            </w:r>
          </w:p>
        </w:tc>
        <w:tc>
          <w:tcPr>
            <w:tcW w:w="2980" w:type="dxa"/>
            <w:vAlign w:val="bottom"/>
            <w:shd w:val="clear" w:color="auto" w:fill="CCECFF"/>
          </w:tcPr>
          <w:p>
            <w:pPr>
              <w:spacing w:after="0"/>
              <w:rPr>
                <w:sz w:val="18"/>
                <w:szCs w:val="18"/>
                <w:color w:val="auto"/>
              </w:rPr>
            </w:pPr>
          </w:p>
        </w:tc>
        <w:tc>
          <w:tcPr>
            <w:tcW w:w="460" w:type="dxa"/>
            <w:vAlign w:val="bottom"/>
            <w:shd w:val="clear" w:color="auto" w:fill="CCECFF"/>
          </w:tcPr>
          <w:p>
            <w:pPr>
              <w:spacing w:after="0"/>
              <w:rPr>
                <w:sz w:val="18"/>
                <w:szCs w:val="18"/>
                <w:color w:val="auto"/>
              </w:rPr>
            </w:pPr>
          </w:p>
        </w:tc>
        <w:tc>
          <w:tcPr>
            <w:tcW w:w="1800" w:type="dxa"/>
            <w:vAlign w:val="bottom"/>
            <w:shd w:val="clear" w:color="auto" w:fill="CCECFF"/>
          </w:tcPr>
          <w:p>
            <w:pPr>
              <w:spacing w:after="0"/>
              <w:rPr>
                <w:sz w:val="18"/>
                <w:szCs w:val="18"/>
                <w:color w:val="auto"/>
              </w:rPr>
            </w:pPr>
          </w:p>
        </w:tc>
        <w:tc>
          <w:tcPr>
            <w:tcW w:w="520" w:type="dxa"/>
            <w:vAlign w:val="bottom"/>
            <w:shd w:val="clear" w:color="auto" w:fill="CCECFF"/>
          </w:tcPr>
          <w:p>
            <w:pPr>
              <w:spacing w:after="0"/>
              <w:rPr>
                <w:sz w:val="18"/>
                <w:szCs w:val="18"/>
                <w:color w:val="auto"/>
              </w:rPr>
            </w:pPr>
          </w:p>
        </w:tc>
        <w:tc>
          <w:tcPr>
            <w:tcW w:w="1800" w:type="dxa"/>
            <w:vAlign w:val="bottom"/>
            <w:shd w:val="clear" w:color="auto" w:fill="CCECFF"/>
          </w:tcPr>
          <w:p>
            <w:pPr>
              <w:spacing w:after="0"/>
              <w:rPr>
                <w:sz w:val="18"/>
                <w:szCs w:val="18"/>
                <w:color w:val="auto"/>
              </w:rPr>
            </w:pPr>
          </w:p>
        </w:tc>
        <w:tc>
          <w:tcPr>
            <w:tcW w:w="46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2018</w:t>
            </w:r>
          </w:p>
        </w:tc>
        <w:tc>
          <w:tcPr>
            <w:tcW w:w="29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250,000</w:t>
            </w:r>
          </w:p>
        </w:tc>
        <w:tc>
          <w:tcPr>
            <w:tcW w:w="460" w:type="dxa"/>
            <w:vAlign w:val="bottom"/>
          </w:tcPr>
          <w:p>
            <w:pPr>
              <w:spacing w:after="0"/>
              <w:rPr>
                <w:sz w:val="13"/>
                <w:szCs w:val="13"/>
                <w:color w:val="auto"/>
              </w:rPr>
            </w:pPr>
          </w:p>
        </w:tc>
        <w:tc>
          <w:tcPr>
            <w:tcW w:w="18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2,919</w:t>
            </w:r>
          </w:p>
        </w:tc>
        <w:tc>
          <w:tcPr>
            <w:tcW w:w="52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2017</w:t>
            </w:r>
          </w:p>
        </w:tc>
        <w:tc>
          <w:tcPr>
            <w:tcW w:w="2980" w:type="dxa"/>
            <w:vAlign w:val="bottom"/>
            <w:vMerge w:val="restart"/>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250,000</w:t>
            </w:r>
          </w:p>
        </w:tc>
        <w:tc>
          <w:tcPr>
            <w:tcW w:w="460" w:type="dxa"/>
            <w:vAlign w:val="bottom"/>
            <w:shd w:val="clear" w:color="auto" w:fill="CCECFF"/>
          </w:tcPr>
          <w:p>
            <w:pPr>
              <w:spacing w:after="0"/>
              <w:rPr>
                <w:sz w:val="14"/>
                <w:szCs w:val="14"/>
                <w:color w:val="auto"/>
              </w:rPr>
            </w:pPr>
          </w:p>
        </w:tc>
        <w:tc>
          <w:tcPr>
            <w:tcW w:w="1800" w:type="dxa"/>
            <w:vAlign w:val="bottom"/>
            <w:vMerge w:val="restart"/>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2,998</w:t>
            </w:r>
          </w:p>
        </w:tc>
        <w:tc>
          <w:tcPr>
            <w:tcW w:w="520" w:type="dxa"/>
            <w:vAlign w:val="bottom"/>
            <w:shd w:val="clear" w:color="auto" w:fill="CCECFF"/>
          </w:tcPr>
          <w:p>
            <w:pPr>
              <w:spacing w:after="0"/>
              <w:rPr>
                <w:sz w:val="14"/>
                <w:szCs w:val="14"/>
                <w:color w:val="auto"/>
              </w:rPr>
            </w:pPr>
          </w:p>
        </w:tc>
        <w:tc>
          <w:tcPr>
            <w:tcW w:w="18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540" w:type="dxa"/>
            <w:vAlign w:val="bottom"/>
            <w:shd w:val="clear" w:color="auto" w:fill="CCECFF"/>
          </w:tcPr>
          <w:p>
            <w:pPr>
              <w:spacing w:after="0"/>
              <w:rPr>
                <w:sz w:val="8"/>
                <w:szCs w:val="8"/>
                <w:color w:val="auto"/>
              </w:rPr>
            </w:pPr>
          </w:p>
        </w:tc>
        <w:tc>
          <w:tcPr>
            <w:tcW w:w="2980" w:type="dxa"/>
            <w:vAlign w:val="bottom"/>
            <w:vMerge w:val="continue"/>
            <w:shd w:val="clear" w:color="auto" w:fill="CCECFF"/>
          </w:tcPr>
          <w:p>
            <w:pPr>
              <w:spacing w:after="0"/>
              <w:rPr>
                <w:sz w:val="8"/>
                <w:szCs w:val="8"/>
                <w:color w:val="auto"/>
              </w:rPr>
            </w:pPr>
          </w:p>
        </w:tc>
        <w:tc>
          <w:tcPr>
            <w:tcW w:w="460" w:type="dxa"/>
            <w:vAlign w:val="bottom"/>
            <w:shd w:val="clear" w:color="auto" w:fill="CCECFF"/>
          </w:tcPr>
          <w:p>
            <w:pPr>
              <w:spacing w:after="0"/>
              <w:rPr>
                <w:sz w:val="8"/>
                <w:szCs w:val="8"/>
                <w:color w:val="auto"/>
              </w:rPr>
            </w:pPr>
          </w:p>
        </w:tc>
        <w:tc>
          <w:tcPr>
            <w:tcW w:w="1800" w:type="dxa"/>
            <w:vAlign w:val="bottom"/>
            <w:vMerge w:val="continue"/>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800" w:type="dxa"/>
            <w:vAlign w:val="bottom"/>
            <w:vMerge w:val="continue"/>
            <w:shd w:val="clear" w:color="auto" w:fill="CCECFF"/>
          </w:tcPr>
          <w:p>
            <w:pPr>
              <w:spacing w:after="0"/>
              <w:rPr>
                <w:sz w:val="8"/>
                <w:szCs w:val="8"/>
                <w:color w:val="auto"/>
              </w:rPr>
            </w:pPr>
          </w:p>
        </w:tc>
        <w:tc>
          <w:tcPr>
            <w:tcW w:w="46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2016</w:t>
            </w:r>
          </w:p>
        </w:tc>
        <w:tc>
          <w:tcPr>
            <w:tcW w:w="29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250,000</w:t>
            </w:r>
          </w:p>
        </w:tc>
        <w:tc>
          <w:tcPr>
            <w:tcW w:w="460" w:type="dxa"/>
            <w:vAlign w:val="bottom"/>
          </w:tcPr>
          <w:p>
            <w:pPr>
              <w:spacing w:after="0"/>
              <w:rPr>
                <w:sz w:val="13"/>
                <w:szCs w:val="13"/>
                <w:color w:val="auto"/>
              </w:rPr>
            </w:pPr>
          </w:p>
        </w:tc>
        <w:tc>
          <w:tcPr>
            <w:tcW w:w="18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2,794</w:t>
            </w:r>
          </w:p>
        </w:tc>
        <w:tc>
          <w:tcPr>
            <w:tcW w:w="52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2015</w:t>
            </w:r>
          </w:p>
        </w:tc>
        <w:tc>
          <w:tcPr>
            <w:tcW w:w="298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250,000</w:t>
            </w:r>
          </w:p>
        </w:tc>
        <w:tc>
          <w:tcPr>
            <w:tcW w:w="460" w:type="dxa"/>
            <w:vAlign w:val="bottom"/>
            <w:shd w:val="clear" w:color="auto" w:fill="CCECFF"/>
          </w:tcPr>
          <w:p>
            <w:pPr>
              <w:spacing w:after="0"/>
              <w:rPr>
                <w:sz w:val="13"/>
                <w:szCs w:val="13"/>
                <w:color w:val="auto"/>
              </w:rPr>
            </w:pPr>
          </w:p>
        </w:tc>
        <w:tc>
          <w:tcPr>
            <w:tcW w:w="180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2,586</w:t>
            </w:r>
          </w:p>
        </w:tc>
        <w:tc>
          <w:tcPr>
            <w:tcW w:w="520" w:type="dxa"/>
            <w:vAlign w:val="bottom"/>
            <w:shd w:val="clear" w:color="auto" w:fill="CCECFF"/>
          </w:tcPr>
          <w:p>
            <w:pPr>
              <w:spacing w:after="0"/>
              <w:rPr>
                <w:sz w:val="13"/>
                <w:szCs w:val="13"/>
                <w:color w:val="auto"/>
              </w:rPr>
            </w:pPr>
          </w:p>
        </w:tc>
        <w:tc>
          <w:tcPr>
            <w:tcW w:w="1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2024 Notes</w:t>
            </w:r>
          </w:p>
        </w:tc>
        <w:tc>
          <w:tcPr>
            <w:tcW w:w="2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2021</w:t>
            </w:r>
          </w:p>
        </w:tc>
        <w:tc>
          <w:tcPr>
            <w:tcW w:w="298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86,250</w:t>
            </w:r>
          </w:p>
        </w:tc>
        <w:tc>
          <w:tcPr>
            <w:tcW w:w="460" w:type="dxa"/>
            <w:vAlign w:val="bottom"/>
            <w:shd w:val="clear" w:color="auto" w:fill="CCECFF"/>
          </w:tcPr>
          <w:p>
            <w:pPr>
              <w:spacing w:after="0"/>
              <w:rPr>
                <w:sz w:val="13"/>
                <w:szCs w:val="13"/>
                <w:color w:val="auto"/>
              </w:rPr>
            </w:pPr>
          </w:p>
        </w:tc>
        <w:tc>
          <w:tcPr>
            <w:tcW w:w="180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2,208</w:t>
            </w:r>
          </w:p>
        </w:tc>
        <w:tc>
          <w:tcPr>
            <w:tcW w:w="520" w:type="dxa"/>
            <w:vAlign w:val="bottom"/>
            <w:shd w:val="clear" w:color="auto" w:fill="CCECFF"/>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1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25.14</w:t>
            </w:r>
          </w:p>
        </w:tc>
        <w:tc>
          <w:tcPr>
            <w:tcW w:w="460" w:type="dxa"/>
            <w:vAlign w:val="bottom"/>
            <w:shd w:val="clear" w:color="auto" w:fill="CCECFF"/>
          </w:tcPr>
          <w:p>
            <w:pPr>
              <w:jc w:val="right"/>
              <w:ind w:right="258"/>
              <w:spacing w:after="0"/>
              <w:rPr>
                <w:sz w:val="20"/>
                <w:szCs w:val="20"/>
                <w:color w:val="auto"/>
              </w:rPr>
            </w:pPr>
            <w:r>
              <w:rPr>
                <w:rFonts w:ascii="Times New Roman" w:cs="Times New Roman" w:eastAsia="Times New Roman" w:hAnsi="Times New Roman"/>
                <w:sz w:val="8"/>
                <w:szCs w:val="8"/>
                <w:color w:val="auto"/>
              </w:rPr>
              <w:t>(4)</w:t>
            </w:r>
          </w:p>
        </w:tc>
        <w:tc>
          <w:tcPr>
            <w:tcW w:w="0" w:type="dxa"/>
            <w:vAlign w:val="bottom"/>
          </w:tcPr>
          <w:p>
            <w:pPr>
              <w:spacing w:after="0"/>
              <w:rPr>
                <w:sz w:val="1"/>
                <w:szCs w:val="1"/>
                <w:color w:val="auto"/>
              </w:rPr>
            </w:pPr>
          </w:p>
        </w:tc>
      </w:tr>
      <w:tr>
        <w:trPr>
          <w:trHeight w:val="156"/>
        </w:trPr>
        <w:tc>
          <w:tcPr>
            <w:tcW w:w="2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2020</w:t>
            </w:r>
          </w:p>
        </w:tc>
        <w:tc>
          <w:tcPr>
            <w:tcW w:w="29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86,250</w:t>
            </w:r>
          </w:p>
        </w:tc>
        <w:tc>
          <w:tcPr>
            <w:tcW w:w="460" w:type="dxa"/>
            <w:vAlign w:val="bottom"/>
          </w:tcPr>
          <w:p>
            <w:pPr>
              <w:spacing w:after="0"/>
              <w:rPr>
                <w:sz w:val="13"/>
                <w:szCs w:val="13"/>
                <w:color w:val="auto"/>
              </w:rPr>
            </w:pPr>
          </w:p>
        </w:tc>
        <w:tc>
          <w:tcPr>
            <w:tcW w:w="18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2,078</w:t>
            </w:r>
          </w:p>
        </w:tc>
        <w:tc>
          <w:tcPr>
            <w:tcW w:w="52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23.47</w:t>
            </w:r>
          </w:p>
        </w:tc>
        <w:tc>
          <w:tcPr>
            <w:tcW w:w="460" w:type="dxa"/>
            <w:vAlign w:val="bottom"/>
          </w:tcPr>
          <w:p>
            <w:pPr>
              <w:jc w:val="right"/>
              <w:ind w:right="258"/>
              <w:spacing w:after="0"/>
              <w:rPr>
                <w:sz w:val="20"/>
                <w:szCs w:val="20"/>
                <w:color w:val="auto"/>
              </w:rPr>
            </w:pPr>
            <w:r>
              <w:rPr>
                <w:rFonts w:ascii="Times New Roman" w:cs="Times New Roman" w:eastAsia="Times New Roman" w:hAnsi="Times New Roman"/>
                <w:sz w:val="8"/>
                <w:szCs w:val="8"/>
                <w:color w:val="auto"/>
              </w:rPr>
              <w:t>(4)</w:t>
            </w:r>
          </w:p>
        </w:tc>
        <w:tc>
          <w:tcPr>
            <w:tcW w:w="0" w:type="dxa"/>
            <w:vAlign w:val="bottom"/>
          </w:tcPr>
          <w:p>
            <w:pPr>
              <w:spacing w:after="0"/>
              <w:rPr>
                <w:sz w:val="1"/>
                <w:szCs w:val="1"/>
                <w:color w:val="auto"/>
              </w:rPr>
            </w:pPr>
          </w:p>
        </w:tc>
      </w:tr>
      <w:tr>
        <w:trPr>
          <w:trHeight w:val="156"/>
        </w:trPr>
        <w:tc>
          <w:tcPr>
            <w:tcW w:w="2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2019</w:t>
            </w:r>
          </w:p>
        </w:tc>
        <w:tc>
          <w:tcPr>
            <w:tcW w:w="298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75,000</w:t>
            </w:r>
          </w:p>
        </w:tc>
        <w:tc>
          <w:tcPr>
            <w:tcW w:w="460" w:type="dxa"/>
            <w:vAlign w:val="bottom"/>
            <w:shd w:val="clear" w:color="auto" w:fill="CCECFF"/>
          </w:tcPr>
          <w:p>
            <w:pPr>
              <w:spacing w:after="0"/>
              <w:rPr>
                <w:sz w:val="13"/>
                <w:szCs w:val="13"/>
                <w:color w:val="auto"/>
              </w:rPr>
            </w:pPr>
          </w:p>
        </w:tc>
        <w:tc>
          <w:tcPr>
            <w:tcW w:w="180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2,066</w:t>
            </w:r>
          </w:p>
        </w:tc>
        <w:tc>
          <w:tcPr>
            <w:tcW w:w="520" w:type="dxa"/>
            <w:vAlign w:val="bottom"/>
            <w:shd w:val="clear" w:color="auto" w:fill="CCECFF"/>
          </w:tcPr>
          <w:p>
            <w:pPr>
              <w:spacing w:after="0"/>
              <w:rPr>
                <w:sz w:val="13"/>
                <w:szCs w:val="13"/>
                <w:color w:val="auto"/>
              </w:rPr>
            </w:pPr>
          </w:p>
        </w:tc>
        <w:tc>
          <w:tcPr>
            <w:tcW w:w="1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24.87</w:t>
            </w:r>
          </w:p>
        </w:tc>
        <w:tc>
          <w:tcPr>
            <w:tcW w:w="460" w:type="dxa"/>
            <w:vAlign w:val="bottom"/>
            <w:shd w:val="clear" w:color="auto" w:fill="CCECFF"/>
          </w:tcPr>
          <w:p>
            <w:pPr>
              <w:jc w:val="right"/>
              <w:ind w:right="258"/>
              <w:spacing w:after="0"/>
              <w:rPr>
                <w:sz w:val="20"/>
                <w:szCs w:val="20"/>
                <w:color w:val="auto"/>
              </w:rPr>
            </w:pPr>
            <w:r>
              <w:rPr>
                <w:rFonts w:ascii="Times New Roman" w:cs="Times New Roman" w:eastAsia="Times New Roman" w:hAnsi="Times New Roman"/>
                <w:sz w:val="8"/>
                <w:szCs w:val="8"/>
                <w:color w:val="auto"/>
              </w:rPr>
              <w:t>(4)</w:t>
            </w:r>
          </w:p>
        </w:tc>
        <w:tc>
          <w:tcPr>
            <w:tcW w:w="0" w:type="dxa"/>
            <w:vAlign w:val="bottom"/>
          </w:tcPr>
          <w:p>
            <w:pPr>
              <w:spacing w:after="0"/>
              <w:rPr>
                <w:sz w:val="1"/>
                <w:szCs w:val="1"/>
                <w:color w:val="auto"/>
              </w:rPr>
            </w:pPr>
          </w:p>
        </w:tc>
      </w:tr>
      <w:tr>
        <w:trPr>
          <w:trHeight w:val="156"/>
        </w:trPr>
        <w:tc>
          <w:tcPr>
            <w:tcW w:w="25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2025 Notes</w:t>
            </w:r>
          </w:p>
        </w:tc>
        <w:tc>
          <w:tcPr>
            <w:tcW w:w="2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2016</w:t>
            </w:r>
          </w:p>
        </w:tc>
        <w:tc>
          <w:tcPr>
            <w:tcW w:w="298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71,250</w:t>
            </w:r>
          </w:p>
        </w:tc>
        <w:tc>
          <w:tcPr>
            <w:tcW w:w="460" w:type="dxa"/>
            <w:vAlign w:val="bottom"/>
            <w:shd w:val="clear" w:color="auto" w:fill="CCECFF"/>
          </w:tcPr>
          <w:p>
            <w:pPr>
              <w:spacing w:after="0"/>
              <w:rPr>
                <w:sz w:val="13"/>
                <w:szCs w:val="13"/>
                <w:color w:val="auto"/>
              </w:rPr>
            </w:pPr>
          </w:p>
        </w:tc>
        <w:tc>
          <w:tcPr>
            <w:tcW w:w="180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2,794</w:t>
            </w:r>
          </w:p>
        </w:tc>
        <w:tc>
          <w:tcPr>
            <w:tcW w:w="520" w:type="dxa"/>
            <w:vAlign w:val="bottom"/>
            <w:shd w:val="clear" w:color="auto" w:fill="CCECFF"/>
          </w:tcPr>
          <w:p>
            <w:pPr>
              <w:spacing w:after="0"/>
              <w:rPr>
                <w:sz w:val="13"/>
                <w:szCs w:val="13"/>
                <w:color w:val="auto"/>
              </w:rPr>
            </w:pPr>
          </w:p>
        </w:tc>
        <w:tc>
          <w:tcPr>
            <w:tcW w:w="1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24.68</w:t>
            </w:r>
          </w:p>
        </w:tc>
        <w:tc>
          <w:tcPr>
            <w:tcW w:w="460" w:type="dxa"/>
            <w:vAlign w:val="bottom"/>
            <w:shd w:val="clear" w:color="auto" w:fill="CCECFF"/>
          </w:tcPr>
          <w:p>
            <w:pPr>
              <w:jc w:val="right"/>
              <w:ind w:right="258"/>
              <w:spacing w:after="0"/>
              <w:rPr>
                <w:sz w:val="20"/>
                <w:szCs w:val="20"/>
                <w:color w:val="auto"/>
              </w:rPr>
            </w:pPr>
            <w:r>
              <w:rPr>
                <w:rFonts w:ascii="Times New Roman" w:cs="Times New Roman" w:eastAsia="Times New Roman" w:hAnsi="Times New Roman"/>
                <w:sz w:val="8"/>
                <w:szCs w:val="8"/>
                <w:color w:val="auto"/>
              </w:rPr>
              <w:t>(5)</w:t>
            </w:r>
          </w:p>
        </w:tc>
        <w:tc>
          <w:tcPr>
            <w:tcW w:w="0" w:type="dxa"/>
            <w:vAlign w:val="bottom"/>
          </w:tcPr>
          <w:p>
            <w:pPr>
              <w:spacing w:after="0"/>
              <w:rPr>
                <w:sz w:val="1"/>
                <w:szCs w:val="1"/>
                <w:color w:val="auto"/>
              </w:rPr>
            </w:pPr>
          </w:p>
        </w:tc>
      </w:tr>
      <w:tr>
        <w:trPr>
          <w:trHeight w:val="156"/>
        </w:trPr>
        <w:tc>
          <w:tcPr>
            <w:tcW w:w="2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2015</w:t>
            </w:r>
          </w:p>
        </w:tc>
        <w:tc>
          <w:tcPr>
            <w:tcW w:w="29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71,250</w:t>
            </w:r>
          </w:p>
        </w:tc>
        <w:tc>
          <w:tcPr>
            <w:tcW w:w="460" w:type="dxa"/>
            <w:vAlign w:val="bottom"/>
          </w:tcPr>
          <w:p>
            <w:pPr>
              <w:spacing w:after="0"/>
              <w:rPr>
                <w:sz w:val="13"/>
                <w:szCs w:val="13"/>
                <w:color w:val="auto"/>
              </w:rPr>
            </w:pPr>
          </w:p>
        </w:tc>
        <w:tc>
          <w:tcPr>
            <w:tcW w:w="18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2,586</w:t>
            </w:r>
          </w:p>
        </w:tc>
        <w:tc>
          <w:tcPr>
            <w:tcW w:w="52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25.13</w:t>
            </w:r>
          </w:p>
        </w:tc>
        <w:tc>
          <w:tcPr>
            <w:tcW w:w="460" w:type="dxa"/>
            <w:vAlign w:val="bottom"/>
          </w:tcPr>
          <w:p>
            <w:pPr>
              <w:jc w:val="right"/>
              <w:ind w:right="258"/>
              <w:spacing w:after="0"/>
              <w:rPr>
                <w:sz w:val="20"/>
                <w:szCs w:val="20"/>
                <w:color w:val="auto"/>
              </w:rPr>
            </w:pPr>
            <w:r>
              <w:rPr>
                <w:rFonts w:ascii="Times New Roman" w:cs="Times New Roman" w:eastAsia="Times New Roman" w:hAnsi="Times New Roman"/>
                <w:sz w:val="8"/>
                <w:szCs w:val="8"/>
                <w:color w:val="auto"/>
              </w:rPr>
              <w:t>(5)</w:t>
            </w:r>
          </w:p>
        </w:tc>
        <w:tc>
          <w:tcPr>
            <w:tcW w:w="0" w:type="dxa"/>
            <w:vAlign w:val="bottom"/>
          </w:tcPr>
          <w:p>
            <w:pPr>
              <w:spacing w:after="0"/>
              <w:rPr>
                <w:sz w:val="1"/>
                <w:szCs w:val="1"/>
                <w:color w:val="auto"/>
              </w:rPr>
            </w:pPr>
          </w:p>
        </w:tc>
      </w:tr>
      <w:tr>
        <w:trPr>
          <w:trHeight w:val="156"/>
        </w:trPr>
        <w:tc>
          <w:tcPr>
            <w:tcW w:w="2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2026 Notes</w:t>
            </w:r>
          </w:p>
        </w:tc>
        <w:tc>
          <w:tcPr>
            <w:tcW w:w="2980" w:type="dxa"/>
            <w:vAlign w:val="bottom"/>
            <w:shd w:val="clear" w:color="auto" w:fill="CCECFF"/>
          </w:tcPr>
          <w:p>
            <w:pPr>
              <w:spacing w:after="0"/>
              <w:rPr>
                <w:sz w:val="13"/>
                <w:szCs w:val="13"/>
                <w:color w:val="auto"/>
              </w:rPr>
            </w:pPr>
          </w:p>
        </w:tc>
        <w:tc>
          <w:tcPr>
            <w:tcW w:w="460" w:type="dxa"/>
            <w:vAlign w:val="bottom"/>
            <w:shd w:val="clear" w:color="auto" w:fill="CCECFF"/>
          </w:tcPr>
          <w:p>
            <w:pPr>
              <w:spacing w:after="0"/>
              <w:rPr>
                <w:sz w:val="13"/>
                <w:szCs w:val="13"/>
                <w:color w:val="auto"/>
              </w:rPr>
            </w:pPr>
          </w:p>
        </w:tc>
        <w:tc>
          <w:tcPr>
            <w:tcW w:w="180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1800" w:type="dxa"/>
            <w:vAlign w:val="bottom"/>
            <w:shd w:val="clear" w:color="auto" w:fill="CCECFF"/>
          </w:tcPr>
          <w:p>
            <w:pPr>
              <w:spacing w:after="0"/>
              <w:rPr>
                <w:sz w:val="13"/>
                <w:szCs w:val="13"/>
                <w:color w:val="auto"/>
              </w:rPr>
            </w:pPr>
          </w:p>
        </w:tc>
        <w:tc>
          <w:tcPr>
            <w:tcW w:w="4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2024</w:t>
            </w:r>
          </w:p>
        </w:tc>
        <w:tc>
          <w:tcPr>
            <w:tcW w:w="29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150,000</w:t>
            </w:r>
          </w:p>
        </w:tc>
        <w:tc>
          <w:tcPr>
            <w:tcW w:w="460" w:type="dxa"/>
            <w:vAlign w:val="bottom"/>
          </w:tcPr>
          <w:p>
            <w:pPr>
              <w:spacing w:after="0"/>
              <w:rPr>
                <w:sz w:val="13"/>
                <w:szCs w:val="13"/>
                <w:color w:val="auto"/>
              </w:rPr>
            </w:pPr>
          </w:p>
        </w:tc>
        <w:tc>
          <w:tcPr>
            <w:tcW w:w="18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1,637</w:t>
            </w:r>
          </w:p>
        </w:tc>
        <w:tc>
          <w:tcPr>
            <w:tcW w:w="52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2023</w:t>
            </w:r>
          </w:p>
        </w:tc>
        <w:tc>
          <w:tcPr>
            <w:tcW w:w="298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150,000</w:t>
            </w:r>
          </w:p>
        </w:tc>
        <w:tc>
          <w:tcPr>
            <w:tcW w:w="460" w:type="dxa"/>
            <w:vAlign w:val="bottom"/>
            <w:shd w:val="clear" w:color="auto" w:fill="CCECFF"/>
          </w:tcPr>
          <w:p>
            <w:pPr>
              <w:spacing w:after="0"/>
              <w:rPr>
                <w:sz w:val="13"/>
                <w:szCs w:val="13"/>
                <w:color w:val="auto"/>
              </w:rPr>
            </w:pPr>
          </w:p>
        </w:tc>
        <w:tc>
          <w:tcPr>
            <w:tcW w:w="180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1,952</w:t>
            </w:r>
          </w:p>
        </w:tc>
        <w:tc>
          <w:tcPr>
            <w:tcW w:w="520" w:type="dxa"/>
            <w:vAlign w:val="bottom"/>
            <w:shd w:val="clear" w:color="auto" w:fill="CCECFF"/>
          </w:tcPr>
          <w:p>
            <w:pPr>
              <w:spacing w:after="0"/>
              <w:rPr>
                <w:sz w:val="13"/>
                <w:szCs w:val="13"/>
                <w:color w:val="auto"/>
              </w:rPr>
            </w:pPr>
          </w:p>
        </w:tc>
        <w:tc>
          <w:tcPr>
            <w:tcW w:w="1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2022</w:t>
            </w:r>
          </w:p>
        </w:tc>
        <w:tc>
          <w:tcPr>
            <w:tcW w:w="29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150,000</w:t>
            </w:r>
          </w:p>
        </w:tc>
        <w:tc>
          <w:tcPr>
            <w:tcW w:w="460" w:type="dxa"/>
            <w:vAlign w:val="bottom"/>
          </w:tcPr>
          <w:p>
            <w:pPr>
              <w:spacing w:after="0"/>
              <w:rPr>
                <w:sz w:val="13"/>
                <w:szCs w:val="13"/>
                <w:color w:val="auto"/>
              </w:rPr>
            </w:pPr>
          </w:p>
        </w:tc>
        <w:tc>
          <w:tcPr>
            <w:tcW w:w="18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1,855</w:t>
            </w:r>
          </w:p>
        </w:tc>
        <w:tc>
          <w:tcPr>
            <w:tcW w:w="52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2021</w:t>
            </w:r>
          </w:p>
        </w:tc>
        <w:tc>
          <w:tcPr>
            <w:tcW w:w="298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150,000</w:t>
            </w:r>
          </w:p>
        </w:tc>
        <w:tc>
          <w:tcPr>
            <w:tcW w:w="460" w:type="dxa"/>
            <w:vAlign w:val="bottom"/>
            <w:shd w:val="clear" w:color="auto" w:fill="CCECFF"/>
          </w:tcPr>
          <w:p>
            <w:pPr>
              <w:spacing w:after="0"/>
              <w:rPr>
                <w:sz w:val="13"/>
                <w:szCs w:val="13"/>
                <w:color w:val="auto"/>
              </w:rPr>
            </w:pPr>
          </w:p>
        </w:tc>
        <w:tc>
          <w:tcPr>
            <w:tcW w:w="180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2,208</w:t>
            </w:r>
          </w:p>
        </w:tc>
        <w:tc>
          <w:tcPr>
            <w:tcW w:w="520" w:type="dxa"/>
            <w:vAlign w:val="bottom"/>
            <w:shd w:val="clear" w:color="auto" w:fill="CCECFF"/>
          </w:tcPr>
          <w:p>
            <w:pPr>
              <w:spacing w:after="0"/>
              <w:rPr>
                <w:sz w:val="13"/>
                <w:szCs w:val="13"/>
                <w:color w:val="auto"/>
              </w:rPr>
            </w:pPr>
          </w:p>
        </w:tc>
        <w:tc>
          <w:tcPr>
            <w:tcW w:w="1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2026-2 Notes</w:t>
            </w:r>
          </w:p>
        </w:tc>
        <w:tc>
          <w:tcPr>
            <w:tcW w:w="2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2024</w:t>
            </w:r>
          </w:p>
        </w:tc>
        <w:tc>
          <w:tcPr>
            <w:tcW w:w="298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165,000</w:t>
            </w:r>
          </w:p>
        </w:tc>
        <w:tc>
          <w:tcPr>
            <w:tcW w:w="460" w:type="dxa"/>
            <w:vAlign w:val="bottom"/>
            <w:shd w:val="clear" w:color="auto" w:fill="CCECFF"/>
          </w:tcPr>
          <w:p>
            <w:pPr>
              <w:spacing w:after="0"/>
              <w:rPr>
                <w:sz w:val="13"/>
                <w:szCs w:val="13"/>
                <w:color w:val="auto"/>
              </w:rPr>
            </w:pPr>
          </w:p>
        </w:tc>
        <w:tc>
          <w:tcPr>
            <w:tcW w:w="180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1,637</w:t>
            </w:r>
          </w:p>
        </w:tc>
        <w:tc>
          <w:tcPr>
            <w:tcW w:w="520" w:type="dxa"/>
            <w:vAlign w:val="bottom"/>
            <w:shd w:val="clear" w:color="auto" w:fill="CCECFF"/>
          </w:tcPr>
          <w:p>
            <w:pPr>
              <w:spacing w:after="0"/>
              <w:rPr>
                <w:sz w:val="13"/>
                <w:szCs w:val="13"/>
                <w:color w:val="auto"/>
              </w:rPr>
            </w:pPr>
          </w:p>
        </w:tc>
        <w:tc>
          <w:tcPr>
            <w:tcW w:w="1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2023</w:t>
            </w:r>
          </w:p>
        </w:tc>
        <w:tc>
          <w:tcPr>
            <w:tcW w:w="29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165,000</w:t>
            </w:r>
          </w:p>
        </w:tc>
        <w:tc>
          <w:tcPr>
            <w:tcW w:w="460" w:type="dxa"/>
            <w:vAlign w:val="bottom"/>
          </w:tcPr>
          <w:p>
            <w:pPr>
              <w:spacing w:after="0"/>
              <w:rPr>
                <w:sz w:val="13"/>
                <w:szCs w:val="13"/>
                <w:color w:val="auto"/>
              </w:rPr>
            </w:pPr>
          </w:p>
        </w:tc>
        <w:tc>
          <w:tcPr>
            <w:tcW w:w="18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1,952</w:t>
            </w:r>
          </w:p>
        </w:tc>
        <w:tc>
          <w:tcPr>
            <w:tcW w:w="52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2022</w:t>
            </w:r>
          </w:p>
        </w:tc>
        <w:tc>
          <w:tcPr>
            <w:tcW w:w="298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165,000</w:t>
            </w:r>
          </w:p>
        </w:tc>
        <w:tc>
          <w:tcPr>
            <w:tcW w:w="460" w:type="dxa"/>
            <w:vAlign w:val="bottom"/>
            <w:shd w:val="clear" w:color="auto" w:fill="CCECFF"/>
          </w:tcPr>
          <w:p>
            <w:pPr>
              <w:spacing w:after="0"/>
              <w:rPr>
                <w:sz w:val="13"/>
                <w:szCs w:val="13"/>
                <w:color w:val="auto"/>
              </w:rPr>
            </w:pPr>
          </w:p>
        </w:tc>
        <w:tc>
          <w:tcPr>
            <w:tcW w:w="180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1,855</w:t>
            </w:r>
          </w:p>
        </w:tc>
        <w:tc>
          <w:tcPr>
            <w:tcW w:w="520" w:type="dxa"/>
            <w:vAlign w:val="bottom"/>
            <w:shd w:val="clear" w:color="auto" w:fill="CCECFF"/>
          </w:tcPr>
          <w:p>
            <w:pPr>
              <w:spacing w:after="0"/>
              <w:rPr>
                <w:sz w:val="13"/>
                <w:szCs w:val="13"/>
                <w:color w:val="auto"/>
              </w:rPr>
            </w:pPr>
          </w:p>
        </w:tc>
        <w:tc>
          <w:tcPr>
            <w:tcW w:w="1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1"/>
          <w:szCs w:val="11"/>
          <w:color w:val="auto"/>
        </w:rPr>
        <w:t>Total cost of each class of senior securities outstanding at the end of the period presented in thousands (000s).</w:t>
      </w:r>
    </w:p>
    <w:p>
      <w:pPr>
        <w:spacing w:after="0" w:line="59" w:lineRule="exact"/>
        <w:rPr>
          <w:sz w:val="20"/>
          <w:szCs w:val="20"/>
          <w:color w:val="auto"/>
        </w:rPr>
      </w:pPr>
    </w:p>
    <w:p>
      <w:pPr>
        <w:ind w:right="120"/>
        <w:spacing w:after="0" w:line="224" w:lineRule="auto"/>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1"/>
          <w:szCs w:val="11"/>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at par. This asset coverage ratio is multiplied by $1,000 to determine the Asset Coverage Per Unit.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1"/>
          <w:szCs w:val="11"/>
          <w:color w:val="auto"/>
        </w:rPr>
        <w:t>These amounts exclude SBA debentures from our total amount outstanding and asset coverage per unit computation pursuant to an exemptive relief letter provided by the SEC in June 2011.</w:t>
      </w:r>
    </w:p>
    <w:p>
      <w:pPr>
        <w:spacing w:after="0" w:line="59" w:lineRule="exact"/>
        <w:rPr>
          <w:sz w:val="20"/>
          <w:szCs w:val="20"/>
          <w:color w:val="auto"/>
        </w:rPr>
      </w:pPr>
    </w:p>
    <w:p>
      <w:pPr>
        <w:ind w:right="360"/>
        <w:spacing w:after="0" w:line="224" w:lineRule="auto"/>
        <w:rPr>
          <w:sz w:val="20"/>
          <w:szCs w:val="20"/>
          <w:color w:val="auto"/>
        </w:rPr>
      </w:pP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1"/>
          <w:szCs w:val="11"/>
          <w:color w:val="auto"/>
        </w:rPr>
        <w:t>The average market value per unit is derived based on the daily closing price of the 2024 Notes trading on The Nasdaq Global Select Market under the symbol “PNNTG.” The 2024 Notes were issued in increments of $25 per unit and commenced trading on September 30, 2019.</w:t>
      </w:r>
    </w:p>
    <w:p>
      <w:pPr>
        <w:spacing w:after="0" w:line="89" w:lineRule="exact"/>
        <w:rPr>
          <w:sz w:val="20"/>
          <w:szCs w:val="20"/>
          <w:color w:val="auto"/>
        </w:rPr>
      </w:pPr>
    </w:p>
    <w:p>
      <w:pPr>
        <w:ind w:right="180"/>
        <w:spacing w:after="0" w:line="224" w:lineRule="auto"/>
        <w:rPr>
          <w:sz w:val="20"/>
          <w:szCs w:val="20"/>
          <w:color w:val="auto"/>
        </w:rPr>
      </w:pP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1"/>
          <w:szCs w:val="11"/>
          <w:color w:val="auto"/>
        </w:rPr>
        <w:t>The average market value per unit is derived based on the monthly average closing price of the 2025 Notes, which were traded on the New York Stock Exchange, or NYSE, under the symbol “PNTA” since issuance. The 2025 Notes were issued in increments of $25 per unit. On June 29, 2017, the 2025 Notes were redeemed in full.</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3"/>
          <w:szCs w:val="13"/>
          <w:b w:val="1"/>
          <w:bCs w:val="1"/>
          <w:color w:val="auto"/>
        </w:rPr>
        <w:t>PennantPark Senior Loan Fund, LLC</w:t>
      </w:r>
    </w:p>
    <w:p>
      <w:pPr>
        <w:spacing w:after="0" w:line="153" w:lineRule="exact"/>
        <w:rPr>
          <w:sz w:val="20"/>
          <w:szCs w:val="20"/>
          <w:color w:val="auto"/>
        </w:rPr>
      </w:pPr>
    </w:p>
    <w:p>
      <w:pPr>
        <w:ind w:right="20" w:firstLine="420"/>
        <w:spacing w:after="0" w:line="255" w:lineRule="auto"/>
        <w:rPr>
          <w:sz w:val="20"/>
          <w:szCs w:val="20"/>
          <w:color w:val="auto"/>
        </w:rPr>
      </w:pPr>
      <w:r>
        <w:rPr>
          <w:rFonts w:ascii="Times New Roman" w:cs="Times New Roman" w:eastAsia="Times New Roman" w:hAnsi="Times New Roman"/>
          <w:sz w:val="13"/>
          <w:szCs w:val="13"/>
          <w:color w:val="auto"/>
        </w:rPr>
        <w:t>In July 2020, we and Pantheon formed PSLF, an unconsolidated joint venture. PSLF invests primarily in middle-market and other corporate debt securities consistent with our strategy. PSLF was formed as a Delaware limited liability company. As of September 30, 2024 and 2023 PSLF had total assets of $1,073.4 million and $872.8 million, respectively. PSLF’s portfolio consisted of debt investments in 102 and 90 portfolio companies as of September 30, 2024 and 2023, respectively. As of September 30, 2024, we and Pantheon had remaining commitments to fund first lien secured debt of $32.6 million and $46.5 million, respectively, and equity interests of $19.9 million and $28.5 million, respectively, in PSLF. As of September 30, 2023, we and Pantheon had remaining commitments to fund first lien secured debt of $13.6 million and $8.9 million, respectively, and equity interest of $8.8 million and $5.7 million respectively. As of September 30, 2024, at fair value, the largest investment in a single portfolio company in PSLF was $25.1 million and the five largest investments totaled $109.9 million. As of September 30, 2023 at fair value, the largest investment in a single portfolio company in PSLF was $19.7 million and the five largest investments totaled $97.5 million. PSLF invests in portfolio companies in the same industries in which we may directly invest.</w:t>
      </w:r>
    </w:p>
    <w:p>
      <w:pPr>
        <w:spacing w:after="0" w:line="257" w:lineRule="exact"/>
        <w:rPr>
          <w:sz w:val="20"/>
          <w:szCs w:val="20"/>
          <w:color w:val="auto"/>
        </w:rPr>
      </w:pPr>
    </w:p>
    <w:p>
      <w:pPr>
        <w:ind w:right="80" w:firstLine="420"/>
        <w:spacing w:after="0" w:line="268" w:lineRule="auto"/>
        <w:rPr>
          <w:sz w:val="20"/>
          <w:szCs w:val="20"/>
          <w:color w:val="auto"/>
        </w:rPr>
      </w:pPr>
      <w:r>
        <w:rPr>
          <w:rFonts w:ascii="Times New Roman" w:cs="Times New Roman" w:eastAsia="Times New Roman" w:hAnsi="Times New Roman"/>
          <w:sz w:val="13"/>
          <w:szCs w:val="13"/>
          <w:color w:val="auto"/>
        </w:rPr>
        <w:t>We provide capital to PSLF in the form of subordinated notes and equity interests. As of September 30, 2024 and 2023, we and Pantheon owned 60.5% and 39.5%, respectively, of each of the outstanding subordinated notes and equity interests of PSLF. As of September 30, 2024 and 2023, our investment in PSLF consisted of subordinated notes of $115.9 million and $102.3 million, respectively, and equity interests of $67.4 million and $58.6 million, respectively.</w:t>
      </w:r>
    </w:p>
    <w:p>
      <w:pPr>
        <w:spacing w:after="0" w:line="87"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We and Pantheon each appointed two members to PSLF’s four-person Member Designees’ Committee, or the Member Designees’ Committee. All material decisions with respect to PSLF, including those involving its investment portfolio, require unanimous approval of quorum of the Member Designees’ Committee. Quorum is defined as (i) the presence of two members of the Member Designees’ Committee; provided that at least one individual is present that was elected, designated or appointed by each of us and Pantheon; (ii) the presence of three members of the Member Designees’ Committee, provided that the individual that was elected, designated or appointed by each of us or Pantheon, as the case may be, with only one individual present shall be entitled to cast two votes on each matter; and (iii) the presence of four members of the Member Designees’ Committee shall constitute a quorum, provided that two individuals are present that were elected, designated or appointed by each of us and Pantheon.</w:t>
      </w:r>
    </w:p>
    <w:p>
      <w:pPr>
        <w:spacing w:after="0" w:line="132" w:lineRule="exact"/>
        <w:rPr>
          <w:sz w:val="20"/>
          <w:szCs w:val="20"/>
          <w:color w:val="auto"/>
        </w:rPr>
      </w:pPr>
    </w:p>
    <w:p>
      <w:pPr>
        <w:ind w:right="100" w:firstLine="420"/>
        <w:spacing w:after="0" w:line="268" w:lineRule="auto"/>
        <w:rPr>
          <w:sz w:val="20"/>
          <w:szCs w:val="20"/>
          <w:color w:val="auto"/>
        </w:rPr>
      </w:pPr>
      <w:r>
        <w:rPr>
          <w:rFonts w:ascii="Times New Roman" w:cs="Times New Roman" w:eastAsia="Times New Roman" w:hAnsi="Times New Roman"/>
          <w:sz w:val="13"/>
          <w:szCs w:val="13"/>
          <w:color w:val="auto"/>
        </w:rPr>
        <w:t>Additionally, PSLF, through its wholly-owned subsidiary, or PSLF Subsidiary, has entered into a $400 million (increased from $325.0 million in August 2024) senior secured revolving credit facility which bears interest at SOFR (or an alternative risk-free interest rate index) plus 260 basis points during the investment period, or the PSLF Credit Facility, with BNP Paribas, subject to leverage and borrowing base restrictions.</w:t>
      </w:r>
    </w:p>
    <w:p>
      <w:pPr>
        <w:spacing w:after="0" w:line="87" w:lineRule="exact"/>
        <w:rPr>
          <w:sz w:val="20"/>
          <w:szCs w:val="20"/>
          <w:color w:val="auto"/>
        </w:rPr>
      </w:pPr>
    </w:p>
    <w:p>
      <w:pPr>
        <w:ind w:right="40" w:firstLine="420"/>
        <w:spacing w:after="0" w:line="259" w:lineRule="auto"/>
        <w:rPr>
          <w:sz w:val="20"/>
          <w:szCs w:val="20"/>
          <w:color w:val="auto"/>
        </w:rPr>
      </w:pPr>
      <w:r>
        <w:rPr>
          <w:rFonts w:ascii="Times New Roman" w:cs="Times New Roman" w:eastAsia="Times New Roman" w:hAnsi="Times New Roman"/>
          <w:sz w:val="13"/>
          <w:szCs w:val="13"/>
          <w:color w:val="auto"/>
        </w:rPr>
        <w:t>In March 2022, PSLF completed a $304.0 million debt securitization in the form of a collateralized loan obligation, or the “2034 Asset-Backed Debt”. The 2034 Asset-Backed Debt is secured by a diversified portfolio of PennantPark CLO IV, LLC., a wholly- owned and consolidated subsidiary of PSLF, consisting primarily of middle market loans and participation interests in middle market loans. The 2034 Asset-Backed Debt is scheduled to mature in April 2034. On the closing date of the transaction, in consideration of PSLF’s transfer to PennantPark CLO IV, LLC. of the initial closing date loan portfolio, which included loans distributed to PSLF by certain of its wholly owned subsidiaries and us, PennantPark CLO IV, LLC transferred to a wholly owned subsidiary of PSLF 100% of the Subordinated Notes issued by PennantPark CLO IV, LLC. As of September 30, 2024 and 2023, there was $246.0 million of external 2034 Asset-Backed Debt.</w:t>
      </w:r>
    </w:p>
    <w:p>
      <w:pPr>
        <w:spacing w:after="0" w:line="94" w:lineRule="exact"/>
        <w:rPr>
          <w:sz w:val="20"/>
          <w:szCs w:val="20"/>
          <w:color w:val="auto"/>
        </w:rPr>
      </w:pPr>
    </w:p>
    <w:p>
      <w:pPr>
        <w:ind w:right="100" w:firstLine="420"/>
        <w:spacing w:after="0" w:line="256" w:lineRule="auto"/>
        <w:rPr>
          <w:sz w:val="20"/>
          <w:szCs w:val="20"/>
          <w:color w:val="auto"/>
        </w:rPr>
      </w:pPr>
      <w:r>
        <w:rPr>
          <w:rFonts w:ascii="Times New Roman" w:cs="Times New Roman" w:eastAsia="Times New Roman" w:hAnsi="Times New Roman"/>
          <w:sz w:val="13"/>
          <w:szCs w:val="13"/>
          <w:color w:val="auto"/>
        </w:rPr>
        <w:t>On July 26, 2023, CLO VII completed a $300 million debt securitization in the form of a collateralized loan obligation (the "2035 Debt Securitization" or "2035 Asset-Backed Debt"). The 2035 Asset-Backed Debt is secured by a diversified portfolio consisting primarily of middle market loans. The 2035 Debt Securitization was executed through a private placement of: (i) $151.0 million Class A -1a Notes maturing 2035, which bear interest at the three -month SOFR plus 2.7%, (ii) $ 20.0 million Class A-1b Loans 2035, which bear interest at 6.5%, (iii) $12.0 million Class A- 2 Senior Secured Floating Rate Notes due 2035, which bear interest at the three-month SOFR plus 3.2%, (iv) $21.0 million Class B Senior Secured Floating Rate Notes due 2035, which bear interest at the three -month SOFR plus 4.1%, (v) $24.0 million Class C Secured Deferrable Floating Rate Notes due 2035, which bear interest at the three-month SOFR plus 4.7%, (vi) $18.0 million Class D Secured Deferrable Floating Rate Notes due 2035, which bear interest at the three-month SOFR plus 7.0%. As of September 30, 2024 and September 2023, there was $246.0 million of external 2035 Asset-Backed Debt.</w:t>
      </w:r>
    </w:p>
    <w:p>
      <w:pPr>
        <w:spacing w:after="0" w:line="96" w:lineRule="exact"/>
        <w:rPr>
          <w:sz w:val="20"/>
          <w:szCs w:val="20"/>
          <w:color w:val="auto"/>
        </w:rPr>
      </w:pPr>
    </w:p>
    <w:p>
      <w:pPr>
        <w:ind w:right="40" w:firstLine="420"/>
        <w:spacing w:after="0" w:line="256" w:lineRule="auto"/>
        <w:rPr>
          <w:sz w:val="20"/>
          <w:szCs w:val="20"/>
          <w:color w:val="auto"/>
        </w:rPr>
      </w:pPr>
      <w:r>
        <w:rPr>
          <w:rFonts w:ascii="Times New Roman" w:cs="Times New Roman" w:eastAsia="Times New Roman" w:hAnsi="Times New Roman"/>
          <w:sz w:val="13"/>
          <w:szCs w:val="13"/>
          <w:color w:val="auto"/>
        </w:rPr>
        <w:t>On August 28, 2024, PSLF and Pantheon entered into an amendment (the “Amendment”) to PSLF’s limited liability company agreement (the “LLC Agreement”). The Amendment amended the term of PSLF, which would have otherwise expired on January 31, 2025, to be indefinite, subject to the other terms of dissolution, wind down and termination in the LLC Agreement. The Amendment also modified the LLC Agreement to permit any member of PSLF (each, a “Member”) to request to redeem its interests in PSLF (in minimum tranches of 25% of the interests then-owned by such Member) at any time. Under the Amendment, PSLF is required to use commercially reasonable efforts to redeem any such Member’s interests within 18 months and, in any event, within three years from the date of such redemption request, subject to customary limitations with respect to the liquidity of PSLF and the requirement that the Company’s proportionate share or ownership of PSLF not exceed 87.5%. It is contemplated that any such redemption would be funded by either principal proceeds from repayments of investments in underlying portfolio companies of PSLF or the proceeds of any new Member’s investment into PSLF.</w:t>
      </w:r>
    </w:p>
    <w:p>
      <w:pPr>
        <w:spacing w:after="0" w:line="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Below is a summary of PSLF’s portfolio at fair value ($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thousands)</w:t>
            </w:r>
          </w:p>
        </w:tc>
        <w:tc>
          <w:tcPr>
            <w:tcW w:w="3100" w:type="dxa"/>
            <w:vAlign w:val="bottom"/>
          </w:tcPr>
          <w:p>
            <w:pPr>
              <w:spacing w:after="0"/>
              <w:rPr>
                <w:sz w:val="14"/>
                <w:szCs w:val="14"/>
                <w:color w:val="auto"/>
              </w:rPr>
            </w:pPr>
          </w:p>
        </w:tc>
        <w:tc>
          <w:tcPr>
            <w:tcW w:w="15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20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September 30, 2023</w:t>
            </w:r>
          </w:p>
        </w:tc>
      </w:tr>
      <w:tr>
        <w:trPr>
          <w:trHeight w:val="156"/>
        </w:trPr>
        <w:tc>
          <w:tcPr>
            <w:tcW w:w="4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investments</w:t>
            </w:r>
          </w:p>
        </w:tc>
        <w:tc>
          <w:tcPr>
            <w:tcW w:w="3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1,031,225</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804,187</w:t>
            </w:r>
          </w:p>
        </w:tc>
        <w:tc>
          <w:tcPr>
            <w:tcW w:w="40" w:type="dxa"/>
            <w:vAlign w:val="bottom"/>
          </w:tcPr>
          <w:p>
            <w:pPr>
              <w:spacing w:after="0"/>
              <w:rPr>
                <w:sz w:val="13"/>
                <w:szCs w:val="13"/>
                <w:color w:val="auto"/>
              </w:rPr>
            </w:pPr>
          </w:p>
        </w:tc>
      </w:tr>
      <w:tr>
        <w:trPr>
          <w:trHeight w:val="156"/>
        </w:trPr>
        <w:tc>
          <w:tcPr>
            <w:tcW w:w="4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cost yield on income producing investments</w:t>
            </w:r>
          </w:p>
        </w:tc>
        <w:tc>
          <w:tcPr>
            <w:tcW w:w="3100" w:type="dxa"/>
            <w:vAlign w:val="bottom"/>
          </w:tcPr>
          <w:p>
            <w:pPr>
              <w:spacing w:after="0"/>
              <w:rPr>
                <w:sz w:val="13"/>
                <w:szCs w:val="13"/>
                <w:color w:val="auto"/>
              </w:rPr>
            </w:pPr>
          </w:p>
        </w:tc>
        <w:tc>
          <w:tcPr>
            <w:tcW w:w="15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11.3 %</w:t>
            </w:r>
          </w:p>
        </w:tc>
        <w:tc>
          <w:tcPr>
            <w:tcW w:w="2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12.1 %</w:t>
            </w:r>
          </w:p>
        </w:tc>
        <w:tc>
          <w:tcPr>
            <w:tcW w:w="40" w:type="dxa"/>
            <w:vAlign w:val="bottom"/>
          </w:tcPr>
          <w:p>
            <w:pPr>
              <w:spacing w:after="0"/>
              <w:rPr>
                <w:sz w:val="13"/>
                <w:szCs w:val="13"/>
                <w:color w:val="auto"/>
              </w:rPr>
            </w:pPr>
          </w:p>
        </w:tc>
      </w:tr>
      <w:tr>
        <w:trPr>
          <w:trHeight w:val="156"/>
        </w:trPr>
        <w:tc>
          <w:tcPr>
            <w:tcW w:w="4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Number of portfolio companies in PSLF</w:t>
            </w:r>
          </w:p>
        </w:tc>
        <w:tc>
          <w:tcPr>
            <w:tcW w:w="3100" w:type="dxa"/>
            <w:vAlign w:val="bottom"/>
            <w:shd w:val="clear" w:color="auto" w:fill="CCECFF"/>
          </w:tcPr>
          <w:p>
            <w:pPr>
              <w:spacing w:after="0"/>
              <w:rPr>
                <w:sz w:val="13"/>
                <w:szCs w:val="13"/>
                <w:color w:val="auto"/>
              </w:rPr>
            </w:pPr>
          </w:p>
        </w:tc>
        <w:tc>
          <w:tcPr>
            <w:tcW w:w="154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102</w:t>
            </w:r>
          </w:p>
        </w:tc>
        <w:tc>
          <w:tcPr>
            <w:tcW w:w="200" w:type="dxa"/>
            <w:vAlign w:val="bottom"/>
            <w:shd w:val="clear" w:color="auto" w:fill="CCECFF"/>
          </w:tcPr>
          <w:p>
            <w:pPr>
              <w:spacing w:after="0"/>
              <w:rPr>
                <w:sz w:val="13"/>
                <w:szCs w:val="13"/>
                <w:color w:val="auto"/>
              </w:rPr>
            </w:pPr>
          </w:p>
        </w:tc>
        <w:tc>
          <w:tcPr>
            <w:tcW w:w="14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90</w:t>
            </w:r>
          </w:p>
        </w:tc>
        <w:tc>
          <w:tcPr>
            <w:tcW w:w="40" w:type="dxa"/>
            <w:vAlign w:val="bottom"/>
          </w:tcPr>
          <w:p>
            <w:pPr>
              <w:spacing w:after="0"/>
              <w:rPr>
                <w:sz w:val="13"/>
                <w:szCs w:val="13"/>
                <w:color w:val="auto"/>
              </w:rPr>
            </w:pPr>
          </w:p>
        </w:tc>
      </w:tr>
      <w:tr>
        <w:trPr>
          <w:trHeight w:val="156"/>
        </w:trPr>
        <w:tc>
          <w:tcPr>
            <w:tcW w:w="4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Largest portfolio company investment at fair value</w:t>
            </w:r>
          </w:p>
        </w:tc>
        <w:tc>
          <w:tcPr>
            <w:tcW w:w="3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25,073</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19,737</w:t>
            </w:r>
          </w:p>
        </w:tc>
        <w:tc>
          <w:tcPr>
            <w:tcW w:w="40" w:type="dxa"/>
            <w:vAlign w:val="bottom"/>
          </w:tcPr>
          <w:p>
            <w:pPr>
              <w:spacing w:after="0"/>
              <w:rPr>
                <w:sz w:val="13"/>
                <w:szCs w:val="13"/>
                <w:color w:val="auto"/>
              </w:rPr>
            </w:pPr>
          </w:p>
        </w:tc>
      </w:tr>
      <w:tr>
        <w:trPr>
          <w:trHeight w:val="156"/>
        </w:trPr>
        <w:tc>
          <w:tcPr>
            <w:tcW w:w="4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of five largest portfolio company investments at fair value</w:t>
            </w:r>
          </w:p>
        </w:tc>
        <w:tc>
          <w:tcPr>
            <w:tcW w:w="3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109,927</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97,526</w:t>
            </w:r>
          </w:p>
        </w:tc>
        <w:tc>
          <w:tcPr>
            <w:tcW w:w="40" w:type="dxa"/>
            <w:vAlign w:val="bottom"/>
          </w:tcPr>
          <w:p>
            <w:pPr>
              <w:spacing w:after="0"/>
              <w:rPr>
                <w:sz w:val="13"/>
                <w:szCs w:val="13"/>
                <w:color w:val="auto"/>
              </w:rPr>
            </w:pPr>
          </w:p>
        </w:tc>
      </w:tr>
      <w:tr>
        <w:trPr>
          <w:trHeight w:val="532"/>
        </w:trPr>
        <w:tc>
          <w:tcPr>
            <w:tcW w:w="4300" w:type="dxa"/>
            <w:vAlign w:val="bottom"/>
          </w:tcPr>
          <w:p>
            <w:pPr>
              <w:spacing w:after="0"/>
              <w:rPr>
                <w:sz w:val="24"/>
                <w:szCs w:val="24"/>
                <w:color w:val="auto"/>
              </w:rPr>
            </w:pPr>
          </w:p>
        </w:tc>
        <w:tc>
          <w:tcPr>
            <w:tcW w:w="3100" w:type="dxa"/>
            <w:vAlign w:val="bottom"/>
          </w:tcPr>
          <w:p>
            <w:pPr>
              <w:jc w:val="right"/>
              <w:ind w:right="1974"/>
              <w:spacing w:after="0"/>
              <w:rPr>
                <w:sz w:val="20"/>
                <w:szCs w:val="20"/>
                <w:color w:val="auto"/>
              </w:rPr>
            </w:pPr>
            <w:r>
              <w:rPr>
                <w:rFonts w:ascii="Times New Roman" w:cs="Times New Roman" w:eastAsia="Times New Roman" w:hAnsi="Times New Roman"/>
                <w:sz w:val="13"/>
                <w:szCs w:val="13"/>
                <w:color w:val="auto"/>
              </w:rPr>
              <w:t>53</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80"/>
        </w:trPr>
        <w:tc>
          <w:tcPr>
            <w:tcW w:w="4300" w:type="dxa"/>
            <w:vAlign w:val="bottom"/>
            <w:tcBorders>
              <w:bottom w:val="single" w:sz="8" w:color="EEEEEE"/>
            </w:tcBorders>
          </w:tcPr>
          <w:p>
            <w:pPr>
              <w:spacing w:after="0"/>
              <w:rPr>
                <w:sz w:val="24"/>
                <w:szCs w:val="24"/>
                <w:color w:val="auto"/>
              </w:rPr>
            </w:pPr>
          </w:p>
        </w:tc>
        <w:tc>
          <w:tcPr>
            <w:tcW w:w="3100" w:type="dxa"/>
            <w:vAlign w:val="bottom"/>
            <w:tcBorders>
              <w:bottom w:val="single" w:sz="8" w:color="EEEEEE"/>
            </w:tcBorders>
          </w:tcPr>
          <w:p>
            <w:pPr>
              <w:spacing w:after="0"/>
              <w:rPr>
                <w:sz w:val="24"/>
                <w:szCs w:val="24"/>
                <w:color w:val="auto"/>
              </w:rPr>
            </w:pPr>
          </w:p>
        </w:tc>
        <w:tc>
          <w:tcPr>
            <w:tcW w:w="154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420" w:type="dxa"/>
            <w:vAlign w:val="bottom"/>
            <w:tcBorders>
              <w:bottom w:val="single" w:sz="8" w:color="EEEEEE"/>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156" w:right="640" w:bottom="1440" w:gutter="0" w:footer="0" w:header="0"/>
        </w:sectPr>
      </w:pPr>
    </w:p>
    <w:bookmarkStart w:id="53" w:name="page54"/>
    <w:bookmarkEnd w:id="53"/>
    <w:p>
      <w:pPr>
        <w:ind w:left="420"/>
        <w:spacing w:after="0"/>
        <w:rPr>
          <w:sz w:val="20"/>
          <w:szCs w:val="20"/>
          <w:color w:val="auto"/>
        </w:rPr>
      </w:pPr>
      <w:r>
        <w:rPr>
          <w:rFonts w:ascii="Times New Roman" w:cs="Times New Roman" w:eastAsia="Times New Roman" w:hAnsi="Times New Roman"/>
          <w:sz w:val="13"/>
          <w:szCs w:val="13"/>
          <w:color w:val="auto"/>
        </w:rPr>
        <w:t>Below is a listing of PSLF’s individual investments as of September 30, 2024 ($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0" w:type="dxa"/>
            <w:vAlign w:val="bottom"/>
          </w:tcPr>
          <w:p>
            <w:pPr>
              <w:jc w:val="right"/>
              <w:ind w:right="311"/>
              <w:spacing w:after="0" w:line="14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960" w:type="dxa"/>
            <w:vAlign w:val="bottom"/>
          </w:tcPr>
          <w:p>
            <w:pPr>
              <w:jc w:val="center"/>
              <w:ind w:right="31"/>
              <w:spacing w:after="0" w:line="145" w:lineRule="exact"/>
              <w:rPr>
                <w:sz w:val="20"/>
                <w:szCs w:val="20"/>
                <w:color w:val="auto"/>
              </w:rPr>
            </w:pPr>
            <w:r>
              <w:rPr>
                <w:rFonts w:ascii="Times New Roman" w:cs="Times New Roman" w:eastAsia="Times New Roman" w:hAnsi="Times New Roman"/>
                <w:sz w:val="13"/>
                <w:szCs w:val="13"/>
                <w:b w:val="1"/>
                <w:bCs w:val="1"/>
                <w:color w:val="auto"/>
              </w:rPr>
              <w:t>Above</w:t>
            </w:r>
          </w:p>
        </w:tc>
        <w:tc>
          <w:tcPr>
            <w:tcW w:w="720" w:type="dxa"/>
            <w:vAlign w:val="bottom"/>
          </w:tcPr>
          <w:p>
            <w:pPr>
              <w:jc w:val="right"/>
              <w:ind w:right="231"/>
              <w:spacing w:after="0" w:line="145" w:lineRule="exact"/>
              <w:rPr>
                <w:sz w:val="20"/>
                <w:szCs w:val="20"/>
                <w:color w:val="auto"/>
              </w:rPr>
            </w:pPr>
            <w:r>
              <w:rPr>
                <w:rFonts w:ascii="Times New Roman" w:cs="Times New Roman" w:eastAsia="Times New Roman" w:hAnsi="Times New Roman"/>
                <w:sz w:val="13"/>
                <w:szCs w:val="13"/>
                <w:b w:val="1"/>
                <w:bCs w:val="1"/>
                <w:color w:val="auto"/>
              </w:rPr>
              <w:t>Par /</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840" w:type="dxa"/>
            <w:vAlign w:val="bottom"/>
          </w:tcPr>
          <w:p>
            <w:pPr>
              <w:ind w:left="20"/>
              <w:spacing w:after="0" w:line="179" w:lineRule="exact"/>
              <w:rPr>
                <w:sz w:val="20"/>
                <w:szCs w:val="20"/>
                <w:color w:val="auto"/>
              </w:rPr>
            </w:pPr>
            <w:r>
              <w:rPr>
                <w:rFonts w:ascii="Times New Roman" w:cs="Times New Roman" w:eastAsia="Times New Roman" w:hAnsi="Times New Roman"/>
                <w:sz w:val="13"/>
                <w:szCs w:val="13"/>
                <w:b w:val="1"/>
                <w:bCs w:val="1"/>
                <w:color w:val="auto"/>
              </w:rPr>
              <w:t xml:space="preserve">Issuer Name </w:t>
            </w:r>
            <w:r>
              <w:rPr>
                <w:rFonts w:ascii="Times New Roman" w:cs="Times New Roman" w:eastAsia="Times New Roman" w:hAnsi="Times New Roman"/>
                <w:sz w:val="16"/>
                <w:szCs w:val="16"/>
                <w:b w:val="1"/>
                <w:bCs w:val="1"/>
                <w:color w:val="auto"/>
                <w:vertAlign w:val="superscript"/>
              </w:rPr>
              <w:t>3,4</w:t>
            </w:r>
          </w:p>
        </w:tc>
        <w:tc>
          <w:tcPr>
            <w:tcW w:w="940" w:type="dxa"/>
            <w:vAlign w:val="bottom"/>
          </w:tcPr>
          <w:p>
            <w:pPr>
              <w:jc w:val="center"/>
              <w:ind w:left="52"/>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2140" w:type="dxa"/>
            <w:vAlign w:val="bottom"/>
          </w:tcPr>
          <w:p>
            <w:pPr>
              <w:ind w:left="820"/>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1000" w:type="dxa"/>
            <w:vAlign w:val="bottom"/>
          </w:tcPr>
          <w:p>
            <w:pPr>
              <w:jc w:val="right"/>
              <w:ind w:right="311"/>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960" w:type="dxa"/>
            <w:vAlign w:val="bottom"/>
          </w:tcPr>
          <w:p>
            <w:pPr>
              <w:jc w:val="center"/>
              <w:ind w:right="31"/>
              <w:spacing w:after="0" w:line="179" w:lineRule="exact"/>
              <w:rPr>
                <w:sz w:val="20"/>
                <w:szCs w:val="20"/>
                <w:color w:val="auto"/>
              </w:rPr>
            </w:pPr>
            <w:r>
              <w:rPr>
                <w:rFonts w:ascii="Times New Roman" w:cs="Times New Roman" w:eastAsia="Times New Roman" w:hAnsi="Times New Roman"/>
                <w:sz w:val="13"/>
                <w:szCs w:val="13"/>
                <w:b w:val="1"/>
                <w:bCs w:val="1"/>
                <w:color w:val="auto"/>
                <w:w w:val="98"/>
              </w:rPr>
              <w:t xml:space="preserve">Index </w:t>
            </w:r>
            <w:r>
              <w:rPr>
                <w:rFonts w:ascii="Times New Roman" w:cs="Times New Roman" w:eastAsia="Times New Roman" w:hAnsi="Times New Roman"/>
                <w:sz w:val="16"/>
                <w:szCs w:val="16"/>
                <w:b w:val="1"/>
                <w:bCs w:val="1"/>
                <w:color w:val="auto"/>
                <w:w w:val="98"/>
                <w:vertAlign w:val="superscript"/>
              </w:rPr>
              <w:t>1</w:t>
            </w:r>
          </w:p>
        </w:tc>
        <w:tc>
          <w:tcPr>
            <w:tcW w:w="720" w:type="dxa"/>
            <w:vAlign w:val="bottom"/>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5"/>
                <w:szCs w:val="15"/>
                <w:color w:val="auto"/>
              </w:rPr>
            </w:pPr>
          </w:p>
        </w:tc>
        <w:tc>
          <w:tcPr>
            <w:tcW w:w="560" w:type="dxa"/>
            <w:vAlign w:val="bottom"/>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5"/>
                <w:szCs w:val="15"/>
                <w:color w:val="auto"/>
              </w:rPr>
            </w:pPr>
          </w:p>
        </w:tc>
        <w:tc>
          <w:tcPr>
            <w:tcW w:w="980" w:type="dxa"/>
            <w:vAlign w:val="bottom"/>
          </w:tcPr>
          <w:p>
            <w:pPr>
              <w:jc w:val="right"/>
              <w:ind w:right="192"/>
              <w:spacing w:after="0" w:line="179" w:lineRule="exact"/>
              <w:rPr>
                <w:sz w:val="20"/>
                <w:szCs w:val="20"/>
                <w:color w:val="auto"/>
              </w:rPr>
            </w:pPr>
            <w:r>
              <w:rPr>
                <w:rFonts w:ascii="Times New Roman" w:cs="Times New Roman" w:eastAsia="Times New Roman" w:hAnsi="Times New Roman"/>
                <w:sz w:val="13"/>
                <w:szCs w:val="13"/>
                <w:b w:val="1"/>
                <w:bCs w:val="1"/>
                <w:color w:val="auto"/>
              </w:rPr>
              <w:t xml:space="preserve">Fair Value </w:t>
            </w:r>
            <w:r>
              <w:rPr>
                <w:rFonts w:ascii="Times New Roman" w:cs="Times New Roman" w:eastAsia="Times New Roman" w:hAnsi="Times New Roman"/>
                <w:sz w:val="16"/>
                <w:szCs w:val="16"/>
                <w:b w:val="1"/>
                <w:bCs w:val="1"/>
                <w:color w:val="auto"/>
                <w:vertAlign w:val="superscript"/>
              </w:rPr>
              <w:t>2</w:t>
            </w:r>
          </w:p>
        </w:tc>
        <w:tc>
          <w:tcPr>
            <w:tcW w:w="0" w:type="dxa"/>
            <w:vAlign w:val="bottom"/>
          </w:tcPr>
          <w:p>
            <w:pPr>
              <w:spacing w:after="0"/>
              <w:rPr>
                <w:sz w:val="1"/>
                <w:szCs w:val="1"/>
                <w:color w:val="auto"/>
              </w:rPr>
            </w:pPr>
          </w:p>
        </w:tc>
      </w:tr>
      <w:tr>
        <w:trPr>
          <w:trHeight w:val="122"/>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- 916.4%</w:t>
            </w:r>
          </w:p>
        </w:tc>
        <w:tc>
          <w:tcPr>
            <w:tcW w:w="9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12/22/28</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10.95 %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SOFR+610</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14,738</w:t>
            </w:r>
          </w:p>
        </w:tc>
        <w:tc>
          <w:tcPr>
            <w:tcW w:w="2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14,504</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14,738</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ACP Avenu Buyer, LLC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10/02/29</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10.57 %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SOFR+525</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7,667</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7,526</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7,418</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ACP Falcon Buyer, Inc.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08/01/29</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10.83 %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SOFR+550</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15,351</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15,067</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15,412</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05/07/26</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11.28 %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SOFR+626</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4,838</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4,838</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4,838</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Aeronix, Inc. - Term Loan</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12/18/28</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9.85 %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SOFR+525</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14,888</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14,700</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14,888</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AFC - Dell Holding Corp.</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04/09/27</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10.49 %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SOFR+550</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7,131</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7,059</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7,059</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11/30/26</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Containers, Packaging and Glass</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11.30 %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SOFR+610</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14,687</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14,459</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14,100</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Amsive Holding Corporation (f/k/a Vision Purchaser Corporation)</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06/10/25</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10.75 %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SOFR+650</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13,813</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13,769</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13,675</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Holdings Inc (fka MeritDirect)</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06/30/26</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10.50 %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SOFR+590</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14,714</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14,638</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14,714</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12/29/26</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10.50 %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SOFR+590</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14,522</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14,389</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14,304</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08/03/29</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11.56 %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SOFR+625</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21,574</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21,270</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21,466</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Beacon Behavioral Support Services, LLC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06/21/29</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9.92 %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SOFR+525</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14,963</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14,750</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14,738</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07/01/29</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10.35 %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14,700</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14,486</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14,259</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Big Top Holdings, LLC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02/28/30</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Manufacturing / Basic Industries</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11.18 %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SOFR+625</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6,965</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6,852</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6,965</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01/31/28</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11.84 %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SOFR+650</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8,887</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8,795</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8,776</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09/17/26</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10.92 %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SOFR+640</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20,504</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20,245</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20,152</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BlueHalo Global Holdings, LLC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10/31/25</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10.70 %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SOFR+600</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13,292</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13,218</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13,026</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12/04/25</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10.97 %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SOFR+611</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9,374</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9,374</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9,374</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07/25/29</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Auto Sector</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10.20 %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SOFR+535</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4,874</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4,625</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4,585</w:t>
            </w:r>
          </w:p>
        </w:tc>
        <w:tc>
          <w:tcPr>
            <w:tcW w:w="0" w:type="dxa"/>
            <w:vAlign w:val="bottom"/>
          </w:tcPr>
          <w:p>
            <w:pPr>
              <w:spacing w:after="0"/>
              <w:rPr>
                <w:sz w:val="1"/>
                <w:szCs w:val="1"/>
                <w:color w:val="auto"/>
              </w:rPr>
            </w:pPr>
          </w:p>
        </w:tc>
      </w:tr>
      <w:tr>
        <w:trPr>
          <w:trHeight w:val="124"/>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Carisk Buyer, Inc.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11/30/29</w:t>
            </w: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vMerge w:val="restart"/>
          </w:tcPr>
          <w:p>
            <w:pPr>
              <w:jc w:val="right"/>
              <w:ind w:right="71"/>
              <w:spacing w:after="0"/>
              <w:rPr>
                <w:sz w:val="20"/>
                <w:szCs w:val="20"/>
                <w:color w:val="auto"/>
              </w:rPr>
            </w:pPr>
            <w:r>
              <w:rPr>
                <w:rFonts w:ascii="Times New Roman" w:cs="Times New Roman" w:eastAsia="Times New Roman" w:hAnsi="Times New Roman"/>
                <w:sz w:val="10"/>
                <w:szCs w:val="10"/>
                <w:color w:val="auto"/>
              </w:rPr>
              <w:t>10.35 %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vMerge w:val="restart"/>
          </w:tcPr>
          <w:p>
            <w:pPr>
              <w:jc w:val="right"/>
              <w:ind w:right="51"/>
              <w:spacing w:after="0"/>
              <w:rPr>
                <w:sz w:val="20"/>
                <w:szCs w:val="20"/>
                <w:color w:val="auto"/>
              </w:rPr>
            </w:pPr>
            <w:r>
              <w:rPr>
                <w:rFonts w:ascii="Times New Roman" w:cs="Times New Roman" w:eastAsia="Times New Roman" w:hAnsi="Times New Roman"/>
                <w:sz w:val="10"/>
                <w:szCs w:val="10"/>
                <w:color w:val="auto"/>
              </w:rPr>
              <w:t>5,473</w:t>
            </w:r>
          </w:p>
        </w:tc>
        <w:tc>
          <w:tcPr>
            <w:tcW w:w="220" w:type="dxa"/>
            <w:vAlign w:val="bottom"/>
          </w:tcPr>
          <w:p>
            <w:pPr>
              <w:spacing w:after="0"/>
              <w:rPr>
                <w:sz w:val="10"/>
                <w:szCs w:val="10"/>
                <w:color w:val="auto"/>
              </w:rPr>
            </w:pPr>
          </w:p>
        </w:tc>
        <w:tc>
          <w:tcPr>
            <w:tcW w:w="5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5,400</w:t>
            </w:r>
          </w:p>
        </w:tc>
        <w:tc>
          <w:tcPr>
            <w:tcW w:w="200" w:type="dxa"/>
            <w:vAlign w:val="bottom"/>
          </w:tcPr>
          <w:p>
            <w:pPr>
              <w:spacing w:after="0"/>
              <w:rPr>
                <w:sz w:val="10"/>
                <w:szCs w:val="10"/>
                <w:color w:val="auto"/>
              </w:rPr>
            </w:pPr>
          </w:p>
        </w:tc>
        <w:tc>
          <w:tcPr>
            <w:tcW w:w="9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5,390</w:t>
            </w:r>
          </w:p>
        </w:tc>
        <w:tc>
          <w:tcPr>
            <w:tcW w:w="0" w:type="dxa"/>
            <w:vAlign w:val="bottom"/>
          </w:tcPr>
          <w:p>
            <w:pPr>
              <w:spacing w:after="0"/>
              <w:rPr>
                <w:sz w:val="1"/>
                <w:szCs w:val="1"/>
                <w:color w:val="auto"/>
              </w:rPr>
            </w:pPr>
          </w:p>
        </w:tc>
      </w:tr>
      <w:tr>
        <w:trPr>
          <w:trHeight w:val="56"/>
        </w:trPr>
        <w:tc>
          <w:tcPr>
            <w:tcW w:w="284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214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Carnegie Dartlet, LLC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02/07/30</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10.35 %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SOFR+550</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9,950</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9,810</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9,801</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06/14/28</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10.35 %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17,106</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16,879</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17,106</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08/20/26</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11.21 %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SOFR+619</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2,891</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2,876</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2,848</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07/13/27</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10.53 %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SOFR+561</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8,716</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8,702</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8,716</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08/16/27</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10.71 %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SOFR+586</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2,549</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2,529</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2,530</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08/31/27</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9.95 %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SOFR+535</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22,993</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22,842</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22,993</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12/21/28</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10.20 %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SOFR+535</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5,830</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5,423</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5,626</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11/03/25</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11.20 %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SOFR+635</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13,777</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13,760</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13,667</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Dynata, LLC - First Out Term Loan</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07/15/28</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10.38 %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SOFR+526</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1,588</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1,476</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1,586</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Dynata, LLC - Last Out Term Loan</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10/15/28</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10.88 %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SOFR+576</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9,768</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9,768</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8,993</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01/10/29</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10.35 %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11,144</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11,013</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10,977</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ETE Intermediate II, LLC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05/29/29</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11.56 %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SOFR+650</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12,249</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12,049</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12,249</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Eval Home Health Solutions Intermediate, LLC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05/10/30</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10.85 %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7,396</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7,293</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7,322</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03/15/27</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11.20 %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SOFR+635</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9,651</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9,556</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9,603</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Fairbanks Morse Defense</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06/17/28</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9.74 %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SOFR+450</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3,491</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3,417</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3,495</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Five Star Buyer, Inc.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02/23/28</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Hotels, Motels, Inns and Gaming</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12.21 %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SOFR+710</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4,241</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4,175</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4,241</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03/16/26</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Banking, Finance, Insurance &amp; Real Estate</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11.43 %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SOFR+615</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6,952</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6,940</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6,605</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08/10/27</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10.45 %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SOFR+560</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3,118</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3,081</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3,087</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12/31/26</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10.20 %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SOFR+560</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6,146</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6,146</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6,023</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HEC Purchaser Corp.</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06/17/29</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9.75 %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SOFR+550</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7,980</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7,887</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7,924</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Hills Distribution, Inc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11/08/29</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11.11 %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SOFR+600</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14,292</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14,106</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14,149</w:t>
            </w:r>
          </w:p>
        </w:tc>
        <w:tc>
          <w:tcPr>
            <w:tcW w:w="0" w:type="dxa"/>
            <w:vAlign w:val="bottom"/>
          </w:tcPr>
          <w:p>
            <w:pPr>
              <w:spacing w:after="0"/>
              <w:rPr>
                <w:sz w:val="1"/>
                <w:szCs w:val="1"/>
                <w:color w:val="auto"/>
              </w:rPr>
            </w:pPr>
          </w:p>
        </w:tc>
      </w:tr>
      <w:tr>
        <w:trPr>
          <w:trHeight w:val="121"/>
        </w:trPr>
        <w:tc>
          <w:tcPr>
            <w:tcW w:w="2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00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12.00%</w:t>
            </w:r>
          </w:p>
        </w:tc>
        <w:tc>
          <w:tcPr>
            <w:tcW w:w="9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12/17/26</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(PIK 4.0%)</w:t>
            </w:r>
          </w:p>
        </w:tc>
        <w:tc>
          <w:tcPr>
            <w:tcW w:w="960" w:type="dxa"/>
            <w:vAlign w:val="bottom"/>
          </w:tcPr>
          <w:p>
            <w:pPr>
              <w:spacing w:after="0"/>
              <w:rPr>
                <w:sz w:val="10"/>
                <w:szCs w:val="10"/>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15,144</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15,019</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13,887</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05/10/26</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11.04 %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SOFR+590</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18,355</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18,296</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18,355</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IG Investments Holdings, LLC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09/22/28</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11.35 %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SOFR+610</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4,383</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4,322</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4,339</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11/15/27</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10.20 %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SOFR+510</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5,509</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5,440</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5,481</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12/28/28</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11.49 %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SOFR+685</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13,890</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13,730</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14,029</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Infolinks Media Buyco, LLC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11/01/26</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10.10 %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SOFR+550</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12,286</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12,214</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12,194</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Inventus Power, Inc.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06/30/25</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12.46 %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SOFR+761</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13,101</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12,980</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12,905</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11/10/27</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10.75 %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SOFR+615</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13,701</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13,520</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13,701</w:t>
            </w:r>
          </w:p>
        </w:tc>
        <w:tc>
          <w:tcPr>
            <w:tcW w:w="0" w:type="dxa"/>
            <w:vAlign w:val="bottom"/>
          </w:tcPr>
          <w:p>
            <w:pPr>
              <w:spacing w:after="0"/>
              <w:rPr>
                <w:sz w:val="1"/>
                <w:szCs w:val="1"/>
                <w:color w:val="auto"/>
              </w:rPr>
            </w:pPr>
          </w:p>
        </w:tc>
      </w:tr>
      <w:tr>
        <w:trPr>
          <w:trHeight w:val="121"/>
        </w:trPr>
        <w:tc>
          <w:tcPr>
            <w:tcW w:w="2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Leisure, Amusement, Motion Pictures,</w:t>
            </w:r>
          </w:p>
        </w:tc>
        <w:tc>
          <w:tcPr>
            <w:tcW w:w="1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10/31/25</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Entertainment</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11.66 %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SOFR+640</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4,613</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4,601</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4,530</w:t>
            </w:r>
          </w:p>
        </w:tc>
        <w:tc>
          <w:tcPr>
            <w:tcW w:w="0" w:type="dxa"/>
            <w:vAlign w:val="bottom"/>
          </w:tcPr>
          <w:p>
            <w:pPr>
              <w:spacing w:after="0"/>
              <w:rPr>
                <w:sz w:val="1"/>
                <w:szCs w:val="1"/>
                <w:color w:val="auto"/>
              </w:rPr>
            </w:pPr>
          </w:p>
        </w:tc>
      </w:tr>
      <w:tr>
        <w:trPr>
          <w:trHeight w:val="121"/>
        </w:trPr>
        <w:tc>
          <w:tcPr>
            <w:tcW w:w="284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214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12.94%</w:t>
            </w:r>
          </w:p>
        </w:tc>
        <w:tc>
          <w:tcPr>
            <w:tcW w:w="9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02/18/27</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0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(PIK 5.10%)</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SOFR+785</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20,447</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20,338</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20,243</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02/03/26</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10.20 %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SOFR+535</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14,267</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14,170</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14,267</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01/31/30</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10.48 %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SOFR+525</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6,255</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6,151</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6,255</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04/01/27</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10.20 %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SOFR+550</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8,266</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7,890</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7,770</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Magenta Buyer, LLC -First out</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07/31/28</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12.13 %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SOFR+701</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450</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450</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425</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Magenta Buyer, LLC -Second out</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07/31/28</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12.38 %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SOFR+801</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569</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569</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390</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Magenta Buyer, LLC -Third out</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07/31/28</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11.63 %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SOFR+726</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2,109</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2,109</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617</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04/16/27</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10.67 %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SOFR+585</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8,330</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8,256</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8,338</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12/10/27</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10.50 %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SOFR+590</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2,923</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2,884</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2,850</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Medina Health, LLC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10/20/28</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10.85 %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SOFR+625</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14,912</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14,765</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14,912</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Megawatt Acquisitionco, Inc.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03/01/30</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9.85 %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SOFR+525</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7,960</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7,851</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7,514</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MOREgroup Holdings, LLC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01/16/30</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10.35 %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12,450</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12,303</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12,263</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10/01/27</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9.77 %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SOFR+515</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5,912</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5,822</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5,912</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NBH Group LLC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08/19/26</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11.19 %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SOFR+585</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7,353</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7,311</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7,133</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NORA Acquisition, LLC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08/31/29</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10.95 %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SOFR+635</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14,850</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14,597</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14,850</w:t>
            </w:r>
          </w:p>
        </w:tc>
        <w:tc>
          <w:tcPr>
            <w:tcW w:w="0" w:type="dxa"/>
            <w:vAlign w:val="bottom"/>
          </w:tcPr>
          <w:p>
            <w:pPr>
              <w:spacing w:after="0"/>
              <w:rPr>
                <w:sz w:val="1"/>
                <w:szCs w:val="1"/>
                <w:color w:val="auto"/>
              </w:rPr>
            </w:pPr>
          </w:p>
        </w:tc>
      </w:tr>
      <w:tr>
        <w:trPr>
          <w:trHeight w:val="204"/>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Omnia Exterior Solutions, LLC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12/29/29</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1000" w:type="dxa"/>
            <w:vAlign w:val="bottom"/>
          </w:tcPr>
          <w:p>
            <w:pPr>
              <w:jc w:val="right"/>
              <w:ind w:right="71"/>
              <w:spacing w:after="0" w:line="204" w:lineRule="exact"/>
              <w:rPr>
                <w:sz w:val="20"/>
                <w:szCs w:val="20"/>
                <w:color w:val="auto"/>
              </w:rPr>
            </w:pPr>
            <w:r>
              <w:rPr>
                <w:rFonts w:ascii="Times New Roman" w:cs="Times New Roman" w:eastAsia="Times New Roman" w:hAnsi="Times New Roman"/>
                <w:sz w:val="10"/>
                <w:szCs w:val="10"/>
                <w:color w:val="auto"/>
              </w:rPr>
              <w:t xml:space="preserve">10.01 </w:t>
            </w:r>
            <w:r>
              <w:rPr>
                <w:rFonts w:ascii="Times New Roman" w:cs="Times New Roman" w:eastAsia="Times New Roman" w:hAnsi="Times New Roman"/>
                <w:sz w:val="19"/>
                <w:szCs w:val="19"/>
                <w:color w:val="auto"/>
                <w:vertAlign w:val="subscript"/>
              </w:rPr>
              <w:t>%</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SOFR+550</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9,768</w:t>
            </w:r>
          </w:p>
        </w:tc>
        <w:tc>
          <w:tcPr>
            <w:tcW w:w="220" w:type="dxa"/>
            <w:vAlign w:val="bottom"/>
          </w:tcPr>
          <w:p>
            <w:pPr>
              <w:spacing w:after="0"/>
              <w:rPr>
                <w:sz w:val="17"/>
                <w:szCs w:val="17"/>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9,650</w:t>
            </w:r>
          </w:p>
        </w:tc>
        <w:tc>
          <w:tcPr>
            <w:tcW w:w="200" w:type="dxa"/>
            <w:vAlign w:val="bottom"/>
          </w:tcPr>
          <w:p>
            <w:pPr>
              <w:spacing w:after="0"/>
              <w:rPr>
                <w:sz w:val="17"/>
                <w:szCs w:val="17"/>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9,622</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05/07/27</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11.21 %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SOFR+636</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8,380</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8,256</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8,380</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02/04/28</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10.20 %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SOFR+535</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3,893</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3,811</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3,825</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Ox Two, LLC (New Issue)</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05/18/26</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00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11.12 %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SOFR+651</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9,340</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9,307</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9,340</w:t>
            </w:r>
          </w:p>
        </w:tc>
        <w:tc>
          <w:tcPr>
            <w:tcW w:w="0" w:type="dxa"/>
            <w:vAlign w:val="bottom"/>
          </w:tcPr>
          <w:p>
            <w:pPr>
              <w:spacing w:after="0"/>
              <w:rPr>
                <w:sz w:val="1"/>
                <w:szCs w:val="1"/>
                <w:color w:val="auto"/>
              </w:rPr>
            </w:pPr>
          </w:p>
        </w:tc>
      </w:tr>
      <w:tr>
        <w:trPr>
          <w:trHeight w:val="124"/>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Pacific Purchaser, LLC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10/02/28</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11.51 %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SOFR+600</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12,903</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12,682</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12,877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8" w:right="680" w:bottom="1440" w:gutter="0" w:footer="0" w:header="0"/>
        </w:sectPr>
      </w:pPr>
    </w:p>
    <w:bookmarkStart w:id="54" w:name="page55"/>
    <w:bookmarkEnd w:id="54"/>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80" w:type="dxa"/>
            <w:vAlign w:val="bottom"/>
          </w:tcPr>
          <w:p>
            <w:pPr>
              <w:jc w:val="right"/>
              <w:ind w:right="271"/>
              <w:spacing w:after="0" w:line="14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980" w:type="dxa"/>
            <w:vAlign w:val="bottom"/>
          </w:tcPr>
          <w:p>
            <w:pPr>
              <w:jc w:val="center"/>
              <w:ind w:right="90"/>
              <w:spacing w:after="0" w:line="145" w:lineRule="exact"/>
              <w:rPr>
                <w:sz w:val="20"/>
                <w:szCs w:val="20"/>
                <w:color w:val="auto"/>
              </w:rPr>
            </w:pPr>
            <w:r>
              <w:rPr>
                <w:rFonts w:ascii="Times New Roman" w:cs="Times New Roman" w:eastAsia="Times New Roman" w:hAnsi="Times New Roman"/>
                <w:sz w:val="13"/>
                <w:szCs w:val="13"/>
                <w:b w:val="1"/>
                <w:bCs w:val="1"/>
                <w:color w:val="auto"/>
              </w:rPr>
              <w:t>Above</w:t>
            </w:r>
          </w:p>
        </w:tc>
        <w:tc>
          <w:tcPr>
            <w:tcW w:w="880" w:type="dxa"/>
            <w:vAlign w:val="bottom"/>
          </w:tcPr>
          <w:p>
            <w:pPr>
              <w:jc w:val="right"/>
              <w:ind w:right="331"/>
              <w:spacing w:after="0" w:line="145" w:lineRule="exact"/>
              <w:rPr>
                <w:sz w:val="20"/>
                <w:szCs w:val="20"/>
                <w:color w:val="auto"/>
              </w:rPr>
            </w:pPr>
            <w:r>
              <w:rPr>
                <w:rFonts w:ascii="Times New Roman" w:cs="Times New Roman" w:eastAsia="Times New Roman" w:hAnsi="Times New Roman"/>
                <w:sz w:val="13"/>
                <w:szCs w:val="13"/>
                <w:b w:val="1"/>
                <w:bCs w:val="1"/>
                <w:color w:val="auto"/>
              </w:rPr>
              <w:t>Par /</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40" w:type="dxa"/>
            <w:vAlign w:val="bottom"/>
          </w:tcPr>
          <w:p>
            <w:pPr>
              <w:ind w:left="20"/>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Issuer Name </w:t>
            </w:r>
            <w:r>
              <w:rPr>
                <w:rFonts w:ascii="Times New Roman" w:cs="Times New Roman" w:eastAsia="Times New Roman" w:hAnsi="Times New Roman"/>
                <w:sz w:val="16"/>
                <w:szCs w:val="16"/>
                <w:b w:val="1"/>
                <w:bCs w:val="1"/>
                <w:color w:val="auto"/>
                <w:vertAlign w:val="superscript"/>
              </w:rPr>
              <w:t>3,4</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8"/>
              </w:rPr>
              <w:t>Maturity</w:t>
            </w: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Industry</w:t>
            </w:r>
          </w:p>
        </w:tc>
        <w:tc>
          <w:tcPr>
            <w:tcW w:w="980" w:type="dxa"/>
            <w:vAlign w:val="bottom"/>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98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3"/>
                <w:szCs w:val="13"/>
                <w:b w:val="1"/>
                <w:bCs w:val="1"/>
                <w:color w:val="auto"/>
                <w:w w:val="98"/>
              </w:rPr>
              <w:t xml:space="preserve">Index </w:t>
            </w:r>
            <w:r>
              <w:rPr>
                <w:rFonts w:ascii="Times New Roman" w:cs="Times New Roman" w:eastAsia="Times New Roman" w:hAnsi="Times New Roman"/>
                <w:sz w:val="16"/>
                <w:szCs w:val="16"/>
                <w:b w:val="1"/>
                <w:bCs w:val="1"/>
                <w:color w:val="auto"/>
                <w:w w:val="98"/>
                <w:vertAlign w:val="superscript"/>
              </w:rPr>
              <w:t>1</w:t>
            </w:r>
          </w:p>
        </w:tc>
        <w:tc>
          <w:tcPr>
            <w:tcW w:w="880" w:type="dxa"/>
            <w:vAlign w:val="bottom"/>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460" w:type="dxa"/>
            <w:vAlign w:val="bottom"/>
          </w:tcPr>
          <w:p>
            <w:pPr>
              <w:jc w:val="right"/>
              <w:ind w:right="112"/>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40"/>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Fair Value </w:t>
            </w:r>
            <w:r>
              <w:rPr>
                <w:rFonts w:ascii="Times New Roman" w:cs="Times New Roman" w:eastAsia="Times New Roman" w:hAnsi="Times New Roman"/>
                <w:sz w:val="16"/>
                <w:szCs w:val="16"/>
                <w:b w:val="1"/>
                <w:bCs w:val="1"/>
                <w:color w:val="auto"/>
                <w:vertAlign w:val="superscript"/>
              </w:rPr>
              <w:t>2</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PCS Midco, Inc.</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5"/>
              </w:rPr>
              <w:t>03/01/30</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10.81 %</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5,812</w:t>
            </w:r>
          </w:p>
        </w:tc>
        <w:tc>
          <w:tcPr>
            <w:tcW w:w="1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5,735</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5,812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4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206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11.99%</w:t>
            </w:r>
          </w:p>
        </w:tc>
        <w:tc>
          <w:tcPr>
            <w:tcW w:w="9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96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5"/>
              </w:rPr>
              <w:t>11/09/27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Retail</w:t>
            </w:r>
          </w:p>
        </w:tc>
        <w:tc>
          <w:tcPr>
            <w:tcW w:w="9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(PIK 3.5%)</w:t>
            </w:r>
          </w:p>
        </w:tc>
        <w:tc>
          <w:tcPr>
            <w:tcW w:w="98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0"/>
                <w:szCs w:val="10"/>
                <w:color w:val="auto"/>
              </w:rPr>
              <w:t>SOFR+725</w:t>
            </w:r>
          </w:p>
        </w:tc>
        <w:tc>
          <w:tcPr>
            <w:tcW w:w="8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8,193</w:t>
            </w: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8,100</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6,554</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5"/>
              </w:rPr>
              <w:t>11/19/26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10.95 %</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auto"/>
              </w:rPr>
              <w:t>SOFR+635</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3,280</w:t>
            </w: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3,245</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3,263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RTIC Subsidiary Holdings, LLC</w:t>
            </w:r>
          </w:p>
        </w:tc>
        <w:tc>
          <w:tcPr>
            <w:tcW w:w="96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5"/>
              </w:rPr>
              <w:t>05/03/29</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10.35 %</w:t>
            </w:r>
          </w:p>
        </w:tc>
        <w:tc>
          <w:tcPr>
            <w:tcW w:w="98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19,950</w:t>
            </w: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19,673</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19,551</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Radius Aerospace, Inc.</w:t>
            </w:r>
          </w:p>
        </w:tc>
        <w:tc>
          <w:tcPr>
            <w:tcW w:w="960" w:type="dxa"/>
            <w:vAlign w:val="bottom"/>
            <w:vMerge w:val="restart"/>
          </w:tcPr>
          <w:p>
            <w:pPr>
              <w:jc w:val="center"/>
              <w:ind w:right="51"/>
              <w:spacing w:after="0"/>
              <w:rPr>
                <w:sz w:val="20"/>
                <w:szCs w:val="20"/>
                <w:color w:val="auto"/>
              </w:rPr>
            </w:pPr>
            <w:r>
              <w:rPr>
                <w:rFonts w:ascii="Times New Roman" w:cs="Times New Roman" w:eastAsia="Times New Roman" w:hAnsi="Times New Roman"/>
                <w:sz w:val="10"/>
                <w:szCs w:val="10"/>
                <w:color w:val="auto"/>
                <w:w w:val="95"/>
              </w:rPr>
              <w:t>03/31/25</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80" w:type="dxa"/>
            <w:vAlign w:val="bottom"/>
            <w:vMerge w:val="restart"/>
          </w:tcPr>
          <w:p>
            <w:pPr>
              <w:jc w:val="right"/>
              <w:ind w:right="51"/>
              <w:spacing w:after="0"/>
              <w:rPr>
                <w:sz w:val="20"/>
                <w:szCs w:val="20"/>
                <w:color w:val="auto"/>
              </w:rPr>
            </w:pPr>
            <w:r>
              <w:rPr>
                <w:rFonts w:ascii="Times New Roman" w:cs="Times New Roman" w:eastAsia="Times New Roman" w:hAnsi="Times New Roman"/>
                <w:sz w:val="10"/>
                <w:szCs w:val="10"/>
                <w:color w:val="auto"/>
              </w:rPr>
              <w:t>10.75 %</w:t>
            </w:r>
          </w:p>
        </w:tc>
        <w:tc>
          <w:tcPr>
            <w:tcW w:w="980" w:type="dxa"/>
            <w:vAlign w:val="bottom"/>
            <w:vMerge w:val="restart"/>
          </w:tcPr>
          <w:p>
            <w:pPr>
              <w:jc w:val="right"/>
              <w:ind w:right="130"/>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vMerge w:val="restart"/>
          </w:tcPr>
          <w:p>
            <w:pPr>
              <w:jc w:val="right"/>
              <w:ind w:right="151"/>
              <w:spacing w:after="0"/>
              <w:rPr>
                <w:sz w:val="20"/>
                <w:szCs w:val="20"/>
                <w:color w:val="auto"/>
              </w:rPr>
            </w:pPr>
            <w:r>
              <w:rPr>
                <w:rFonts w:ascii="Times New Roman" w:cs="Times New Roman" w:eastAsia="Times New Roman" w:hAnsi="Times New Roman"/>
                <w:sz w:val="10"/>
                <w:szCs w:val="10"/>
                <w:color w:val="auto"/>
              </w:rPr>
              <w:t>12,565</w:t>
            </w:r>
          </w:p>
        </w:tc>
        <w:tc>
          <w:tcPr>
            <w:tcW w:w="12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12,543</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12,313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4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20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96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5"/>
              </w:rPr>
              <w:t>12/18/25</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10.85 %</w:t>
            </w:r>
          </w:p>
        </w:tc>
        <w:tc>
          <w:tcPr>
            <w:tcW w:w="98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0"/>
                <w:szCs w:val="10"/>
                <w:color w:val="auto"/>
              </w:rPr>
              <w:t>SOFR+560</w:t>
            </w:r>
          </w:p>
        </w:tc>
        <w:tc>
          <w:tcPr>
            <w:tcW w:w="8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5,530</w:t>
            </w: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5,530</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5,530</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5"/>
              </w:rPr>
              <w:t>04/28/28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25.00 %</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auto"/>
              </w:rPr>
              <w:t>SOFR+615</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4,937</w:t>
            </w: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4,888</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3,703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96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5"/>
              </w:rPr>
              <w:t>01/29/26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11.75 %</w:t>
            </w:r>
          </w:p>
        </w:tc>
        <w:tc>
          <w:tcPr>
            <w:tcW w:w="98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0"/>
                <w:szCs w:val="10"/>
                <w:color w:val="auto"/>
              </w:rPr>
              <w:t>SOFR+715</w:t>
            </w:r>
          </w:p>
        </w:tc>
        <w:tc>
          <w:tcPr>
            <w:tcW w:w="8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9,650</w:t>
            </w: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9,592</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9,554</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Riverpoint Medical, LLC</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5"/>
              </w:rPr>
              <w:t>06/21/25</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9.85 %</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auto"/>
              </w:rPr>
              <w:t>SOFR+525</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3,932</w:t>
            </w: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3,919</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3,936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96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5"/>
              </w:rPr>
              <w:t>06/16/29</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10.74 %</w:t>
            </w:r>
          </w:p>
        </w:tc>
        <w:tc>
          <w:tcPr>
            <w:tcW w:w="98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4,336</w:t>
            </w: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4,268</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4,282</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S101 Holdings Inc.</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5"/>
              </w:rPr>
              <w:t>12/29/26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11.48 %</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auto"/>
              </w:rPr>
              <w:t>SOFR+615</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6,467</w:t>
            </w: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6,387</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6,402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96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5"/>
              </w:rPr>
              <w:t>01/03/25</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10.80 %</w:t>
            </w:r>
          </w:p>
        </w:tc>
        <w:tc>
          <w:tcPr>
            <w:tcW w:w="98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0"/>
                <w:szCs w:val="10"/>
                <w:color w:val="auto"/>
              </w:rPr>
              <w:t>SOFR+620</w:t>
            </w:r>
          </w:p>
        </w:tc>
        <w:tc>
          <w:tcPr>
            <w:tcW w:w="8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6,676</w:t>
            </w: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6,668</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6,676</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9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12.45%</w:t>
            </w: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5"/>
              </w:rPr>
              <w:t>12/20/24</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9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(PIK 1.00%)</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auto"/>
              </w:rPr>
              <w:t>SOFR+760</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4,634</w:t>
            </w: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4,634</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4,634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96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5"/>
              </w:rPr>
              <w:t>06/13/29</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9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10.75 %</w:t>
            </w:r>
          </w:p>
        </w:tc>
        <w:tc>
          <w:tcPr>
            <w:tcW w:w="98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0"/>
                <w:szCs w:val="10"/>
                <w:color w:val="auto"/>
              </w:rPr>
              <w:t>SOFR+615</w:t>
            </w:r>
          </w:p>
        </w:tc>
        <w:tc>
          <w:tcPr>
            <w:tcW w:w="8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14,700</w:t>
            </w: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14,510</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14,186</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5"/>
              </w:rPr>
              <w:t>12/18/27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11.50 %</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auto"/>
              </w:rPr>
              <w:t>SOFR+690</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14,621</w:t>
            </w: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14,465</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14,475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Simplicity Financial Marketing Group Holdings, Inc</w:t>
            </w:r>
          </w:p>
        </w:tc>
        <w:tc>
          <w:tcPr>
            <w:tcW w:w="96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5"/>
              </w:rPr>
              <w:t>12/02/26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Banking, Finance, Insurance &amp; Real Estate</w:t>
            </w:r>
          </w:p>
        </w:tc>
        <w:tc>
          <w:tcPr>
            <w:tcW w:w="9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11.38 %</w:t>
            </w:r>
          </w:p>
        </w:tc>
        <w:tc>
          <w:tcPr>
            <w:tcW w:w="98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0"/>
                <w:szCs w:val="10"/>
                <w:color w:val="auto"/>
              </w:rPr>
              <w:t>SOFR+640</w:t>
            </w:r>
          </w:p>
        </w:tc>
        <w:tc>
          <w:tcPr>
            <w:tcW w:w="8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11,359</w:t>
            </w: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11,207</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11,472</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Skopima Consilio Parent, LLC</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5"/>
              </w:rPr>
              <w:t>05/17/28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9.46 %</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auto"/>
              </w:rPr>
              <w:t>SOFR+461</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1,290</w:t>
            </w: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1,269</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Smartronix, LLC</w:t>
            </w:r>
          </w:p>
        </w:tc>
        <w:tc>
          <w:tcPr>
            <w:tcW w:w="96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5"/>
              </w:rPr>
              <w:t>11/23/28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10.35 %</w:t>
            </w:r>
          </w:p>
        </w:tc>
        <w:tc>
          <w:tcPr>
            <w:tcW w:w="98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0"/>
                <w:szCs w:val="10"/>
                <w:color w:val="auto"/>
              </w:rPr>
              <w:t>SOFR+610</w:t>
            </w:r>
          </w:p>
        </w:tc>
        <w:tc>
          <w:tcPr>
            <w:tcW w:w="8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25,078</w:t>
            </w: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24,798</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25,073</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5"/>
              </w:rPr>
              <w:t>07/17/25</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Communications</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12.40 %</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auto"/>
              </w:rPr>
              <w:t>SOFR+715</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9,239</w:t>
            </w: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9,216</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9,239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96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5"/>
              </w:rPr>
              <w:t>03/01/28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10.26 %</w:t>
            </w:r>
          </w:p>
        </w:tc>
        <w:tc>
          <w:tcPr>
            <w:tcW w:w="98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0"/>
                <w:szCs w:val="10"/>
                <w:color w:val="auto"/>
              </w:rPr>
              <w:t>SOFR+565</w:t>
            </w:r>
          </w:p>
        </w:tc>
        <w:tc>
          <w:tcPr>
            <w:tcW w:w="8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9,510</w:t>
            </w: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9,302</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9,510</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5"/>
              </w:rPr>
              <w:t>11/24/28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9.31 %</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auto"/>
              </w:rPr>
              <w:t>SOFR+425</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3,554</w:t>
            </w: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3,398</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3,305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(f/k/a Management Consulting &amp;</w:t>
            </w:r>
          </w:p>
        </w:tc>
        <w:tc>
          <w:tcPr>
            <w:tcW w:w="960" w:type="dxa"/>
            <w:vAlign w:val="bottom"/>
            <w:shd w:val="clear" w:color="auto" w:fill="CCECFF"/>
          </w:tcPr>
          <w:p>
            <w:pPr>
              <w:spacing w:after="0"/>
              <w:rPr>
                <w:sz w:val="10"/>
                <w:szCs w:val="10"/>
                <w:color w:val="auto"/>
              </w:rPr>
            </w:pPr>
          </w:p>
        </w:tc>
        <w:tc>
          <w:tcPr>
            <w:tcW w:w="206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Research, LLC)</w:t>
            </w:r>
          </w:p>
        </w:tc>
        <w:tc>
          <w:tcPr>
            <w:tcW w:w="96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5"/>
              </w:rPr>
              <w:t>08/16/27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10.26 %</w:t>
            </w:r>
          </w:p>
        </w:tc>
        <w:tc>
          <w:tcPr>
            <w:tcW w:w="98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0"/>
                <w:szCs w:val="10"/>
                <w:color w:val="auto"/>
              </w:rPr>
              <w:t>SOFR+500</w:t>
            </w:r>
          </w:p>
        </w:tc>
        <w:tc>
          <w:tcPr>
            <w:tcW w:w="8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15,803</w:t>
            </w: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15,600</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15,772</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TCG 3.0 Jogger Acquisitionco, Inc.</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5"/>
              </w:rPr>
              <w:t>01/23/29</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11.10 %</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auto"/>
              </w:rPr>
              <w:t>SOFR+650</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9,950</w:t>
            </w: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9,800</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9,851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TPC US Parent, LLC</w:t>
            </w:r>
          </w:p>
        </w:tc>
        <w:tc>
          <w:tcPr>
            <w:tcW w:w="96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5"/>
              </w:rPr>
              <w:t>11/24/25</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Food</w:t>
            </w:r>
          </w:p>
        </w:tc>
        <w:tc>
          <w:tcPr>
            <w:tcW w:w="9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10.98 %</w:t>
            </w:r>
          </w:p>
        </w:tc>
        <w:tc>
          <w:tcPr>
            <w:tcW w:w="98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0"/>
                <w:szCs w:val="10"/>
                <w:color w:val="auto"/>
              </w:rPr>
              <w:t>SOFR+565</w:t>
            </w:r>
          </w:p>
        </w:tc>
        <w:tc>
          <w:tcPr>
            <w:tcW w:w="8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11,392</w:t>
            </w: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11,330</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11,392</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5"/>
              </w:rPr>
              <w:t>06/06/25</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11.33 %</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auto"/>
              </w:rPr>
              <w:t>SOFR+640</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1,568</w:t>
            </w: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1,567</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1,568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96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5"/>
              </w:rPr>
              <w:t>11/24/28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9.95 %</w:t>
            </w:r>
          </w:p>
        </w:tc>
        <w:tc>
          <w:tcPr>
            <w:tcW w:w="98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0"/>
                <w:szCs w:val="10"/>
                <w:color w:val="auto"/>
              </w:rPr>
              <w:t>SOFR+500</w:t>
            </w:r>
          </w:p>
        </w:tc>
        <w:tc>
          <w:tcPr>
            <w:tcW w:w="8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9,661</w:t>
            </w: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9,462</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9,537</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Teneo Holdings LLC</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5"/>
              </w:rPr>
              <w:t>03/13/31</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9.60 %</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auto"/>
              </w:rPr>
              <w:t>SOFR+475</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2,985</w:t>
            </w: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2,955</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2,994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96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5"/>
              </w:rPr>
              <w:t>07/27/26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11.25 %</w:t>
            </w:r>
          </w:p>
        </w:tc>
        <w:tc>
          <w:tcPr>
            <w:tcW w:w="98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0"/>
                <w:szCs w:val="10"/>
                <w:color w:val="auto"/>
              </w:rPr>
              <w:t>SOFR+665</w:t>
            </w:r>
          </w:p>
        </w:tc>
        <w:tc>
          <w:tcPr>
            <w:tcW w:w="8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14,445</w:t>
            </w: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14,404</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14,445</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5"/>
              </w:rPr>
              <w:t>08/31/27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10.99 %</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auto"/>
              </w:rPr>
              <w:t>SOFR+610</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7,611</w:t>
            </w: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7,536</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7,611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Transgo, LLC</w:t>
            </w:r>
          </w:p>
        </w:tc>
        <w:tc>
          <w:tcPr>
            <w:tcW w:w="96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5"/>
              </w:rPr>
              <w:t>12/29/28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Auto Sector</w:t>
            </w:r>
          </w:p>
        </w:tc>
        <w:tc>
          <w:tcPr>
            <w:tcW w:w="9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10.60 %</w:t>
            </w:r>
          </w:p>
        </w:tc>
        <w:tc>
          <w:tcPr>
            <w:tcW w:w="98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14,479</w:t>
            </w: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14,282</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14,479</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5"/>
              </w:rPr>
              <w:t>04/03/28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10.23 %</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auto"/>
              </w:rPr>
              <w:t>SOFR+490</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11,393</w:t>
            </w: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11,306</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11,165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96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5"/>
              </w:rPr>
              <w:t>06/15/26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11.46 %</w:t>
            </w:r>
          </w:p>
        </w:tc>
        <w:tc>
          <w:tcPr>
            <w:tcW w:w="98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0"/>
                <w:szCs w:val="10"/>
                <w:color w:val="auto"/>
              </w:rPr>
              <w:t>SOFR+550</w:t>
            </w:r>
          </w:p>
        </w:tc>
        <w:tc>
          <w:tcPr>
            <w:tcW w:w="8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10,928</w:t>
            </w: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10,836</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10,819</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Watchtower Buyer, LLC</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5"/>
              </w:rPr>
              <w:t>12/01/29</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10.60 %</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auto"/>
              </w:rPr>
              <w:t>SOFR+600</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13,942</w:t>
            </w: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13,769</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13,803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96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5"/>
              </w:rPr>
              <w:t>02/27/27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9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10.60 %</w:t>
            </w:r>
          </w:p>
        </w:tc>
        <w:tc>
          <w:tcPr>
            <w:tcW w:w="98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19,256</w:t>
            </w: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19,126</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19,256</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9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12.46%</w:t>
            </w: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5"/>
              </w:rPr>
              <w:t>12/31/24</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(PIK 1.5%)</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auto"/>
              </w:rPr>
              <w:t>SOFR+740</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19,687</w:t>
            </w: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19,648</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18,801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206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1,033,954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1,028,874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Equity Security - 2.1%</w:t>
            </w:r>
          </w:p>
        </w:tc>
        <w:tc>
          <w:tcPr>
            <w:tcW w:w="960" w:type="dxa"/>
            <w:vAlign w:val="bottom"/>
            <w:shd w:val="clear" w:color="auto" w:fill="CCECFF"/>
          </w:tcPr>
          <w:p>
            <w:pPr>
              <w:spacing w:after="0"/>
              <w:rPr>
                <w:sz w:val="10"/>
                <w:szCs w:val="10"/>
                <w:color w:val="auto"/>
              </w:rPr>
            </w:pPr>
          </w:p>
        </w:tc>
        <w:tc>
          <w:tcPr>
            <w:tcW w:w="206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Dynata, LLC - Common Equity</w:t>
            </w:r>
          </w:p>
        </w:tc>
        <w:tc>
          <w:tcPr>
            <w:tcW w:w="96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134</w:t>
            </w: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2,351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2,351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206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- 918.5%</w:t>
            </w:r>
          </w:p>
        </w:tc>
        <w:tc>
          <w:tcPr>
            <w:tcW w:w="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1,036,305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1,031,225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- 32.6%</w:t>
            </w:r>
          </w:p>
        </w:tc>
        <w:tc>
          <w:tcPr>
            <w:tcW w:w="960" w:type="dxa"/>
            <w:vAlign w:val="bottom"/>
            <w:shd w:val="clear" w:color="auto" w:fill="CCECFF"/>
          </w:tcPr>
          <w:p>
            <w:pPr>
              <w:spacing w:after="0"/>
              <w:rPr>
                <w:sz w:val="13"/>
                <w:szCs w:val="13"/>
                <w:color w:val="auto"/>
              </w:rPr>
            </w:pPr>
          </w:p>
        </w:tc>
        <w:tc>
          <w:tcPr>
            <w:tcW w:w="206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36,595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36,595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960" w:type="dxa"/>
            <w:vAlign w:val="bottom"/>
            <w:shd w:val="clear" w:color="auto" w:fill="CCECFF"/>
          </w:tcPr>
          <w:p>
            <w:pPr>
              <w:spacing w:after="0"/>
              <w:rPr>
                <w:sz w:val="13"/>
                <w:szCs w:val="13"/>
                <w:color w:val="auto"/>
              </w:rPr>
            </w:pPr>
          </w:p>
        </w:tc>
        <w:tc>
          <w:tcPr>
            <w:tcW w:w="206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36,595</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36,595</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Total Investments and Cash Equivalents - 951.1%</w:t>
            </w:r>
          </w:p>
        </w:tc>
        <w:tc>
          <w:tcPr>
            <w:tcW w:w="9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1,072,900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1,067,820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84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b w:val="1"/>
                <w:bCs w:val="1"/>
                <w:color w:val="auto"/>
              </w:rPr>
              <w:t>Liabilities in Excess of Other Assets — (851.1)%</w:t>
            </w:r>
          </w:p>
        </w:tc>
        <w:tc>
          <w:tcPr>
            <w:tcW w:w="960" w:type="dxa"/>
            <w:vAlign w:val="bottom"/>
            <w:shd w:val="clear" w:color="auto" w:fill="CCECFF"/>
          </w:tcPr>
          <w:p>
            <w:pPr>
              <w:spacing w:after="0"/>
              <w:rPr>
                <w:sz w:val="11"/>
                <w:szCs w:val="11"/>
                <w:color w:val="auto"/>
              </w:rPr>
            </w:pPr>
          </w:p>
        </w:tc>
        <w:tc>
          <w:tcPr>
            <w:tcW w:w="206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6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9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0"/>
                <w:szCs w:val="10"/>
                <w:color w:val="auto"/>
              </w:rPr>
              <w:t>(955,549 )</w:t>
            </w:r>
          </w:p>
        </w:tc>
        <w:tc>
          <w:tcPr>
            <w:tcW w:w="0" w:type="dxa"/>
            <w:vAlign w:val="bottom"/>
          </w:tcPr>
          <w:p>
            <w:pPr>
              <w:spacing w:after="0"/>
              <w:rPr>
                <w:sz w:val="1"/>
                <w:szCs w:val="1"/>
                <w:color w:val="auto"/>
              </w:rPr>
            </w:pPr>
          </w:p>
        </w:tc>
      </w:tr>
      <w:tr>
        <w:trPr>
          <w:trHeight w:val="252"/>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Members' Equity—100.0%</w:t>
            </w:r>
          </w:p>
        </w:tc>
        <w:tc>
          <w:tcPr>
            <w:tcW w:w="9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112,271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Secured Overnight Financing Rate, or "SOFR" or Prime rate or “P”. The spread may change based on the type of rate used. The terms in the Schedule of Investments disclose the actual interest rate in effect as of the reporting period. SOFR loans are typically indexed to a 30-day, 60-day, 90-day or 180-day SOFR rate (1M S, 2M S, 3M S, or 6M S, respectively), at the borrower’s option. All securities are subject to a SOFR or Prime rate floor where a spread is provided, unless noted. The spread provided includes PIK interest and other fee rates, if 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1"/>
          <w:szCs w:val="11"/>
          <w:color w:val="auto"/>
        </w:rPr>
        <w:t>Valued based on PSLF’s accounting policy.</w:t>
      </w:r>
    </w:p>
    <w:p>
      <w:pPr>
        <w:spacing w:after="0" w:line="202" w:lineRule="auto"/>
        <w:rPr>
          <w:sz w:val="20"/>
          <w:szCs w:val="20"/>
          <w:color w:val="auto"/>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1"/>
          <w:szCs w:val="11"/>
          <w:color w:val="auto"/>
        </w:rPr>
        <w:t>All investments are in US Companies unless noted otherwise</w:t>
      </w:r>
    </w:p>
    <w:p>
      <w:pPr>
        <w:spacing w:after="0" w:line="1" w:lineRule="exact"/>
        <w:rPr>
          <w:sz w:val="20"/>
          <w:szCs w:val="20"/>
          <w:color w:val="auto"/>
        </w:rPr>
      </w:pPr>
    </w:p>
    <w:p>
      <w:pPr>
        <w:ind w:right="220"/>
        <w:spacing w:after="0" w:line="216" w:lineRule="auto"/>
        <w:rPr>
          <w:sz w:val="20"/>
          <w:szCs w:val="20"/>
          <w:color w:val="auto"/>
        </w:rPr>
      </w:pP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1"/>
          <w:szCs w:val="11"/>
          <w:color w:val="auto"/>
        </w:rPr>
        <w:t>The securities are, 1) pledged as collateral under the BNP Credit Facility and held through Funding I; or, 2) securing the 2034 Asset-Backed Debt and held through PennantPark CLO IV, LLC; or, 3) securing the 2035 Asset-Backed Debt held through PennantPark CLO VII, LLC</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5" w:name="page56"/>
    <w:bookmarkEnd w:id="55"/>
    <w:p>
      <w:pPr>
        <w:ind w:left="420"/>
        <w:spacing w:after="0"/>
        <w:rPr>
          <w:sz w:val="20"/>
          <w:szCs w:val="20"/>
          <w:color w:val="auto"/>
        </w:rPr>
      </w:pPr>
      <w:r>
        <w:rPr>
          <w:rFonts w:ascii="Times New Roman" w:cs="Times New Roman" w:eastAsia="Times New Roman" w:hAnsi="Times New Roman"/>
          <w:sz w:val="13"/>
          <w:szCs w:val="13"/>
          <w:color w:val="auto"/>
        </w:rPr>
        <w:t>Below is a listing of PSLF’s individual investments as of:September 30, 2023 ($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20" w:type="dxa"/>
            <w:vAlign w:val="bottom"/>
          </w:tcPr>
          <w:p>
            <w:pPr>
              <w:ind w:left="240"/>
              <w:spacing w:after="0" w:line="14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440" w:type="dxa"/>
            <w:vAlign w:val="bottom"/>
          </w:tcPr>
          <w:p>
            <w:pPr>
              <w:spacing w:after="0"/>
              <w:rPr>
                <w:sz w:val="12"/>
                <w:szCs w:val="12"/>
                <w:color w:val="auto"/>
              </w:rPr>
            </w:pPr>
          </w:p>
        </w:tc>
        <w:tc>
          <w:tcPr>
            <w:tcW w:w="920" w:type="dxa"/>
            <w:vAlign w:val="bottom"/>
          </w:tcPr>
          <w:p>
            <w:pPr>
              <w:jc w:val="center"/>
              <w:ind w:right="71"/>
              <w:spacing w:after="0" w:line="145" w:lineRule="exact"/>
              <w:rPr>
                <w:sz w:val="20"/>
                <w:szCs w:val="20"/>
                <w:color w:val="auto"/>
              </w:rPr>
            </w:pPr>
            <w:r>
              <w:rPr>
                <w:rFonts w:ascii="Times New Roman" w:cs="Times New Roman" w:eastAsia="Times New Roman" w:hAnsi="Times New Roman"/>
                <w:sz w:val="13"/>
                <w:szCs w:val="13"/>
                <w:b w:val="1"/>
                <w:bCs w:val="1"/>
                <w:color w:val="auto"/>
              </w:rPr>
              <w:t>Above</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800" w:type="dxa"/>
            <w:vAlign w:val="bottom"/>
          </w:tcPr>
          <w:p>
            <w:pPr>
              <w:ind w:left="20"/>
              <w:spacing w:after="0" w:line="179" w:lineRule="exact"/>
              <w:rPr>
                <w:sz w:val="20"/>
                <w:szCs w:val="20"/>
                <w:color w:val="auto"/>
              </w:rPr>
            </w:pPr>
            <w:r>
              <w:rPr>
                <w:rFonts w:ascii="Times New Roman" w:cs="Times New Roman" w:eastAsia="Times New Roman" w:hAnsi="Times New Roman"/>
                <w:sz w:val="13"/>
                <w:szCs w:val="13"/>
                <w:b w:val="1"/>
                <w:bCs w:val="1"/>
                <w:color w:val="auto"/>
              </w:rPr>
              <w:t xml:space="preserve">Issuer Name </w:t>
            </w:r>
            <w:r>
              <w:rPr>
                <w:rFonts w:ascii="Times New Roman" w:cs="Times New Roman" w:eastAsia="Times New Roman" w:hAnsi="Times New Roman"/>
                <w:sz w:val="16"/>
                <w:szCs w:val="16"/>
                <w:b w:val="1"/>
                <w:bCs w:val="1"/>
                <w:color w:val="auto"/>
                <w:vertAlign w:val="superscript"/>
              </w:rPr>
              <w:t>4,5</w:t>
            </w:r>
          </w:p>
        </w:tc>
        <w:tc>
          <w:tcPr>
            <w:tcW w:w="90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2220" w:type="dxa"/>
            <w:vAlign w:val="bottom"/>
          </w:tcPr>
          <w:p>
            <w:pPr>
              <w:ind w:left="820"/>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72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w w:val="99"/>
              </w:rPr>
              <w:t>Coupon</w:t>
            </w:r>
          </w:p>
        </w:tc>
        <w:tc>
          <w:tcPr>
            <w:tcW w:w="440" w:type="dxa"/>
            <w:vAlign w:val="bottom"/>
          </w:tcPr>
          <w:p>
            <w:pPr>
              <w:spacing w:after="0"/>
              <w:rPr>
                <w:sz w:val="15"/>
                <w:szCs w:val="15"/>
                <w:color w:val="auto"/>
              </w:rPr>
            </w:pPr>
          </w:p>
        </w:tc>
        <w:tc>
          <w:tcPr>
            <w:tcW w:w="920" w:type="dxa"/>
            <w:vAlign w:val="bottom"/>
          </w:tcPr>
          <w:p>
            <w:pPr>
              <w:jc w:val="center"/>
              <w:ind w:right="71"/>
              <w:spacing w:after="0" w:line="179" w:lineRule="exact"/>
              <w:rPr>
                <w:sz w:val="20"/>
                <w:szCs w:val="20"/>
                <w:color w:val="auto"/>
              </w:rPr>
            </w:pPr>
            <w:r>
              <w:rPr>
                <w:rFonts w:ascii="Times New Roman" w:cs="Times New Roman" w:eastAsia="Times New Roman" w:hAnsi="Times New Roman"/>
                <w:sz w:val="13"/>
                <w:szCs w:val="13"/>
                <w:b w:val="1"/>
                <w:bCs w:val="1"/>
                <w:color w:val="auto"/>
                <w:w w:val="98"/>
              </w:rPr>
              <w:t xml:space="preserve">Index </w:t>
            </w:r>
            <w:r>
              <w:rPr>
                <w:rFonts w:ascii="Times New Roman" w:cs="Times New Roman" w:eastAsia="Times New Roman" w:hAnsi="Times New Roman"/>
                <w:sz w:val="16"/>
                <w:szCs w:val="16"/>
                <w:b w:val="1"/>
                <w:bCs w:val="1"/>
                <w:color w:val="auto"/>
                <w:w w:val="98"/>
                <w:vertAlign w:val="superscript"/>
              </w:rPr>
              <w:t>1</w:t>
            </w:r>
          </w:p>
        </w:tc>
        <w:tc>
          <w:tcPr>
            <w:tcW w:w="660" w:type="dxa"/>
            <w:vAlign w:val="bottom"/>
          </w:tcPr>
          <w:p>
            <w:pPr>
              <w:jc w:val="right"/>
              <w:ind w:right="252"/>
              <w:spacing w:after="0"/>
              <w:rPr>
                <w:sz w:val="20"/>
                <w:szCs w:val="20"/>
                <w:color w:val="auto"/>
              </w:rPr>
            </w:pPr>
            <w:r>
              <w:rPr>
                <w:rFonts w:ascii="Times New Roman" w:cs="Times New Roman" w:eastAsia="Times New Roman" w:hAnsi="Times New Roman"/>
                <w:sz w:val="13"/>
                <w:szCs w:val="13"/>
                <w:b w:val="1"/>
                <w:bCs w:val="1"/>
                <w:color w:val="auto"/>
              </w:rPr>
              <w:t>Par</w:t>
            </w:r>
          </w:p>
        </w:tc>
        <w:tc>
          <w:tcPr>
            <w:tcW w:w="220" w:type="dxa"/>
            <w:vAlign w:val="bottom"/>
          </w:tcPr>
          <w:p>
            <w:pPr>
              <w:spacing w:after="0"/>
              <w:rPr>
                <w:sz w:val="15"/>
                <w:szCs w:val="15"/>
                <w:color w:val="auto"/>
              </w:rPr>
            </w:pPr>
          </w:p>
        </w:tc>
        <w:tc>
          <w:tcPr>
            <w:tcW w:w="540" w:type="dxa"/>
            <w:vAlign w:val="bottom"/>
          </w:tcPr>
          <w:p>
            <w:pPr>
              <w:jc w:val="right"/>
              <w:ind w:right="192"/>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5"/>
                <w:szCs w:val="15"/>
                <w:color w:val="auto"/>
              </w:rPr>
            </w:pPr>
          </w:p>
        </w:tc>
        <w:tc>
          <w:tcPr>
            <w:tcW w:w="940" w:type="dxa"/>
            <w:vAlign w:val="bottom"/>
          </w:tcPr>
          <w:p>
            <w:pPr>
              <w:jc w:val="right"/>
              <w:ind w:right="192"/>
              <w:spacing w:after="0" w:line="179" w:lineRule="exact"/>
              <w:rPr>
                <w:sz w:val="20"/>
                <w:szCs w:val="20"/>
                <w:color w:val="auto"/>
              </w:rPr>
            </w:pPr>
            <w:r>
              <w:rPr>
                <w:rFonts w:ascii="Times New Roman" w:cs="Times New Roman" w:eastAsia="Times New Roman" w:hAnsi="Times New Roman"/>
                <w:sz w:val="13"/>
                <w:szCs w:val="13"/>
                <w:b w:val="1"/>
                <w:bCs w:val="1"/>
                <w:color w:val="auto"/>
                <w:w w:val="99"/>
              </w:rPr>
              <w:t xml:space="preserve">Fair Value </w:t>
            </w:r>
            <w:r>
              <w:rPr>
                <w:rFonts w:ascii="Times New Roman" w:cs="Times New Roman" w:eastAsia="Times New Roman" w:hAnsi="Times New Roman"/>
                <w:sz w:val="16"/>
                <w:szCs w:val="16"/>
                <w:b w:val="1"/>
                <w:bCs w:val="1"/>
                <w:color w:val="auto"/>
                <w:w w:val="99"/>
                <w:vertAlign w:val="superscript"/>
              </w:rPr>
              <w:t>2</w:t>
            </w:r>
          </w:p>
        </w:tc>
        <w:tc>
          <w:tcPr>
            <w:tcW w:w="0" w:type="dxa"/>
            <w:vAlign w:val="bottom"/>
          </w:tcPr>
          <w:p>
            <w:pPr>
              <w:spacing w:after="0"/>
              <w:rPr>
                <w:sz w:val="1"/>
                <w:szCs w:val="1"/>
                <w:color w:val="auto"/>
              </w:rPr>
            </w:pPr>
          </w:p>
        </w:tc>
      </w:tr>
      <w:tr>
        <w:trPr>
          <w:trHeight w:val="122"/>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- 783.7%</w:t>
            </w:r>
          </w:p>
        </w:tc>
        <w:tc>
          <w:tcPr>
            <w:tcW w:w="90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90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12/22/2028</w:t>
            </w:r>
          </w:p>
        </w:tc>
        <w:tc>
          <w:tcPr>
            <w:tcW w:w="22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11.84 %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SOFR+660</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14,925</w:t>
            </w:r>
          </w:p>
        </w:tc>
        <w:tc>
          <w:tcPr>
            <w:tcW w:w="2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14,668</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14,850</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5/7/2026</w:t>
            </w:r>
          </w:p>
        </w:tc>
        <w:tc>
          <w:tcPr>
            <w:tcW w:w="22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11.65 %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SOFR+600</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4,888</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4,888</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4,863</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90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11/30/2026</w:t>
            </w:r>
          </w:p>
        </w:tc>
        <w:tc>
          <w:tcPr>
            <w:tcW w:w="22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Containers, Packaging and Glass</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11.26 %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SOFR+600</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14,837</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14,528</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14,244</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Amsive Holding Corporation (f/k/a Vision Purchaser Corporation)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6/10/2025</w:t>
            </w:r>
          </w:p>
        </w:tc>
        <w:tc>
          <w:tcPr>
            <w:tcW w:w="22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11.79 %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SOFR+640</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13,958</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13,869</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13,749</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5/23/2024</w:t>
            </w:r>
          </w:p>
        </w:tc>
        <w:tc>
          <w:tcPr>
            <w:tcW w:w="22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12.04 %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SOFR+665</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14,354</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14,319</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14,103</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Any Hour Services</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7/21/2027</w:t>
            </w:r>
          </w:p>
        </w:tc>
        <w:tc>
          <w:tcPr>
            <w:tcW w:w="22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11.22 %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SOFR+585</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10,882</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10,847</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10,665</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7/31/2025</w:t>
            </w:r>
          </w:p>
        </w:tc>
        <w:tc>
          <w:tcPr>
            <w:tcW w:w="22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10.52 %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SOFR+525</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6,424</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6,380</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6,408</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 Term Loan B</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7/31/2025</w:t>
            </w:r>
          </w:p>
        </w:tc>
        <w:tc>
          <w:tcPr>
            <w:tcW w:w="22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11.11 %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SOFR+550</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3,316</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3,299</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3,308</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 - Term Loan 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7/31/2025</w:t>
            </w:r>
          </w:p>
        </w:tc>
        <w:tc>
          <w:tcPr>
            <w:tcW w:w="22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10.76 %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SOFR+525</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7,531</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7,531</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7,512</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90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12/29/2026</w:t>
            </w:r>
          </w:p>
        </w:tc>
        <w:tc>
          <w:tcPr>
            <w:tcW w:w="222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11.51 %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SOFR+615</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11,394</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11,271</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11,166</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Applied Technical Services, LLC - Unfunded Term Loan </w:t>
            </w:r>
            <w:r>
              <w:rPr>
                <w:rFonts w:ascii="Times New Roman" w:cs="Times New Roman" w:eastAsia="Times New Roman" w:hAnsi="Times New Roman"/>
                <w:sz w:val="12"/>
                <w:szCs w:val="12"/>
                <w:color w:val="auto"/>
                <w:vertAlign w:val="superscript"/>
              </w:rPr>
              <w:t>(3)</w:t>
            </w:r>
          </w:p>
        </w:tc>
        <w:tc>
          <w:tcPr>
            <w:tcW w:w="90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12/29/2026</w:t>
            </w:r>
          </w:p>
        </w:tc>
        <w:tc>
          <w:tcPr>
            <w:tcW w:w="222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513</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8/3/2029</w:t>
            </w:r>
          </w:p>
        </w:tc>
        <w:tc>
          <w:tcPr>
            <w:tcW w:w="22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11.62 %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SOFR+625</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11,820</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11,642</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11,702</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7/1/2029</w:t>
            </w:r>
          </w:p>
        </w:tc>
        <w:tc>
          <w:tcPr>
            <w:tcW w:w="22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11.14 %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SOFR+575</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14,850</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14,604</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13,811</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1/31/2028</w:t>
            </w:r>
          </w:p>
        </w:tc>
        <w:tc>
          <w:tcPr>
            <w:tcW w:w="22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11.83 %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SOFR+650</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8,978</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8,874</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8,933</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9/17/2024</w:t>
            </w:r>
          </w:p>
        </w:tc>
        <w:tc>
          <w:tcPr>
            <w:tcW w:w="22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Distribution</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11.79 %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SOFR+640</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17,823</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17,588</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17,556</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12/4/2025</w:t>
            </w:r>
          </w:p>
        </w:tc>
        <w:tc>
          <w:tcPr>
            <w:tcW w:w="22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11.50 %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SOFR+626</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9,683</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9,683</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9,683</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9/26/2029</w:t>
            </w:r>
          </w:p>
        </w:tc>
        <w:tc>
          <w:tcPr>
            <w:tcW w:w="22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Auto Sector</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10.67 %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SOFR+532</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893</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836</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841</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6/14/2028</w:t>
            </w:r>
          </w:p>
        </w:tc>
        <w:tc>
          <w:tcPr>
            <w:tcW w:w="22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Distribution</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11.39 %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SOFR+600</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17,281</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17,013</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17,281</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8/20/2026</w:t>
            </w:r>
          </w:p>
        </w:tc>
        <w:tc>
          <w:tcPr>
            <w:tcW w:w="22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11.60 %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SOFR+600</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2,921</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2,901</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2,862</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7/13/2027</w:t>
            </w:r>
          </w:p>
        </w:tc>
        <w:tc>
          <w:tcPr>
            <w:tcW w:w="22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11.16 %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SOFR+550</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8,808</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8,792</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8,500</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8/16/2027</w:t>
            </w:r>
          </w:p>
        </w:tc>
        <w:tc>
          <w:tcPr>
            <w:tcW w:w="22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10.90 %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SOFR+551</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2,575</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2,550</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2,562</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8/31/2027</w:t>
            </w:r>
          </w:p>
        </w:tc>
        <w:tc>
          <w:tcPr>
            <w:tcW w:w="22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11.24 %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SOFR+585</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10,882</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10,834</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10,882</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90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12/21/2028</w:t>
            </w:r>
          </w:p>
        </w:tc>
        <w:tc>
          <w:tcPr>
            <w:tcW w:w="22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10.67 %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SOFR+525</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4,382</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3,959</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3,993</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11/3/2025</w:t>
            </w:r>
          </w:p>
        </w:tc>
        <w:tc>
          <w:tcPr>
            <w:tcW w:w="22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11.77 %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SOFR+640</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14,395</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14,345</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14,222</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Duraco Specialty Tapes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6/30/2024</w:t>
            </w:r>
          </w:p>
        </w:tc>
        <w:tc>
          <w:tcPr>
            <w:tcW w:w="22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Manufacturing / Basic Industries</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11.93 %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SOFR+650</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8,635</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8,561</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8,505</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1/10/2029</w:t>
            </w:r>
          </w:p>
        </w:tc>
        <w:tc>
          <w:tcPr>
            <w:tcW w:w="22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11.64 %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SOFR+625</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6,219</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6,148</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6,125</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Electro Rent Corporation</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1/17/2024</w:t>
            </w:r>
          </w:p>
        </w:tc>
        <w:tc>
          <w:tcPr>
            <w:tcW w:w="22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3"/>
              </w:rPr>
              <w:t>Electronics</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10.93 %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SOFR+550</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3,712</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3,665</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3,632</w:t>
            </w:r>
          </w:p>
        </w:tc>
        <w:tc>
          <w:tcPr>
            <w:tcW w:w="0" w:type="dxa"/>
            <w:vAlign w:val="bottom"/>
          </w:tcPr>
          <w:p>
            <w:pPr>
              <w:spacing w:after="0"/>
              <w:rPr>
                <w:sz w:val="1"/>
                <w:szCs w:val="1"/>
                <w:color w:val="auto"/>
              </w:rPr>
            </w:pPr>
          </w:p>
        </w:tc>
      </w:tr>
      <w:tr>
        <w:trPr>
          <w:trHeight w:val="124"/>
        </w:trPr>
        <w:tc>
          <w:tcPr>
            <w:tcW w:w="28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ETE Intermediate II, LLC</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3"/>
              </w:rPr>
              <w:t>5/29/2029</w:t>
            </w:r>
          </w:p>
        </w:tc>
        <w:tc>
          <w:tcPr>
            <w:tcW w:w="2220" w:type="dxa"/>
            <w:vAlign w:val="bottom"/>
            <w:vMerge w:val="restart"/>
          </w:tcPr>
          <w:p>
            <w:pPr>
              <w:jc w:val="center"/>
              <w:ind w:right="32"/>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720" w:type="dxa"/>
            <w:vAlign w:val="bottom"/>
          </w:tcPr>
          <w:p>
            <w:pPr>
              <w:spacing w:after="0"/>
              <w:rPr>
                <w:sz w:val="10"/>
                <w:szCs w:val="10"/>
                <w:color w:val="auto"/>
              </w:rPr>
            </w:pPr>
          </w:p>
        </w:tc>
        <w:tc>
          <w:tcPr>
            <w:tcW w:w="44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w w:val="95"/>
              </w:rPr>
              <w:t>11.89 %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SOFR+650</w:t>
            </w:r>
          </w:p>
        </w:tc>
        <w:tc>
          <w:tcPr>
            <w:tcW w:w="66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12,404</w:t>
            </w:r>
          </w:p>
        </w:tc>
        <w:tc>
          <w:tcPr>
            <w:tcW w:w="220" w:type="dxa"/>
            <w:vAlign w:val="bottom"/>
          </w:tcPr>
          <w:p>
            <w:pPr>
              <w:spacing w:after="0"/>
              <w:rPr>
                <w:sz w:val="10"/>
                <w:szCs w:val="10"/>
                <w:color w:val="auto"/>
              </w:rPr>
            </w:pPr>
          </w:p>
        </w:tc>
        <w:tc>
          <w:tcPr>
            <w:tcW w:w="54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12,171</w:t>
            </w:r>
          </w:p>
        </w:tc>
        <w:tc>
          <w:tcPr>
            <w:tcW w:w="200" w:type="dxa"/>
            <w:vAlign w:val="bottom"/>
          </w:tcPr>
          <w:p>
            <w:pPr>
              <w:spacing w:after="0"/>
              <w:rPr>
                <w:sz w:val="10"/>
                <w:szCs w:val="10"/>
                <w:color w:val="auto"/>
              </w:rPr>
            </w:pPr>
          </w:p>
        </w:tc>
        <w:tc>
          <w:tcPr>
            <w:tcW w:w="94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12,193</w:t>
            </w:r>
          </w:p>
        </w:tc>
        <w:tc>
          <w:tcPr>
            <w:tcW w:w="0" w:type="dxa"/>
            <w:vAlign w:val="bottom"/>
          </w:tcPr>
          <w:p>
            <w:pPr>
              <w:spacing w:after="0"/>
              <w:rPr>
                <w:sz w:val="1"/>
                <w:szCs w:val="1"/>
                <w:color w:val="auto"/>
              </w:rPr>
            </w:pPr>
          </w:p>
        </w:tc>
      </w:tr>
      <w:tr>
        <w:trPr>
          <w:trHeight w:val="80"/>
        </w:trPr>
        <w:tc>
          <w:tcPr>
            <w:tcW w:w="28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22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3/15/2027</w:t>
            </w:r>
          </w:p>
        </w:tc>
        <w:tc>
          <w:tcPr>
            <w:tcW w:w="22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11.17 %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SOFR+585</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9,750</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9,637</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9,555</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Fairbanks Morse Defense</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6/17/2028</w:t>
            </w:r>
          </w:p>
        </w:tc>
        <w:tc>
          <w:tcPr>
            <w:tcW w:w="22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10.40 %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SOFR+475</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1,518</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1,470</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1,506</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Five Star Buyer, Inc.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2/23/2028</w:t>
            </w:r>
          </w:p>
        </w:tc>
        <w:tc>
          <w:tcPr>
            <w:tcW w:w="22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4"/>
              </w:rPr>
              <w:t>Hotels, Motels, Inns and Gaming</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12.43 %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SOFR+710</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4,373</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4,291</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4,307</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3/16/2026</w:t>
            </w:r>
          </w:p>
        </w:tc>
        <w:tc>
          <w:tcPr>
            <w:tcW w:w="22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Banking, Finance, Insurance &amp; Real Estate</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11.96 %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SOFR+660</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7,027</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7,008</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6,676</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8/10/2027</w:t>
            </w:r>
          </w:p>
        </w:tc>
        <w:tc>
          <w:tcPr>
            <w:tcW w:w="22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Distribution</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10.99 %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SOFR+560</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1,954</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1,925</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1,935</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90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12/31/2026</w:t>
            </w:r>
          </w:p>
        </w:tc>
        <w:tc>
          <w:tcPr>
            <w:tcW w:w="22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Insurance</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10.93 %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SOFR+550</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6,423</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6,423</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6,262</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Holdco Sands Intermediate, LLC</w:t>
            </w:r>
          </w:p>
        </w:tc>
        <w:tc>
          <w:tcPr>
            <w:tcW w:w="90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11/23/2028</w:t>
            </w:r>
          </w:p>
        </w:tc>
        <w:tc>
          <w:tcPr>
            <w:tcW w:w="22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11.32 %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SOFR+585</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19,717</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19,388</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19,717</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90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12/17/2026</w:t>
            </w:r>
          </w:p>
        </w:tc>
        <w:tc>
          <w:tcPr>
            <w:tcW w:w="22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11.79 %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SOFR+625</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15,140</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14,974</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15,110</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90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12/10/2024</w:t>
            </w:r>
          </w:p>
        </w:tc>
        <w:tc>
          <w:tcPr>
            <w:tcW w:w="22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11.70 %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SOFR+640</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14,250</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14,171</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14,036</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IG Investments Holdings, LLC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9/22/2028</w:t>
            </w:r>
          </w:p>
        </w:tc>
        <w:tc>
          <w:tcPr>
            <w:tcW w:w="22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11.45 %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SOFR+610</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4,428</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4,355</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4,362</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90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11/15/2027</w:t>
            </w:r>
          </w:p>
        </w:tc>
        <w:tc>
          <w:tcPr>
            <w:tcW w:w="22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10.72 %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SOFR+535</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5,565</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5,481</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5,482</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Inception Fertility Ventures, LLC</w:t>
            </w:r>
          </w:p>
        </w:tc>
        <w:tc>
          <w:tcPr>
            <w:tcW w:w="90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12/31/2024</w:t>
            </w:r>
          </w:p>
        </w:tc>
        <w:tc>
          <w:tcPr>
            <w:tcW w:w="22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12.50 %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SOFR+715</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19,737</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19,410</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19,737</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90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12/28/2028</w:t>
            </w:r>
          </w:p>
        </w:tc>
        <w:tc>
          <w:tcPr>
            <w:tcW w:w="22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12.24 %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SOFR+685</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11,053</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10,867</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11,053</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Infolinks Media Buyco, LLC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11/1/2026</w:t>
            </w:r>
          </w:p>
        </w:tc>
        <w:tc>
          <w:tcPr>
            <w:tcW w:w="22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11.17 %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SOFR+585</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6,364</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6,364</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6,364</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Integrity Marketing Acquisition,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8/27/2026</w:t>
            </w:r>
          </w:p>
        </w:tc>
        <w:tc>
          <w:tcPr>
            <w:tcW w:w="22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Insurance</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11.57 %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SOFR+615</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19,701</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19,639</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19,504</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K2 Pure Solutions NoCal, L.P.</w:t>
            </w:r>
          </w:p>
        </w:tc>
        <w:tc>
          <w:tcPr>
            <w:tcW w:w="90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12/20/2023</w:t>
            </w:r>
          </w:p>
        </w:tc>
        <w:tc>
          <w:tcPr>
            <w:tcW w:w="22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13.42 %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SOFR+810</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12,061</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12,040</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12,061</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90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11/10/2027</w:t>
            </w:r>
          </w:p>
        </w:tc>
        <w:tc>
          <w:tcPr>
            <w:tcW w:w="22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11.54 %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SOFR+615</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16,920</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16,641</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16,666</w:t>
            </w:r>
          </w:p>
        </w:tc>
        <w:tc>
          <w:tcPr>
            <w:tcW w:w="0" w:type="dxa"/>
            <w:vAlign w:val="bottom"/>
          </w:tcPr>
          <w:p>
            <w:pPr>
              <w:spacing w:after="0"/>
              <w:rPr>
                <w:sz w:val="1"/>
                <w:szCs w:val="1"/>
                <w:color w:val="auto"/>
              </w:rPr>
            </w:pPr>
          </w:p>
        </w:tc>
      </w:tr>
      <w:tr>
        <w:trPr>
          <w:trHeight w:val="121"/>
        </w:trPr>
        <w:tc>
          <w:tcPr>
            <w:tcW w:w="2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Leisure, Amusement, Motion Pictures,</w:t>
            </w: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90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10/31/2024</w:t>
            </w:r>
          </w:p>
        </w:tc>
        <w:tc>
          <w:tcPr>
            <w:tcW w:w="22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Entertainment</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11.46 %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SOFR+625</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4,658</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4,631</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4,603</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2/18/2027</w:t>
            </w:r>
          </w:p>
        </w:tc>
        <w:tc>
          <w:tcPr>
            <w:tcW w:w="22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12.13 %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SOFR+700</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19,723</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19,565</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19,526</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2/3/2026</w:t>
            </w:r>
          </w:p>
        </w:tc>
        <w:tc>
          <w:tcPr>
            <w:tcW w:w="22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10.67 %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SOFR+535</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12,218</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12,056</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12,096</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1/31/2030</w:t>
            </w:r>
          </w:p>
        </w:tc>
        <w:tc>
          <w:tcPr>
            <w:tcW w:w="222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11.77 %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SOFR+640</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6,318</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6,206</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6,192</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4/1/2027</w:t>
            </w:r>
          </w:p>
        </w:tc>
        <w:tc>
          <w:tcPr>
            <w:tcW w:w="22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10.99 %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SOFR+549</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7,601</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7,153</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7,202</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Magenta Buyer,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7/31/2028</w:t>
            </w:r>
          </w:p>
        </w:tc>
        <w:tc>
          <w:tcPr>
            <w:tcW w:w="22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4"/>
              </w:rPr>
              <w:t>Software</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10.63 %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SOFR+500</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3,785</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3,550</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2,805</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5/14/2026</w:t>
            </w:r>
          </w:p>
        </w:tc>
        <w:tc>
          <w:tcPr>
            <w:tcW w:w="22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11.04 %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SOFR+550</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10,885</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10,811</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10,776</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4/16/2027</w:t>
            </w:r>
          </w:p>
        </w:tc>
        <w:tc>
          <w:tcPr>
            <w:tcW w:w="22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Telecommunications</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11.22 %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SOFR+585</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7,859</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7,780</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7,749</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90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12/10/2027</w:t>
            </w:r>
          </w:p>
        </w:tc>
        <w:tc>
          <w:tcPr>
            <w:tcW w:w="22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10.58 %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SOFR+550</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2,958</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2,911</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2,884</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10/1/2027</w:t>
            </w:r>
          </w:p>
        </w:tc>
        <w:tc>
          <w:tcPr>
            <w:tcW w:w="22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Distribution</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11.04 %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SOFR+565</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5,975</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5,860</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5,843</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NBH Group LLC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8/19/2026</w:t>
            </w:r>
          </w:p>
        </w:tc>
        <w:tc>
          <w:tcPr>
            <w:tcW w:w="22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10.93 %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SOFR+525</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7,429</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7,369</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7,280</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Neptune Flood Incorporated</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5/9/2029</w:t>
            </w:r>
          </w:p>
        </w:tc>
        <w:tc>
          <w:tcPr>
            <w:tcW w:w="22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11.97 %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SOFR+650</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8,020</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7,910</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8,020</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5/7/2027</w:t>
            </w:r>
          </w:p>
        </w:tc>
        <w:tc>
          <w:tcPr>
            <w:tcW w:w="22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8"/>
              </w:rPr>
              <w:t>Transportation</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11.68 %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SOFR+636</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8,470</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8,311</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8,470</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2/4/2028</w:t>
            </w:r>
          </w:p>
        </w:tc>
        <w:tc>
          <w:tcPr>
            <w:tcW w:w="22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3"/>
              </w:rPr>
              <w:t>Education</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10.80 %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SOFR+575</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3,893</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3,794</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3,834</w:t>
            </w:r>
          </w:p>
        </w:tc>
        <w:tc>
          <w:tcPr>
            <w:tcW w:w="0" w:type="dxa"/>
            <w:vAlign w:val="bottom"/>
          </w:tcPr>
          <w:p>
            <w:pPr>
              <w:spacing w:after="0"/>
              <w:rPr>
                <w:sz w:val="1"/>
                <w:szCs w:val="1"/>
                <w:color w:val="auto"/>
              </w:rPr>
            </w:pPr>
          </w:p>
        </w:tc>
      </w:tr>
      <w:tr>
        <w:trPr>
          <w:trHeight w:val="124"/>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Ox Two, LLC (New Issue)</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5/18/2026</w:t>
            </w:r>
          </w:p>
        </w:tc>
        <w:tc>
          <w:tcPr>
            <w:tcW w:w="22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Distribution</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12.90 %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SOFR+725</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4,378</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4,343</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4" w:right="680"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56"/>
        </w:trPr>
        <w:tc>
          <w:tcPr>
            <w:tcW w:w="2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5"/>
        </w:trPr>
        <w:tc>
          <w:tcPr>
            <w:tcW w:w="2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760" w:type="dxa"/>
            <w:vAlign w:val="bottom"/>
          </w:tcPr>
          <w:p>
            <w:pPr>
              <w:ind w:left="280"/>
              <w:spacing w:after="0" w:line="14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440" w:type="dxa"/>
            <w:vAlign w:val="bottom"/>
          </w:tcPr>
          <w:p>
            <w:pPr>
              <w:spacing w:after="0"/>
              <w:rPr>
                <w:sz w:val="12"/>
                <w:szCs w:val="12"/>
                <w:color w:val="auto"/>
              </w:rPr>
            </w:pPr>
          </w:p>
        </w:tc>
        <w:tc>
          <w:tcPr>
            <w:tcW w:w="920" w:type="dxa"/>
            <w:vAlign w:val="bottom"/>
          </w:tcPr>
          <w:p>
            <w:pPr>
              <w:jc w:val="center"/>
              <w:ind w:right="70"/>
              <w:spacing w:after="0" w:line="145" w:lineRule="exact"/>
              <w:rPr>
                <w:sz w:val="20"/>
                <w:szCs w:val="20"/>
                <w:color w:val="auto"/>
              </w:rPr>
            </w:pPr>
            <w:r>
              <w:rPr>
                <w:rFonts w:ascii="Times New Roman" w:cs="Times New Roman" w:eastAsia="Times New Roman" w:hAnsi="Times New Roman"/>
                <w:sz w:val="13"/>
                <w:szCs w:val="13"/>
                <w:b w:val="1"/>
                <w:bCs w:val="1"/>
                <w:color w:val="auto"/>
              </w:rPr>
              <w:t>Above</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21"/>
        </w:trPr>
        <w:tc>
          <w:tcPr>
            <w:tcW w:w="2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Issuer Name </w:t>
            </w:r>
            <w:r>
              <w:rPr>
                <w:rFonts w:ascii="Times New Roman" w:cs="Times New Roman" w:eastAsia="Times New Roman" w:hAnsi="Times New Roman"/>
                <w:sz w:val="16"/>
                <w:szCs w:val="16"/>
                <w:b w:val="1"/>
                <w:bCs w:val="1"/>
                <w:color w:val="auto"/>
                <w:vertAlign w:val="superscript"/>
              </w:rPr>
              <w:t>4,5</w:t>
            </w:r>
          </w:p>
        </w:tc>
        <w:tc>
          <w:tcPr>
            <w:tcW w:w="94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214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76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w w:val="99"/>
              </w:rPr>
              <w:t>Coupon</w:t>
            </w:r>
          </w:p>
        </w:tc>
        <w:tc>
          <w:tcPr>
            <w:tcW w:w="440" w:type="dxa"/>
            <w:vAlign w:val="bottom"/>
          </w:tcPr>
          <w:p>
            <w:pPr>
              <w:spacing w:after="0"/>
              <w:rPr>
                <w:sz w:val="19"/>
                <w:szCs w:val="19"/>
                <w:color w:val="auto"/>
              </w:rPr>
            </w:pPr>
          </w:p>
        </w:tc>
        <w:tc>
          <w:tcPr>
            <w:tcW w:w="92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8"/>
              </w:rPr>
              <w:t xml:space="preserve">Index </w:t>
            </w:r>
            <w:r>
              <w:rPr>
                <w:rFonts w:ascii="Times New Roman" w:cs="Times New Roman" w:eastAsia="Times New Roman" w:hAnsi="Times New Roman"/>
                <w:sz w:val="16"/>
                <w:szCs w:val="16"/>
                <w:b w:val="1"/>
                <w:bCs w:val="1"/>
                <w:color w:val="auto"/>
                <w:w w:val="98"/>
                <w:vertAlign w:val="superscript"/>
              </w:rPr>
              <w:t>1</w:t>
            </w:r>
          </w:p>
        </w:tc>
        <w:tc>
          <w:tcPr>
            <w:tcW w:w="760" w:type="dxa"/>
            <w:vAlign w:val="bottom"/>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Par</w:t>
            </w:r>
          </w:p>
        </w:tc>
        <w:tc>
          <w:tcPr>
            <w:tcW w:w="120" w:type="dxa"/>
            <w:vAlign w:val="bottom"/>
          </w:tcPr>
          <w:p>
            <w:pPr>
              <w:spacing w:after="0"/>
              <w:rPr>
                <w:sz w:val="19"/>
                <w:szCs w:val="19"/>
                <w:color w:val="auto"/>
              </w:rPr>
            </w:pPr>
          </w:p>
        </w:tc>
        <w:tc>
          <w:tcPr>
            <w:tcW w:w="440" w:type="dxa"/>
            <w:vAlign w:val="bottom"/>
          </w:tcPr>
          <w:p>
            <w:pPr>
              <w:jc w:val="right"/>
              <w:ind w:right="92"/>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9"/>
              </w:rPr>
              <w:t xml:space="preserve">Fair Value </w:t>
            </w:r>
            <w:r>
              <w:rPr>
                <w:rFonts w:ascii="Times New Roman" w:cs="Times New Roman" w:eastAsia="Times New Roman" w:hAnsi="Times New Roman"/>
                <w:sz w:val="16"/>
                <w:szCs w:val="16"/>
                <w:b w:val="1"/>
                <w:bCs w:val="1"/>
                <w:color w:val="auto"/>
                <w:w w:val="99"/>
                <w:vertAlign w:val="superscript"/>
              </w:rPr>
              <w:t>2</w:t>
            </w:r>
          </w:p>
        </w:tc>
      </w:tr>
      <w:tr>
        <w:trPr>
          <w:trHeight w:val="80"/>
        </w:trPr>
        <w:tc>
          <w:tcPr>
            <w:tcW w:w="28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Pequod Merger Sub, Inc.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12/2/2026</w:t>
            </w:r>
          </w:p>
        </w:tc>
        <w:tc>
          <w:tcPr>
            <w:tcW w:w="21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Banking, Finance, Insurance &amp; Real Estate</w:t>
            </w:r>
          </w:p>
        </w:tc>
        <w:tc>
          <w:tcPr>
            <w:tcW w:w="76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11.79 %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SOFR+640</w:t>
            </w:r>
          </w:p>
        </w:tc>
        <w:tc>
          <w:tcPr>
            <w:tcW w:w="76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11,474</w:t>
            </w:r>
          </w:p>
        </w:tc>
        <w:tc>
          <w:tcPr>
            <w:tcW w:w="1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11,267</w:t>
            </w:r>
          </w:p>
        </w:tc>
        <w:tc>
          <w:tcPr>
            <w:tcW w:w="3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11,244</w:t>
            </w:r>
          </w:p>
        </w:tc>
        <w:tc>
          <w:tcPr>
            <w:tcW w:w="80" w:type="dxa"/>
            <w:vAlign w:val="bottom"/>
            <w:shd w:val="clear" w:color="auto" w:fill="CCECFF"/>
          </w:tcPr>
          <w:p>
            <w:pPr>
              <w:spacing w:after="0"/>
              <w:rPr>
                <w:sz w:val="10"/>
                <w:szCs w:val="10"/>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11/9/2027</w:t>
            </w:r>
          </w:p>
        </w:tc>
        <w:tc>
          <w:tcPr>
            <w:tcW w:w="21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1"/>
              </w:rPr>
              <w:t>Retail</w:t>
            </w:r>
          </w:p>
        </w:tc>
        <w:tc>
          <w:tcPr>
            <w:tcW w:w="76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12.42 %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SOFR+700</w:t>
            </w: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7,930</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7,818</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7,137</w:t>
            </w:r>
          </w:p>
        </w:tc>
        <w:tc>
          <w:tcPr>
            <w:tcW w:w="80" w:type="dxa"/>
            <w:vAlign w:val="bottom"/>
          </w:tcPr>
          <w:p>
            <w:pPr>
              <w:spacing w:after="0"/>
              <w:rPr>
                <w:sz w:val="10"/>
                <w:szCs w:val="10"/>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PlayPower, Inc.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5/8/2026</w:t>
            </w:r>
          </w:p>
        </w:tc>
        <w:tc>
          <w:tcPr>
            <w:tcW w:w="21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76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10.92 %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SOFR+565</w:t>
            </w:r>
          </w:p>
        </w:tc>
        <w:tc>
          <w:tcPr>
            <w:tcW w:w="76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2,551</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2,481</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2,436</w:t>
            </w:r>
          </w:p>
        </w:tc>
        <w:tc>
          <w:tcPr>
            <w:tcW w:w="80" w:type="dxa"/>
            <w:vAlign w:val="bottom"/>
            <w:shd w:val="clear" w:color="auto" w:fill="CCECFF"/>
          </w:tcPr>
          <w:p>
            <w:pPr>
              <w:spacing w:after="0"/>
              <w:rPr>
                <w:sz w:val="10"/>
                <w:szCs w:val="10"/>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11/19/2026</w:t>
            </w:r>
          </w:p>
        </w:tc>
        <w:tc>
          <w:tcPr>
            <w:tcW w:w="21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6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11.74 %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SOFR+635</w:t>
            </w: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3,314</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3,267</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3,264</w:t>
            </w:r>
          </w:p>
        </w:tc>
        <w:tc>
          <w:tcPr>
            <w:tcW w:w="80" w:type="dxa"/>
            <w:vAlign w:val="bottom"/>
          </w:tcPr>
          <w:p>
            <w:pPr>
              <w:spacing w:after="0"/>
              <w:rPr>
                <w:sz w:val="10"/>
                <w:szCs w:val="10"/>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Radius Aerospace, Inc.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3/31/2025</w:t>
            </w:r>
          </w:p>
        </w:tc>
        <w:tc>
          <w:tcPr>
            <w:tcW w:w="21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6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11.29 %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SOFR+575</w:t>
            </w:r>
          </w:p>
        </w:tc>
        <w:tc>
          <w:tcPr>
            <w:tcW w:w="76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12,703</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12,641</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12,576</w:t>
            </w:r>
          </w:p>
        </w:tc>
        <w:tc>
          <w:tcPr>
            <w:tcW w:w="80" w:type="dxa"/>
            <w:vAlign w:val="bottom"/>
            <w:shd w:val="clear" w:color="auto" w:fill="CCECFF"/>
          </w:tcPr>
          <w:p>
            <w:pPr>
              <w:spacing w:after="0"/>
              <w:rPr>
                <w:sz w:val="10"/>
                <w:szCs w:val="10"/>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12/18/2025</w:t>
            </w:r>
          </w:p>
        </w:tc>
        <w:tc>
          <w:tcPr>
            <w:tcW w:w="21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6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11.22 %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SOFR+575</w:t>
            </w: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5,603</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5,603</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5,603</w:t>
            </w:r>
          </w:p>
        </w:tc>
        <w:tc>
          <w:tcPr>
            <w:tcW w:w="80" w:type="dxa"/>
            <w:vAlign w:val="bottom"/>
          </w:tcPr>
          <w:p>
            <w:pPr>
              <w:spacing w:after="0"/>
              <w:rPr>
                <w:sz w:val="10"/>
                <w:szCs w:val="10"/>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4/28/2028</w:t>
            </w:r>
          </w:p>
        </w:tc>
        <w:tc>
          <w:tcPr>
            <w:tcW w:w="21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8"/>
              </w:rPr>
              <w:t>Transportation</w:t>
            </w:r>
          </w:p>
        </w:tc>
        <w:tc>
          <w:tcPr>
            <w:tcW w:w="76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11.54 %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SOFR+615</w:t>
            </w:r>
          </w:p>
        </w:tc>
        <w:tc>
          <w:tcPr>
            <w:tcW w:w="76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5,000</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4,937</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4,800</w:t>
            </w:r>
          </w:p>
        </w:tc>
        <w:tc>
          <w:tcPr>
            <w:tcW w:w="80" w:type="dxa"/>
            <w:vAlign w:val="bottom"/>
            <w:shd w:val="clear" w:color="auto" w:fill="CCECFF"/>
          </w:tcPr>
          <w:p>
            <w:pPr>
              <w:spacing w:after="0"/>
              <w:rPr>
                <w:sz w:val="10"/>
                <w:szCs w:val="10"/>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1/29/2026</w:t>
            </w:r>
          </w:p>
        </w:tc>
        <w:tc>
          <w:tcPr>
            <w:tcW w:w="21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76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12.54 %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SOFR+700</w:t>
            </w: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9,750</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9,655</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9,458</w:t>
            </w:r>
          </w:p>
        </w:tc>
        <w:tc>
          <w:tcPr>
            <w:tcW w:w="80" w:type="dxa"/>
            <w:vAlign w:val="bottom"/>
          </w:tcPr>
          <w:p>
            <w:pPr>
              <w:spacing w:after="0"/>
              <w:rPr>
                <w:sz w:val="10"/>
                <w:szCs w:val="10"/>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Research Now Group, LLC and Dynata,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12/20/2024</w:t>
            </w:r>
          </w:p>
        </w:tc>
        <w:tc>
          <w:tcPr>
            <w:tcW w:w="21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6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11.13 %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SOFR+576</w:t>
            </w:r>
          </w:p>
        </w:tc>
        <w:tc>
          <w:tcPr>
            <w:tcW w:w="76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14,389</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14,332</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12,591</w:t>
            </w:r>
          </w:p>
        </w:tc>
        <w:tc>
          <w:tcPr>
            <w:tcW w:w="80" w:type="dxa"/>
            <w:vAlign w:val="bottom"/>
            <w:shd w:val="clear" w:color="auto" w:fill="CCECFF"/>
          </w:tcPr>
          <w:p>
            <w:pPr>
              <w:spacing w:after="0"/>
              <w:rPr>
                <w:sz w:val="10"/>
                <w:szCs w:val="10"/>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Riverpoint Medical,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6/20/2025</w:t>
            </w:r>
          </w:p>
        </w:tc>
        <w:tc>
          <w:tcPr>
            <w:tcW w:w="21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6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10.54 %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SOFR+515</w:t>
            </w: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3,176</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3,162</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3,131</w:t>
            </w:r>
          </w:p>
        </w:tc>
        <w:tc>
          <w:tcPr>
            <w:tcW w:w="80" w:type="dxa"/>
            <w:vAlign w:val="bottom"/>
          </w:tcPr>
          <w:p>
            <w:pPr>
              <w:spacing w:after="0"/>
              <w:rPr>
                <w:sz w:val="10"/>
                <w:szCs w:val="10"/>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Riverside Assessments,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3/10/2025</w:t>
            </w:r>
          </w:p>
        </w:tc>
        <w:tc>
          <w:tcPr>
            <w:tcW w:w="21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3"/>
              </w:rPr>
              <w:t>Education</w:t>
            </w:r>
          </w:p>
        </w:tc>
        <w:tc>
          <w:tcPr>
            <w:tcW w:w="76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11.29 %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SOFR+575</w:t>
            </w:r>
          </w:p>
        </w:tc>
        <w:tc>
          <w:tcPr>
            <w:tcW w:w="76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10,895</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10,834</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10,786</w:t>
            </w:r>
          </w:p>
        </w:tc>
        <w:tc>
          <w:tcPr>
            <w:tcW w:w="80" w:type="dxa"/>
            <w:vAlign w:val="bottom"/>
            <w:shd w:val="clear" w:color="auto" w:fill="CCECFF"/>
          </w:tcPr>
          <w:p>
            <w:pPr>
              <w:spacing w:after="0"/>
              <w:rPr>
                <w:sz w:val="10"/>
                <w:szCs w:val="10"/>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6/16/2029</w:t>
            </w:r>
          </w:p>
        </w:tc>
        <w:tc>
          <w:tcPr>
            <w:tcW w:w="21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6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11.52 %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SOFR+625</w:t>
            </w: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3,749</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3,678</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3,692</w:t>
            </w:r>
          </w:p>
        </w:tc>
        <w:tc>
          <w:tcPr>
            <w:tcW w:w="80" w:type="dxa"/>
            <w:vAlign w:val="bottom"/>
          </w:tcPr>
          <w:p>
            <w:pPr>
              <w:spacing w:after="0"/>
              <w:rPr>
                <w:sz w:val="10"/>
                <w:szCs w:val="10"/>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1/3/2025</w:t>
            </w:r>
          </w:p>
        </w:tc>
        <w:tc>
          <w:tcPr>
            <w:tcW w:w="21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6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11.59 %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SOFR+600</w:t>
            </w:r>
          </w:p>
        </w:tc>
        <w:tc>
          <w:tcPr>
            <w:tcW w:w="76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6,859</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6,815</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6,825</w:t>
            </w:r>
          </w:p>
        </w:tc>
        <w:tc>
          <w:tcPr>
            <w:tcW w:w="80" w:type="dxa"/>
            <w:vAlign w:val="bottom"/>
            <w:shd w:val="clear" w:color="auto" w:fill="CCECFF"/>
          </w:tcPr>
          <w:p>
            <w:pPr>
              <w:spacing w:after="0"/>
              <w:rPr>
                <w:sz w:val="10"/>
                <w:szCs w:val="10"/>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12/20/2024</w:t>
            </w:r>
          </w:p>
        </w:tc>
        <w:tc>
          <w:tcPr>
            <w:tcW w:w="21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3"/>
              </w:rPr>
              <w:t>Electronics</w:t>
            </w:r>
          </w:p>
        </w:tc>
        <w:tc>
          <w:tcPr>
            <w:tcW w:w="76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12.92 %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SOFR+750</w:t>
            </w: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4,872</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4,872</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4,823</w:t>
            </w:r>
          </w:p>
        </w:tc>
        <w:tc>
          <w:tcPr>
            <w:tcW w:w="80" w:type="dxa"/>
            <w:vAlign w:val="bottom"/>
          </w:tcPr>
          <w:p>
            <w:pPr>
              <w:spacing w:after="0"/>
              <w:rPr>
                <w:sz w:val="10"/>
                <w:szCs w:val="10"/>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6/13/2029</w:t>
            </w:r>
          </w:p>
        </w:tc>
        <w:tc>
          <w:tcPr>
            <w:tcW w:w="21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76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11.54 %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SOFR+605</w:t>
            </w:r>
          </w:p>
        </w:tc>
        <w:tc>
          <w:tcPr>
            <w:tcW w:w="76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14,850</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14,633</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14,405</w:t>
            </w:r>
          </w:p>
        </w:tc>
        <w:tc>
          <w:tcPr>
            <w:tcW w:w="80" w:type="dxa"/>
            <w:vAlign w:val="bottom"/>
            <w:shd w:val="clear" w:color="auto" w:fill="CCECFF"/>
          </w:tcPr>
          <w:p>
            <w:pPr>
              <w:spacing w:after="0"/>
              <w:rPr>
                <w:sz w:val="10"/>
                <w:szCs w:val="10"/>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Signature Systems Holding Company</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5/3/2024</w:t>
            </w:r>
          </w:p>
        </w:tc>
        <w:tc>
          <w:tcPr>
            <w:tcW w:w="21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76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12.04 %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SOFR+650</w:t>
            </w: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11,201</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11,173</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11,201</w:t>
            </w:r>
          </w:p>
        </w:tc>
        <w:tc>
          <w:tcPr>
            <w:tcW w:w="80" w:type="dxa"/>
            <w:vAlign w:val="bottom"/>
          </w:tcPr>
          <w:p>
            <w:pPr>
              <w:spacing w:after="0"/>
              <w:rPr>
                <w:sz w:val="10"/>
                <w:szCs w:val="10"/>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Skopima Consilio Parent,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5/17/2028</w:t>
            </w:r>
          </w:p>
        </w:tc>
        <w:tc>
          <w:tcPr>
            <w:tcW w:w="21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6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9.93 %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SOFR+450</w:t>
            </w:r>
          </w:p>
        </w:tc>
        <w:tc>
          <w:tcPr>
            <w:tcW w:w="76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1,300</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1,274</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1,272</w:t>
            </w:r>
          </w:p>
        </w:tc>
        <w:tc>
          <w:tcPr>
            <w:tcW w:w="80" w:type="dxa"/>
            <w:vAlign w:val="bottom"/>
            <w:shd w:val="clear" w:color="auto" w:fill="CCECFF"/>
          </w:tcPr>
          <w:p>
            <w:pPr>
              <w:spacing w:after="0"/>
              <w:rPr>
                <w:sz w:val="10"/>
                <w:szCs w:val="10"/>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7/17/2025</w:t>
            </w:r>
          </w:p>
        </w:tc>
        <w:tc>
          <w:tcPr>
            <w:tcW w:w="21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Communications</w:t>
            </w:r>
          </w:p>
        </w:tc>
        <w:tc>
          <w:tcPr>
            <w:tcW w:w="76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12.37 %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SOFR+715</w:t>
            </w: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9,239</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9,206</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9,202</w:t>
            </w:r>
          </w:p>
        </w:tc>
        <w:tc>
          <w:tcPr>
            <w:tcW w:w="80" w:type="dxa"/>
            <w:vAlign w:val="bottom"/>
          </w:tcPr>
          <w:p>
            <w:pPr>
              <w:spacing w:after="0"/>
              <w:rPr>
                <w:sz w:val="10"/>
                <w:szCs w:val="10"/>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3/1/2028</w:t>
            </w:r>
          </w:p>
        </w:tc>
        <w:tc>
          <w:tcPr>
            <w:tcW w:w="21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6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11.04 %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SOFR+565</w:t>
            </w:r>
          </w:p>
        </w:tc>
        <w:tc>
          <w:tcPr>
            <w:tcW w:w="76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9,607</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9,352</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9,396</w:t>
            </w:r>
          </w:p>
        </w:tc>
        <w:tc>
          <w:tcPr>
            <w:tcW w:w="80" w:type="dxa"/>
            <w:vAlign w:val="bottom"/>
            <w:shd w:val="clear" w:color="auto" w:fill="CCECFF"/>
          </w:tcPr>
          <w:p>
            <w:pPr>
              <w:spacing w:after="0"/>
              <w:rPr>
                <w:sz w:val="10"/>
                <w:szCs w:val="10"/>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STV Group Incorporated</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12/11/2026</w:t>
            </w:r>
          </w:p>
        </w:tc>
        <w:tc>
          <w:tcPr>
            <w:tcW w:w="21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8"/>
              </w:rPr>
              <w:t>Transportation</w:t>
            </w:r>
          </w:p>
        </w:tc>
        <w:tc>
          <w:tcPr>
            <w:tcW w:w="76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10.67 %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SOFR+535</w:t>
            </w: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12,099</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12,045</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11,857</w:t>
            </w:r>
          </w:p>
        </w:tc>
        <w:tc>
          <w:tcPr>
            <w:tcW w:w="80" w:type="dxa"/>
            <w:vAlign w:val="bottom"/>
          </w:tcPr>
          <w:p>
            <w:pPr>
              <w:spacing w:after="0"/>
              <w:rPr>
                <w:sz w:val="10"/>
                <w:szCs w:val="10"/>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11/24/2028</w:t>
            </w:r>
          </w:p>
        </w:tc>
        <w:tc>
          <w:tcPr>
            <w:tcW w:w="21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6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10.43 %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SOFR+475</w:t>
            </w:r>
          </w:p>
        </w:tc>
        <w:tc>
          <w:tcPr>
            <w:tcW w:w="76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3,572</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3,389</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3,559</w:t>
            </w:r>
          </w:p>
        </w:tc>
        <w:tc>
          <w:tcPr>
            <w:tcW w:w="80" w:type="dxa"/>
            <w:vAlign w:val="bottom"/>
            <w:shd w:val="clear" w:color="auto" w:fill="CCECFF"/>
          </w:tcPr>
          <w:p>
            <w:pPr>
              <w:spacing w:after="0"/>
              <w:rPr>
                <w:sz w:val="10"/>
                <w:szCs w:val="10"/>
                <w:color w:val="auto"/>
              </w:rPr>
            </w:pPr>
          </w:p>
        </w:tc>
      </w:tr>
      <w:tr>
        <w:trPr>
          <w:trHeight w:val="121"/>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(f/k/a Management Consulting</w:t>
            </w:r>
          </w:p>
        </w:tc>
        <w:tc>
          <w:tcPr>
            <w:tcW w:w="9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&amp; Research,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8/16/2027</w:t>
            </w:r>
          </w:p>
        </w:tc>
        <w:tc>
          <w:tcPr>
            <w:tcW w:w="21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6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11.49 %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SOFR+600</w:t>
            </w: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15,966</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15,695</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15,790</w:t>
            </w:r>
          </w:p>
        </w:tc>
        <w:tc>
          <w:tcPr>
            <w:tcW w:w="80" w:type="dxa"/>
            <w:vAlign w:val="bottom"/>
          </w:tcPr>
          <w:p>
            <w:pPr>
              <w:spacing w:after="0"/>
              <w:rPr>
                <w:sz w:val="10"/>
                <w:szCs w:val="10"/>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11/24/2028</w:t>
            </w:r>
          </w:p>
        </w:tc>
        <w:tc>
          <w:tcPr>
            <w:tcW w:w="21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6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10.75 %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SOFR+515</w:t>
            </w:r>
          </w:p>
        </w:tc>
        <w:tc>
          <w:tcPr>
            <w:tcW w:w="76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2,688</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2,584</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2,627</w:t>
            </w:r>
          </w:p>
        </w:tc>
        <w:tc>
          <w:tcPr>
            <w:tcW w:w="80" w:type="dxa"/>
            <w:vAlign w:val="bottom"/>
            <w:shd w:val="clear" w:color="auto" w:fill="CCECFF"/>
          </w:tcPr>
          <w:p>
            <w:pPr>
              <w:spacing w:after="0"/>
              <w:rPr>
                <w:sz w:val="10"/>
                <w:szCs w:val="10"/>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Teneo Holdings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7/18/2025</w:t>
            </w:r>
          </w:p>
        </w:tc>
        <w:tc>
          <w:tcPr>
            <w:tcW w:w="21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76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10.67 %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SOFR+535</w:t>
            </w: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2,936</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2,927</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2,931</w:t>
            </w:r>
          </w:p>
        </w:tc>
        <w:tc>
          <w:tcPr>
            <w:tcW w:w="80" w:type="dxa"/>
            <w:vAlign w:val="bottom"/>
          </w:tcPr>
          <w:p>
            <w:pPr>
              <w:spacing w:after="0"/>
              <w:rPr>
                <w:sz w:val="10"/>
                <w:szCs w:val="10"/>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Aegis Technologies Group,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10/31/2025</w:t>
            </w:r>
          </w:p>
        </w:tc>
        <w:tc>
          <w:tcPr>
            <w:tcW w:w="21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6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12.04 %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SOFR+665</w:t>
            </w:r>
          </w:p>
        </w:tc>
        <w:tc>
          <w:tcPr>
            <w:tcW w:w="76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11,095</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11,008</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10,929</w:t>
            </w:r>
          </w:p>
        </w:tc>
        <w:tc>
          <w:tcPr>
            <w:tcW w:w="80" w:type="dxa"/>
            <w:vAlign w:val="bottom"/>
            <w:shd w:val="clear" w:color="auto" w:fill="CCECFF"/>
          </w:tcPr>
          <w:p>
            <w:pPr>
              <w:spacing w:after="0"/>
              <w:rPr>
                <w:sz w:val="10"/>
                <w:szCs w:val="10"/>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7/27/2026</w:t>
            </w:r>
          </w:p>
        </w:tc>
        <w:tc>
          <w:tcPr>
            <w:tcW w:w="21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6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12.79 %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SOFR+740</w:t>
            </w: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7,855</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7,872</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7,823</w:t>
            </w:r>
          </w:p>
        </w:tc>
        <w:tc>
          <w:tcPr>
            <w:tcW w:w="80" w:type="dxa"/>
            <w:vAlign w:val="bottom"/>
          </w:tcPr>
          <w:p>
            <w:pPr>
              <w:spacing w:after="0"/>
              <w:rPr>
                <w:sz w:val="10"/>
                <w:szCs w:val="10"/>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8/31/2027</w:t>
            </w:r>
          </w:p>
        </w:tc>
        <w:tc>
          <w:tcPr>
            <w:tcW w:w="21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6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11.70 %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SOFR+635</w:t>
            </w:r>
          </w:p>
        </w:tc>
        <w:tc>
          <w:tcPr>
            <w:tcW w:w="76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7,690</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7,596</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7,628</w:t>
            </w:r>
          </w:p>
        </w:tc>
        <w:tc>
          <w:tcPr>
            <w:tcW w:w="80" w:type="dxa"/>
            <w:vAlign w:val="bottom"/>
            <w:shd w:val="clear" w:color="auto" w:fill="CCECFF"/>
          </w:tcPr>
          <w:p>
            <w:pPr>
              <w:spacing w:after="0"/>
              <w:rPr>
                <w:sz w:val="10"/>
                <w:szCs w:val="10"/>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TPC Canada Parent, Inc. and TPC US Parent,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11/24/2025</w:t>
            </w:r>
          </w:p>
        </w:tc>
        <w:tc>
          <w:tcPr>
            <w:tcW w:w="214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7"/>
              </w:rPr>
              <w:t>Food</w:t>
            </w:r>
          </w:p>
        </w:tc>
        <w:tc>
          <w:tcPr>
            <w:tcW w:w="76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10.68 %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SOFR+550</w:t>
            </w: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5,479</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5,378</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5,479</w:t>
            </w:r>
          </w:p>
        </w:tc>
        <w:tc>
          <w:tcPr>
            <w:tcW w:w="80" w:type="dxa"/>
            <w:vAlign w:val="bottom"/>
          </w:tcPr>
          <w:p>
            <w:pPr>
              <w:spacing w:after="0"/>
              <w:rPr>
                <w:sz w:val="10"/>
                <w:szCs w:val="10"/>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6/6/2025</w:t>
            </w:r>
          </w:p>
        </w:tc>
        <w:tc>
          <w:tcPr>
            <w:tcW w:w="21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3"/>
              </w:rPr>
              <w:t>Education</w:t>
            </w:r>
          </w:p>
        </w:tc>
        <w:tc>
          <w:tcPr>
            <w:tcW w:w="76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11.80 %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SOFR+625</w:t>
            </w:r>
          </w:p>
        </w:tc>
        <w:tc>
          <w:tcPr>
            <w:tcW w:w="76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7,177</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7,161</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7,177</w:t>
            </w:r>
          </w:p>
        </w:tc>
        <w:tc>
          <w:tcPr>
            <w:tcW w:w="80" w:type="dxa"/>
            <w:vAlign w:val="bottom"/>
            <w:shd w:val="clear" w:color="auto" w:fill="CCECFF"/>
          </w:tcPr>
          <w:p>
            <w:pPr>
              <w:spacing w:after="0"/>
              <w:rPr>
                <w:sz w:val="10"/>
                <w:szCs w:val="10"/>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4/3/2028</w:t>
            </w:r>
          </w:p>
        </w:tc>
        <w:tc>
          <w:tcPr>
            <w:tcW w:w="21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6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10.90 %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SOFR+550</w:t>
            </w: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11,393</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11,285</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10,391</w:t>
            </w:r>
          </w:p>
        </w:tc>
        <w:tc>
          <w:tcPr>
            <w:tcW w:w="80" w:type="dxa"/>
            <w:vAlign w:val="bottom"/>
          </w:tcPr>
          <w:p>
            <w:pPr>
              <w:spacing w:after="0"/>
              <w:rPr>
                <w:sz w:val="10"/>
                <w:szCs w:val="10"/>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6/15/2026</w:t>
            </w:r>
          </w:p>
        </w:tc>
        <w:tc>
          <w:tcPr>
            <w:tcW w:w="21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6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11.79 %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SOFR+625</w:t>
            </w:r>
          </w:p>
        </w:tc>
        <w:tc>
          <w:tcPr>
            <w:tcW w:w="76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3,860</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3,792</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3,780</w:t>
            </w:r>
          </w:p>
        </w:tc>
        <w:tc>
          <w:tcPr>
            <w:tcW w:w="80" w:type="dxa"/>
            <w:vAlign w:val="bottom"/>
            <w:shd w:val="clear" w:color="auto" w:fill="CCECFF"/>
          </w:tcPr>
          <w:p>
            <w:pPr>
              <w:spacing w:after="0"/>
              <w:rPr>
                <w:sz w:val="10"/>
                <w:szCs w:val="10"/>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2/27/2026</w:t>
            </w:r>
          </w:p>
        </w:tc>
        <w:tc>
          <w:tcPr>
            <w:tcW w:w="21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3"/>
              </w:rPr>
              <w:t>Electronics</w:t>
            </w:r>
          </w:p>
        </w:tc>
        <w:tc>
          <w:tcPr>
            <w:tcW w:w="76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10.54 %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SOFR+515</w:t>
            </w: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11,386</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11,323</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11,272</w:t>
            </w:r>
          </w:p>
        </w:tc>
        <w:tc>
          <w:tcPr>
            <w:tcW w:w="80" w:type="dxa"/>
            <w:vAlign w:val="bottom"/>
          </w:tcPr>
          <w:p>
            <w:pPr>
              <w:spacing w:after="0"/>
              <w:rPr>
                <w:sz w:val="10"/>
                <w:szCs w:val="10"/>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3/1/2024</w:t>
            </w:r>
          </w:p>
        </w:tc>
        <w:tc>
          <w:tcPr>
            <w:tcW w:w="21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6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12.67 %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SOFR+735</w:t>
            </w:r>
          </w:p>
        </w:tc>
        <w:tc>
          <w:tcPr>
            <w:tcW w:w="76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19,682</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19,581</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19,042</w:t>
            </w:r>
          </w:p>
        </w:tc>
        <w:tc>
          <w:tcPr>
            <w:tcW w:w="80" w:type="dxa"/>
            <w:vAlign w:val="bottom"/>
            <w:shd w:val="clear" w:color="auto" w:fill="CCECFF"/>
          </w:tcPr>
          <w:p>
            <w:pPr>
              <w:spacing w:after="0"/>
              <w:rPr>
                <w:sz w:val="10"/>
                <w:szCs w:val="10"/>
                <w:color w:val="auto"/>
              </w:rPr>
            </w:pPr>
          </w:p>
        </w:tc>
      </w:tr>
      <w:tr>
        <w:trPr>
          <w:trHeight w:val="204"/>
        </w:trPr>
        <w:tc>
          <w:tcPr>
            <w:tcW w:w="2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20"/>
        </w:trPr>
        <w:tc>
          <w:tcPr>
            <w:tcW w:w="280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214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44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9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810,737</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804,187</w:t>
            </w:r>
          </w:p>
        </w:tc>
        <w:tc>
          <w:tcPr>
            <w:tcW w:w="80" w:type="dxa"/>
            <w:vAlign w:val="bottom"/>
          </w:tcPr>
          <w:p>
            <w:pPr>
              <w:spacing w:after="0"/>
              <w:rPr>
                <w:sz w:val="10"/>
                <w:szCs w:val="10"/>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- 783.7%</w:t>
            </w:r>
          </w:p>
        </w:tc>
        <w:tc>
          <w:tcPr>
            <w:tcW w:w="940" w:type="dxa"/>
            <w:vAlign w:val="bottom"/>
            <w:shd w:val="clear" w:color="auto" w:fill="CCECFF"/>
          </w:tcPr>
          <w:p>
            <w:pPr>
              <w:spacing w:after="0"/>
              <w:rPr>
                <w:sz w:val="10"/>
                <w:szCs w:val="10"/>
                <w:color w:val="auto"/>
              </w:rPr>
            </w:pPr>
          </w:p>
        </w:tc>
        <w:tc>
          <w:tcPr>
            <w:tcW w:w="214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44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- 57.6%</w:t>
            </w:r>
          </w:p>
        </w:tc>
        <w:tc>
          <w:tcPr>
            <w:tcW w:w="9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940" w:type="dxa"/>
            <w:vAlign w:val="bottom"/>
            <w:shd w:val="clear" w:color="auto" w:fill="CCECFF"/>
          </w:tcPr>
          <w:p>
            <w:pPr>
              <w:spacing w:after="0"/>
              <w:rPr>
                <w:sz w:val="10"/>
                <w:szCs w:val="10"/>
                <w:color w:val="auto"/>
              </w:rPr>
            </w:pPr>
          </w:p>
        </w:tc>
        <w:tc>
          <w:tcPr>
            <w:tcW w:w="214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44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80" w:type="dxa"/>
            <w:vAlign w:val="bottom"/>
            <w:shd w:val="clear" w:color="auto" w:fill="CCECFF"/>
          </w:tcPr>
          <w:p>
            <w:pPr>
              <w:spacing w:after="0"/>
              <w:rPr>
                <w:sz w:val="10"/>
                <w:szCs w:val="10"/>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9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80" w:type="dxa"/>
            <w:vAlign w:val="bottom"/>
          </w:tcPr>
          <w:p>
            <w:pPr>
              <w:spacing w:after="0"/>
              <w:rPr>
                <w:sz w:val="10"/>
                <w:szCs w:val="10"/>
                <w:color w:val="auto"/>
              </w:rPr>
            </w:pPr>
          </w:p>
        </w:tc>
      </w:tr>
      <w:tr>
        <w:trPr>
          <w:trHeight w:val="160"/>
        </w:trPr>
        <w:tc>
          <w:tcPr>
            <w:tcW w:w="2800" w:type="dxa"/>
            <w:vAlign w:val="bottom"/>
            <w:tcBorders>
              <w:bottom w:val="single" w:sz="8" w:color="CCECFF"/>
            </w:tcBorders>
            <w:shd w:val="clear" w:color="auto" w:fill="CCEC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Total Investments and Cash Equivalents - 841.3%</w:t>
            </w:r>
          </w:p>
        </w:tc>
        <w:tc>
          <w:tcPr>
            <w:tcW w:w="940" w:type="dxa"/>
            <w:vAlign w:val="bottom"/>
            <w:tcBorders>
              <w:bottom w:val="single" w:sz="8" w:color="CCECFF"/>
            </w:tcBorders>
            <w:shd w:val="clear" w:color="auto" w:fill="CCECFF"/>
          </w:tcPr>
          <w:p>
            <w:pPr>
              <w:spacing w:after="0"/>
              <w:rPr>
                <w:sz w:val="13"/>
                <w:szCs w:val="13"/>
                <w:color w:val="auto"/>
              </w:rPr>
            </w:pPr>
          </w:p>
        </w:tc>
        <w:tc>
          <w:tcPr>
            <w:tcW w:w="2140" w:type="dxa"/>
            <w:vAlign w:val="bottom"/>
            <w:tcBorders>
              <w:bottom w:val="single" w:sz="8" w:color="CCECFF"/>
            </w:tcBorders>
            <w:shd w:val="clear" w:color="auto" w:fill="CCECFF"/>
          </w:tcPr>
          <w:p>
            <w:pPr>
              <w:spacing w:after="0"/>
              <w:rPr>
                <w:sz w:val="13"/>
                <w:szCs w:val="13"/>
                <w:color w:val="auto"/>
              </w:rPr>
            </w:pPr>
          </w:p>
        </w:tc>
        <w:tc>
          <w:tcPr>
            <w:tcW w:w="760" w:type="dxa"/>
            <w:vAlign w:val="bottom"/>
            <w:tcBorders>
              <w:bottom w:val="single" w:sz="8" w:color="CCECFF"/>
            </w:tcBorders>
            <w:shd w:val="clear" w:color="auto" w:fill="CCECFF"/>
          </w:tcPr>
          <w:p>
            <w:pPr>
              <w:spacing w:after="0"/>
              <w:rPr>
                <w:sz w:val="13"/>
                <w:szCs w:val="13"/>
                <w:color w:val="auto"/>
              </w:rPr>
            </w:pPr>
          </w:p>
        </w:tc>
        <w:tc>
          <w:tcPr>
            <w:tcW w:w="440" w:type="dxa"/>
            <w:vAlign w:val="bottom"/>
            <w:tcBorders>
              <w:bottom w:val="single" w:sz="8" w:color="CCECFF"/>
            </w:tcBorders>
            <w:shd w:val="clear" w:color="auto" w:fill="CCECFF"/>
          </w:tcPr>
          <w:p>
            <w:pPr>
              <w:spacing w:after="0"/>
              <w:rPr>
                <w:sz w:val="13"/>
                <w:szCs w:val="13"/>
                <w:color w:val="auto"/>
              </w:rPr>
            </w:pPr>
          </w:p>
        </w:tc>
        <w:tc>
          <w:tcPr>
            <w:tcW w:w="920" w:type="dxa"/>
            <w:vAlign w:val="bottom"/>
            <w:tcBorders>
              <w:bottom w:val="single" w:sz="8" w:color="CCECFF"/>
            </w:tcBorders>
            <w:shd w:val="clear" w:color="auto" w:fill="CCECFF"/>
          </w:tcPr>
          <w:p>
            <w:pPr>
              <w:spacing w:after="0"/>
              <w:rPr>
                <w:sz w:val="13"/>
                <w:szCs w:val="13"/>
                <w:color w:val="auto"/>
              </w:rPr>
            </w:pPr>
          </w:p>
        </w:tc>
        <w:tc>
          <w:tcPr>
            <w:tcW w:w="76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869,833</w:t>
            </w:r>
          </w:p>
        </w:tc>
        <w:tc>
          <w:tcPr>
            <w:tcW w:w="20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863,283</w:t>
            </w:r>
          </w:p>
        </w:tc>
        <w:tc>
          <w:tcPr>
            <w:tcW w:w="80" w:type="dxa"/>
            <w:vAlign w:val="bottom"/>
            <w:tcBorders>
              <w:bottom w:val="single" w:sz="8" w:color="CCECFF"/>
            </w:tcBorders>
            <w:shd w:val="clear" w:color="auto" w:fill="CCECFF"/>
          </w:tcPr>
          <w:p>
            <w:pPr>
              <w:spacing w:after="0"/>
              <w:rPr>
                <w:sz w:val="13"/>
                <w:szCs w:val="13"/>
                <w:color w:val="auto"/>
              </w:rPr>
            </w:pPr>
          </w:p>
        </w:tc>
      </w:tr>
      <w:tr>
        <w:trPr>
          <w:trHeight w:val="96"/>
        </w:trPr>
        <w:tc>
          <w:tcPr>
            <w:tcW w:w="2800" w:type="dxa"/>
            <w:vAlign w:val="bottom"/>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rPr>
              <w:t>Liabilities in Excess of Other Assets — (741.3)%</w:t>
            </w:r>
          </w:p>
        </w:tc>
        <w:tc>
          <w:tcPr>
            <w:tcW w:w="9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tcPr>
          <w:p>
            <w:pPr>
              <w:jc w:val="right"/>
              <w:ind w:right="40"/>
              <w:spacing w:after="0" w:line="96" w:lineRule="exact"/>
              <w:rPr>
                <w:sz w:val="20"/>
                <w:szCs w:val="20"/>
                <w:color w:val="auto"/>
              </w:rPr>
            </w:pPr>
            <w:r>
              <w:rPr>
                <w:rFonts w:ascii="Times New Roman" w:cs="Times New Roman" w:eastAsia="Times New Roman" w:hAnsi="Times New Roman"/>
                <w:sz w:val="10"/>
                <w:szCs w:val="10"/>
                <w:color w:val="auto"/>
              </w:rPr>
              <w:t>(760,665 )</w:t>
            </w:r>
          </w:p>
        </w:tc>
      </w:tr>
      <w:tr>
        <w:trPr>
          <w:trHeight w:val="160"/>
        </w:trPr>
        <w:tc>
          <w:tcPr>
            <w:tcW w:w="2800" w:type="dxa"/>
            <w:vAlign w:val="bottom"/>
            <w:tcBorders>
              <w:bottom w:val="single" w:sz="8" w:color="CCECFF"/>
            </w:tcBorders>
            <w:shd w:val="clear" w:color="auto" w:fill="CCEC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Members' Equity—100.0%</w:t>
            </w:r>
          </w:p>
        </w:tc>
        <w:tc>
          <w:tcPr>
            <w:tcW w:w="940" w:type="dxa"/>
            <w:vAlign w:val="bottom"/>
            <w:tcBorders>
              <w:bottom w:val="single" w:sz="8" w:color="CCECFF"/>
            </w:tcBorders>
            <w:shd w:val="clear" w:color="auto" w:fill="CCECFF"/>
          </w:tcPr>
          <w:p>
            <w:pPr>
              <w:spacing w:after="0"/>
              <w:rPr>
                <w:sz w:val="13"/>
                <w:szCs w:val="13"/>
                <w:color w:val="auto"/>
              </w:rPr>
            </w:pPr>
          </w:p>
        </w:tc>
        <w:tc>
          <w:tcPr>
            <w:tcW w:w="2140" w:type="dxa"/>
            <w:vAlign w:val="bottom"/>
            <w:tcBorders>
              <w:bottom w:val="single" w:sz="8" w:color="CCECFF"/>
            </w:tcBorders>
            <w:shd w:val="clear" w:color="auto" w:fill="CCECFF"/>
          </w:tcPr>
          <w:p>
            <w:pPr>
              <w:spacing w:after="0"/>
              <w:rPr>
                <w:sz w:val="13"/>
                <w:szCs w:val="13"/>
                <w:color w:val="auto"/>
              </w:rPr>
            </w:pPr>
          </w:p>
        </w:tc>
        <w:tc>
          <w:tcPr>
            <w:tcW w:w="760" w:type="dxa"/>
            <w:vAlign w:val="bottom"/>
            <w:tcBorders>
              <w:bottom w:val="single" w:sz="8" w:color="CCECFF"/>
            </w:tcBorders>
            <w:shd w:val="clear" w:color="auto" w:fill="CCECFF"/>
          </w:tcPr>
          <w:p>
            <w:pPr>
              <w:spacing w:after="0"/>
              <w:rPr>
                <w:sz w:val="13"/>
                <w:szCs w:val="13"/>
                <w:color w:val="auto"/>
              </w:rPr>
            </w:pPr>
          </w:p>
        </w:tc>
        <w:tc>
          <w:tcPr>
            <w:tcW w:w="440" w:type="dxa"/>
            <w:vAlign w:val="bottom"/>
            <w:tcBorders>
              <w:bottom w:val="single" w:sz="8" w:color="CCECFF"/>
            </w:tcBorders>
            <w:shd w:val="clear" w:color="auto" w:fill="CCECFF"/>
          </w:tcPr>
          <w:p>
            <w:pPr>
              <w:spacing w:after="0"/>
              <w:rPr>
                <w:sz w:val="13"/>
                <w:szCs w:val="13"/>
                <w:color w:val="auto"/>
              </w:rPr>
            </w:pPr>
          </w:p>
        </w:tc>
        <w:tc>
          <w:tcPr>
            <w:tcW w:w="920" w:type="dxa"/>
            <w:vAlign w:val="bottom"/>
            <w:tcBorders>
              <w:bottom w:val="single" w:sz="8" w:color="CCECFF"/>
            </w:tcBorders>
            <w:shd w:val="clear" w:color="auto" w:fill="CCECFF"/>
          </w:tcPr>
          <w:p>
            <w:pPr>
              <w:spacing w:after="0"/>
              <w:rPr>
                <w:sz w:val="13"/>
                <w:szCs w:val="13"/>
                <w:color w:val="auto"/>
              </w:rPr>
            </w:pPr>
          </w:p>
        </w:tc>
        <w:tc>
          <w:tcPr>
            <w:tcW w:w="76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44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102,618</w:t>
            </w:r>
          </w:p>
        </w:tc>
        <w:tc>
          <w:tcPr>
            <w:tcW w:w="80" w:type="dxa"/>
            <w:vAlign w:val="bottom"/>
            <w:tcBorders>
              <w:bottom w:val="single" w:sz="8" w:color="CCECFF"/>
            </w:tcBorders>
            <w:shd w:val="clear" w:color="auto" w:fill="CCECFF"/>
          </w:tcPr>
          <w:p>
            <w:pPr>
              <w:spacing w:after="0"/>
              <w:rPr>
                <w:sz w:val="13"/>
                <w:szCs w:val="13"/>
                <w:color w:val="auto"/>
              </w:rPr>
            </w:pPr>
          </w:p>
        </w:tc>
      </w:tr>
    </w:tbl>
    <w:p>
      <w:pPr>
        <w:spacing w:after="0" w:line="180"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Secured Overnight Financing Rate, or "SOFR" or Prime rate or “P”. The spread may change based on the type of rate used. The terms in the Schedule of Investments disclose the actual interest rate in effect as of the reporting period. SOFR loans are typically indexed to a 30-day, 60-day, 90-day or 180-day SOFR rate (1M S, 2M S, 3M S, or 6M S, respectively), at the borrower’s option. All securities are subject to a SOFR or Prime rate floor where a spread is provided, unless noted. The spread provided includes PIK interest and other fee rates, if 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1"/>
          <w:szCs w:val="11"/>
          <w:color w:val="auto"/>
        </w:rPr>
        <w:t>Valued based on PSLF’s accounting policy.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202" w:lineRule="auto"/>
        <w:rPr>
          <w:sz w:val="20"/>
          <w:szCs w:val="20"/>
          <w:color w:val="auto"/>
        </w:rPr>
      </w:pP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1"/>
          <w:szCs w:val="11"/>
          <w:color w:val="auto"/>
        </w:rPr>
        <w:t>All investments are in US Companies unless noted otherwise</w:t>
      </w:r>
    </w:p>
    <w:p>
      <w:pPr>
        <w:spacing w:after="0" w:line="1" w:lineRule="exact"/>
        <w:rPr>
          <w:sz w:val="20"/>
          <w:szCs w:val="20"/>
          <w:color w:val="auto"/>
        </w:rPr>
      </w:pPr>
    </w:p>
    <w:p>
      <w:pPr>
        <w:ind w:right="220"/>
        <w:spacing w:after="0" w:line="216" w:lineRule="auto"/>
        <w:rPr>
          <w:sz w:val="20"/>
          <w:szCs w:val="20"/>
          <w:color w:val="auto"/>
        </w:rPr>
      </w:pP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1"/>
          <w:szCs w:val="11"/>
          <w:color w:val="auto"/>
        </w:rPr>
        <w:t>The securities are, 1) pledged as collateral under the BNP Credit Facility and held through Funding I; or, 2) securing the 2034 Asset-Backed Debt and held through PennantPark CLO IV, LLC; or, 3) securing the 2035 Asset-Backed Debt held through PennantPark CLO VII, LLC</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80" w:right="680" w:bottom="1440" w:gutter="0" w:footer="0" w:header="0"/>
        </w:sectPr>
      </w:pPr>
    </w:p>
    <w:bookmarkStart w:id="57" w:name="page58"/>
    <w:bookmarkEnd w:id="57"/>
    <w:p>
      <w:pPr>
        <w:ind w:left="420"/>
        <w:spacing w:after="0"/>
        <w:rPr>
          <w:sz w:val="20"/>
          <w:szCs w:val="20"/>
          <w:color w:val="auto"/>
        </w:rPr>
      </w:pPr>
      <w:r>
        <w:rPr>
          <w:rFonts w:ascii="Times New Roman" w:cs="Times New Roman" w:eastAsia="Times New Roman" w:hAnsi="Times New Roman"/>
          <w:sz w:val="13"/>
          <w:szCs w:val="13"/>
          <w:color w:val="auto"/>
        </w:rPr>
        <w:t>Below are the consolidated statements of assets and liabilities for PSLF ($ in thousands):</w:t>
      </w:r>
    </w:p>
    <w:p>
      <w:pPr>
        <w:sectPr>
          <w:pgSz w:w="11900" w:h="16840" w:orient="portrait"/>
          <w:cols w:equalWidth="0" w:num="1">
            <w:col w:w="10560"/>
          </w:cols>
          <w:pgMar w:left="660" w:top="1314" w:right="680" w:bottom="1440" w:gutter="0" w:footer="0" w:header="0"/>
        </w:sect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p>
      <w:pPr>
        <w:spacing w:after="0" w:line="1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Investments at fair value (amortized cost—$1,036,305 and $810,737, respectively)</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Cash and cash equivalents (cost—$36,595 and $59,096, respectively)</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Interest receivable</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Prepaid expenses and other assets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Due from affiliate</w:t>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b w:val="1"/>
          <w:bCs w:val="1"/>
          <w:color w:val="auto"/>
        </w:rPr>
        <w:t>Total assets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2034 Asset-backed debt, net (par—$246,000)</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2035 Asset-backed debt, net (par—$246,000)</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Notes payable to members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Credit facility payable</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Interest payable on credit facility and asset backed debt</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Distribution payable to members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Payable for investments purchased</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Interest payable on notes to members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Accounts payable and accrued expenses</w:t>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b w:val="1"/>
          <w:bCs w:val="1"/>
          <w:color w:val="auto"/>
        </w:rPr>
        <w:t>Total liabilities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Commitments and contingencies</w:t>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b w:val="1"/>
          <w:bCs w:val="1"/>
          <w:color w:val="auto"/>
        </w:rPr>
        <w:t>Members' equity</w:t>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b w:val="1"/>
          <w:bCs w:val="1"/>
          <w:color w:val="auto"/>
        </w:rPr>
        <w:t>Total liabilities and members' equity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300" w:type="dxa"/>
            <w:vAlign w:val="bottom"/>
          </w:tcPr>
          <w:p>
            <w:pPr>
              <w:spacing w:after="0"/>
              <w:rPr>
                <w:sz w:val="15"/>
                <w:szCs w:val="15"/>
                <w:color w:val="auto"/>
              </w:rPr>
            </w:pPr>
          </w:p>
        </w:tc>
        <w:tc>
          <w:tcPr>
            <w:tcW w:w="1860" w:type="dxa"/>
            <w:vAlign w:val="bottom"/>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0" w:type="dxa"/>
            <w:vAlign w:val="bottom"/>
          </w:tcPr>
          <w:p>
            <w:pPr>
              <w:spacing w:after="0"/>
              <w:rPr>
                <w:sz w:val="1"/>
                <w:szCs w:val="1"/>
                <w:color w:val="auto"/>
              </w:rPr>
            </w:pPr>
          </w:p>
        </w:tc>
      </w:tr>
      <w:tr>
        <w:trPr>
          <w:trHeight w:val="312"/>
        </w:trPr>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1,031,225</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804,187</w:t>
            </w:r>
          </w:p>
        </w:tc>
        <w:tc>
          <w:tcPr>
            <w:tcW w:w="0" w:type="dxa"/>
            <w:vAlign w:val="bottom"/>
          </w:tcPr>
          <w:p>
            <w:pPr>
              <w:spacing w:after="0"/>
              <w:rPr>
                <w:sz w:val="1"/>
                <w:szCs w:val="1"/>
                <w:color w:val="auto"/>
              </w:rPr>
            </w:pPr>
          </w:p>
        </w:tc>
      </w:tr>
      <w:tr>
        <w:trPr>
          <w:trHeight w:val="80"/>
        </w:trPr>
        <w:tc>
          <w:tcPr>
            <w:tcW w:w="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36,595</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59,096</w:t>
            </w: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5,089</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5,248</w:t>
            </w: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936</w:t>
            </w: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3,296</w:t>
            </w:r>
          </w:p>
        </w:tc>
        <w:tc>
          <w:tcPr>
            <w:tcW w:w="0" w:type="dxa"/>
            <w:vAlign w:val="bottom"/>
          </w:tcPr>
          <w:p>
            <w:pPr>
              <w:spacing w:after="0"/>
              <w:rPr>
                <w:sz w:val="1"/>
                <w:szCs w:val="1"/>
                <w:color w:val="auto"/>
              </w:rPr>
            </w:pPr>
          </w:p>
        </w:tc>
      </w:tr>
      <w:tr>
        <w:trPr>
          <w:trHeight w:val="172"/>
        </w:trPr>
        <w:tc>
          <w:tcPr>
            <w:tcW w:w="30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1,073,352</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872,763</w:t>
            </w:r>
          </w:p>
        </w:tc>
        <w:tc>
          <w:tcPr>
            <w:tcW w:w="0" w:type="dxa"/>
            <w:vAlign w:val="bottom"/>
          </w:tcPr>
          <w:p>
            <w:pPr>
              <w:spacing w:after="0"/>
              <w:rPr>
                <w:sz w:val="1"/>
                <w:szCs w:val="1"/>
                <w:color w:val="auto"/>
              </w:rPr>
            </w:pPr>
          </w:p>
        </w:tc>
      </w:tr>
      <w:tr>
        <w:trPr>
          <w:trHeight w:val="296"/>
        </w:trPr>
        <w:tc>
          <w:tcPr>
            <w:tcW w:w="3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244,672</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244,284</w:t>
            </w: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244,118</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243,727</w:t>
            </w: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191,546</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169,131</w:t>
            </w: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247,600</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88,600</w:t>
            </w: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12,525</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10,421</w:t>
            </w: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8,000</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7,250</w:t>
            </w: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7,314</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2,002</w:t>
            </w: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4,372</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3,895</w:t>
            </w: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934</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835</w:t>
            </w:r>
          </w:p>
        </w:tc>
        <w:tc>
          <w:tcPr>
            <w:tcW w:w="0" w:type="dxa"/>
            <w:vAlign w:val="bottom"/>
          </w:tcPr>
          <w:p>
            <w:pPr>
              <w:spacing w:after="0"/>
              <w:rPr>
                <w:sz w:val="1"/>
                <w:szCs w:val="1"/>
                <w:color w:val="auto"/>
              </w:rPr>
            </w:pPr>
          </w:p>
        </w:tc>
      </w:tr>
      <w:tr>
        <w:trPr>
          <w:trHeight w:val="172"/>
        </w:trPr>
        <w:tc>
          <w:tcPr>
            <w:tcW w:w="30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961,081</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770,145</w:t>
            </w:r>
          </w:p>
        </w:tc>
        <w:tc>
          <w:tcPr>
            <w:tcW w:w="0" w:type="dxa"/>
            <w:vAlign w:val="bottom"/>
          </w:tcPr>
          <w:p>
            <w:pPr>
              <w:spacing w:after="0"/>
              <w:rPr>
                <w:sz w:val="1"/>
                <w:szCs w:val="1"/>
                <w:color w:val="auto"/>
              </w:rPr>
            </w:pPr>
          </w:p>
        </w:tc>
      </w:tr>
      <w:tr>
        <w:trPr>
          <w:trHeight w:val="296"/>
        </w:trPr>
        <w:tc>
          <w:tcPr>
            <w:tcW w:w="3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112,271</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102,618</w:t>
            </w:r>
          </w:p>
        </w:tc>
        <w:tc>
          <w:tcPr>
            <w:tcW w:w="0" w:type="dxa"/>
            <w:vAlign w:val="bottom"/>
          </w:tcPr>
          <w:p>
            <w:pPr>
              <w:spacing w:after="0"/>
              <w:rPr>
                <w:sz w:val="1"/>
                <w:szCs w:val="1"/>
                <w:color w:val="auto"/>
              </w:rPr>
            </w:pPr>
          </w:p>
        </w:tc>
      </w:tr>
      <w:tr>
        <w:trPr>
          <w:trHeight w:val="168"/>
        </w:trPr>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1,073,352</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872,763</w:t>
            </w:r>
          </w:p>
        </w:tc>
        <w:tc>
          <w:tcPr>
            <w:tcW w:w="0" w:type="dxa"/>
            <w:vAlign w:val="bottom"/>
          </w:tcPr>
          <w:p>
            <w:pPr>
              <w:spacing w:after="0"/>
              <w:rPr>
                <w:sz w:val="1"/>
                <w:szCs w:val="1"/>
                <w:color w:val="auto"/>
              </w:rPr>
            </w:pP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-3742055</wp:posOffset>
            </wp:positionH>
            <wp:positionV relativeFrom="paragraph">
              <wp:posOffset>-2065020</wp:posOffset>
            </wp:positionV>
            <wp:extent cx="6707505" cy="1600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07505" cy="16002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-1805940</wp:posOffset>
            </wp:positionV>
            <wp:extent cx="6707505" cy="990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-1607820</wp:posOffset>
            </wp:positionV>
            <wp:extent cx="6707505" cy="990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-1409700</wp:posOffset>
            </wp:positionV>
            <wp:extent cx="6707505" cy="990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-1211580</wp:posOffset>
            </wp:positionV>
            <wp:extent cx="6707505" cy="990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-1012825</wp:posOffset>
            </wp:positionV>
            <wp:extent cx="6707505" cy="990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-814705</wp:posOffset>
            </wp:positionV>
            <wp:extent cx="6707505" cy="990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-616585</wp:posOffset>
            </wp:positionV>
            <wp:extent cx="6707505" cy="990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-418465</wp:posOffset>
            </wp:positionV>
            <wp:extent cx="6707505" cy="990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-220345</wp:posOffset>
            </wp:positionV>
            <wp:extent cx="6707505" cy="990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07505" cy="99060"/>
                    </a:xfrm>
                    <a:prstGeom prst="rect">
                      <a:avLst/>
                    </a:prstGeom>
                    <a:noFill/>
                  </pic:spPr>
                </pic:pic>
              </a:graphicData>
            </a:graphic>
          </wp:anchor>
        </w:drawing>
      </w:r>
    </w:p>
    <w:p>
      <w:pPr>
        <w:spacing w:after="0" w:line="72" w:lineRule="exact"/>
        <w:rPr>
          <w:sz w:val="20"/>
          <w:szCs w:val="20"/>
          <w:color w:val="auto"/>
        </w:rPr>
      </w:pPr>
    </w:p>
    <w:p>
      <w:pPr>
        <w:sectPr>
          <w:pgSz w:w="11900" w:h="16840" w:orient="portrait"/>
          <w:cols w:equalWidth="0" w:num="2">
            <w:col w:w="5180" w:space="720"/>
            <w:col w:w="4660"/>
          </w:cols>
          <w:pgMar w:left="660" w:top="1314" w:right="680"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color w:val="auto"/>
        </w:rPr>
        <w:t>* As of September 30, 2024 and 2023, PSLF had zero and $0.5 million and zero million unfunded commitments to fund investments, respectively.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4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are the consolidated statements of operations for PSLF ($ in thousands):</w:t>
            </w: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5"/>
        </w:trPr>
        <w:tc>
          <w:tcPr>
            <w:tcW w:w="7840" w:type="dxa"/>
            <w:vAlign w:val="bottom"/>
          </w:tcPr>
          <w:p>
            <w:pPr>
              <w:spacing w:after="0"/>
              <w:rPr>
                <w:sz w:val="24"/>
                <w:szCs w:val="24"/>
                <w:color w:val="auto"/>
              </w:rPr>
            </w:pPr>
          </w:p>
        </w:tc>
        <w:tc>
          <w:tcPr>
            <w:tcW w:w="2200" w:type="dxa"/>
            <w:vAlign w:val="bottom"/>
            <w:gridSpan w:val="4"/>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Year Ended September 30,</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784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w:t>
            </w:r>
          </w:p>
        </w:tc>
        <w:tc>
          <w:tcPr>
            <w:tcW w:w="700" w:type="dxa"/>
            <w:vAlign w:val="bottom"/>
            <w:shd w:val="clear" w:color="auto" w:fill="CCECFF"/>
          </w:tcPr>
          <w:p>
            <w:pPr>
              <w:jc w:val="right"/>
              <w:ind w:right="579"/>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4"/>
              </w:rPr>
              <w:t>114,231</w:t>
            </w:r>
          </w:p>
        </w:tc>
        <w:tc>
          <w:tcPr>
            <w:tcW w:w="120" w:type="dxa"/>
            <w:vAlign w:val="bottom"/>
            <w:shd w:val="clear" w:color="auto" w:fill="CCECFF"/>
          </w:tcPr>
          <w:p>
            <w:pPr>
              <w:spacing w:after="0"/>
              <w:rPr>
                <w:sz w:val="13"/>
                <w:szCs w:val="13"/>
                <w:color w:val="auto"/>
              </w:rPr>
            </w:pPr>
          </w:p>
        </w:tc>
        <w:tc>
          <w:tcPr>
            <w:tcW w:w="940" w:type="dxa"/>
            <w:vAlign w:val="bottom"/>
            <w:shd w:val="clear" w:color="auto" w:fill="CCECFF"/>
          </w:tcPr>
          <w:p>
            <w:pPr>
              <w:jc w:val="right"/>
              <w:ind w:right="694"/>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88,280</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income</w:t>
            </w:r>
          </w:p>
        </w:tc>
        <w:tc>
          <w:tcPr>
            <w:tcW w:w="7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1,023</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7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4"/>
              </w:rPr>
              <w:t>115,254</w:t>
            </w:r>
          </w:p>
        </w:tc>
        <w:tc>
          <w:tcPr>
            <w:tcW w:w="12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89,690</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 expense on credit facility and asset-backed debt</w:t>
            </w:r>
          </w:p>
        </w:tc>
        <w:tc>
          <w:tcPr>
            <w:tcW w:w="7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54,405</w:t>
            </w:r>
          </w:p>
        </w:tc>
        <w:tc>
          <w:tcPr>
            <w:tcW w:w="12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37,977</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expense on notes to members</w:t>
            </w:r>
          </w:p>
        </w:tc>
        <w:tc>
          <w:tcPr>
            <w:tcW w:w="7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24,861</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20,858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Administration fees</w:t>
            </w:r>
          </w:p>
        </w:tc>
        <w:tc>
          <w:tcPr>
            <w:tcW w:w="7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2,423</w:t>
            </w:r>
          </w:p>
        </w:tc>
        <w:tc>
          <w:tcPr>
            <w:tcW w:w="12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2,027</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7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1,360</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expenses</w:t>
            </w:r>
          </w:p>
        </w:tc>
        <w:tc>
          <w:tcPr>
            <w:tcW w:w="7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83,049</w:t>
            </w:r>
          </w:p>
        </w:tc>
        <w:tc>
          <w:tcPr>
            <w:tcW w:w="12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61,952</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7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32,205</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27,738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Realized and unrealized gain (loss) on investments:</w:t>
            </w:r>
          </w:p>
        </w:tc>
        <w:tc>
          <w:tcPr>
            <w:tcW w:w="700" w:type="dxa"/>
            <w:vAlign w:val="bottom"/>
            <w:shd w:val="clear" w:color="auto" w:fill="CCECFF"/>
          </w:tcPr>
          <w:p>
            <w:pPr>
              <w:spacing w:after="0"/>
              <w:rPr>
                <w:sz w:val="13"/>
                <w:szCs w:val="13"/>
                <w:color w:val="auto"/>
              </w:rPr>
            </w:pPr>
          </w:p>
        </w:tc>
        <w:tc>
          <w:tcPr>
            <w:tcW w:w="4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4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70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(2,838 )</w:t>
            </w:r>
          </w:p>
        </w:tc>
        <w:tc>
          <w:tcPr>
            <w:tcW w:w="9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(498 )</w:t>
            </w:r>
          </w:p>
        </w:tc>
        <w:tc>
          <w:tcPr>
            <w:tcW w:w="0" w:type="dxa"/>
            <w:vAlign w:val="bottom"/>
          </w:tcPr>
          <w:p>
            <w:pPr>
              <w:spacing w:after="0"/>
              <w:rPr>
                <w:sz w:val="1"/>
                <w:szCs w:val="1"/>
                <w:color w:val="auto"/>
              </w:rPr>
            </w:pPr>
          </w:p>
        </w:tc>
      </w:tr>
      <w:tr>
        <w:trPr>
          <w:trHeight w:val="156"/>
        </w:trPr>
        <w:tc>
          <w:tcPr>
            <w:tcW w:w="7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7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1,462</w:t>
            </w:r>
          </w:p>
        </w:tc>
        <w:tc>
          <w:tcPr>
            <w:tcW w:w="12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1,575</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realized and unrealized gain (loss) on investments</w:t>
            </w:r>
          </w:p>
        </w:tc>
        <w:tc>
          <w:tcPr>
            <w:tcW w:w="70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(1,376 )</w:t>
            </w:r>
          </w:p>
        </w:tc>
        <w:tc>
          <w:tcPr>
            <w:tcW w:w="9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8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members' equity resulting from operations</w:t>
            </w:r>
          </w:p>
        </w:tc>
        <w:tc>
          <w:tcPr>
            <w:tcW w:w="700" w:type="dxa"/>
            <w:vAlign w:val="bottom"/>
            <w:tcBorders>
              <w:bottom w:val="single" w:sz="8" w:color="auto"/>
            </w:tcBorders>
            <w:shd w:val="clear" w:color="auto" w:fill="CCECFF"/>
          </w:tcPr>
          <w:p>
            <w:pPr>
              <w:jc w:val="right"/>
              <w:ind w:right="579"/>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30,829</w:t>
            </w:r>
          </w:p>
        </w:tc>
        <w:tc>
          <w:tcPr>
            <w:tcW w:w="120" w:type="dxa"/>
            <w:vAlign w:val="bottom"/>
            <w:tcBorders>
              <w:bottom w:val="single" w:sz="8" w:color="CCECFF"/>
            </w:tcBorders>
            <w:shd w:val="clear" w:color="auto" w:fill="CCECFF"/>
          </w:tcPr>
          <w:p>
            <w:pPr>
              <w:spacing w:after="0"/>
              <w:rPr>
                <w:sz w:val="17"/>
                <w:szCs w:val="17"/>
                <w:color w:val="auto"/>
              </w:rPr>
            </w:pPr>
          </w:p>
        </w:tc>
        <w:tc>
          <w:tcPr>
            <w:tcW w:w="940" w:type="dxa"/>
            <w:vAlign w:val="bottom"/>
            <w:tcBorders>
              <w:bottom w:val="single" w:sz="8" w:color="auto"/>
            </w:tcBorders>
            <w:shd w:val="clear" w:color="auto" w:fill="CCECFF"/>
          </w:tcPr>
          <w:p>
            <w:pPr>
              <w:jc w:val="right"/>
              <w:ind w:right="694"/>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28,815</w:t>
            </w:r>
          </w:p>
        </w:tc>
        <w:tc>
          <w:tcPr>
            <w:tcW w:w="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No management or incentive fees are payable by PSLF.</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Distributions</w:t>
      </w:r>
    </w:p>
    <w:p>
      <w:pPr>
        <w:spacing w:after="0" w:line="131" w:lineRule="exact"/>
        <w:rPr>
          <w:sz w:val="20"/>
          <w:szCs w:val="20"/>
          <w:color w:val="auto"/>
        </w:rPr>
      </w:pPr>
    </w:p>
    <w:p>
      <w:pPr>
        <w:ind w:right="80" w:firstLine="420"/>
        <w:spacing w:after="0" w:line="268" w:lineRule="auto"/>
        <w:rPr>
          <w:sz w:val="20"/>
          <w:szCs w:val="20"/>
          <w:color w:val="auto"/>
        </w:rPr>
      </w:pPr>
      <w:r>
        <w:rPr>
          <w:rFonts w:ascii="Times New Roman" w:cs="Times New Roman" w:eastAsia="Times New Roman" w:hAnsi="Times New Roman"/>
          <w:sz w:val="13"/>
          <w:szCs w:val="13"/>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87" w:lineRule="exact"/>
        <w:rPr>
          <w:sz w:val="20"/>
          <w:szCs w:val="20"/>
          <w:color w:val="auto"/>
        </w:rPr>
      </w:pPr>
    </w:p>
    <w:p>
      <w:pPr>
        <w:ind w:right="100" w:firstLine="420"/>
        <w:spacing w:after="0" w:line="259" w:lineRule="auto"/>
        <w:rPr>
          <w:sz w:val="20"/>
          <w:szCs w:val="20"/>
          <w:color w:val="auto"/>
        </w:rPr>
      </w:pPr>
      <w:r>
        <w:rPr>
          <w:rFonts w:ascii="Times New Roman" w:cs="Times New Roman" w:eastAsia="Times New Roman" w:hAnsi="Times New Roman"/>
          <w:sz w:val="13"/>
          <w:szCs w:val="13"/>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an amount at least equal to the Excise Tax Avoidance Requirement. In addition, although we may distribute realized net capital gains (i.e., net long -term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94"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During the years ended September 30, 2024 and 2023, we declared distributions of $0.88 per share and $0.76 per share, respectively, for total distributions of $57.4 million and $49.6 million. We monitor available net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We intend to make monthly distributions to our stockholders. Our monthly distributions, if any, are determined by our board of directors.</w:t>
      </w:r>
    </w:p>
    <w:p>
      <w:pPr>
        <w:spacing w:after="0" w:line="127" w:lineRule="exact"/>
        <w:rPr>
          <w:sz w:val="20"/>
          <w:szCs w:val="20"/>
          <w:color w:val="auto"/>
        </w:rPr>
      </w:pPr>
    </w:p>
    <w:p>
      <w:pPr>
        <w:ind w:right="460" w:firstLine="420"/>
        <w:spacing w:after="0" w:line="286" w:lineRule="auto"/>
        <w:rPr>
          <w:sz w:val="20"/>
          <w:szCs w:val="20"/>
          <w:color w:val="auto"/>
        </w:rPr>
      </w:pPr>
      <w:r>
        <w:rPr>
          <w:rFonts w:ascii="Times New Roman" w:cs="Times New Roman" w:eastAsia="Times New Roman" w:hAnsi="Times New Roman"/>
          <w:sz w:val="13"/>
          <w:szCs w:val="13"/>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4" w:right="680" w:bottom="1440" w:gutter="0" w:footer="0" w:header="0"/>
          <w:type w:val="continuous"/>
        </w:sectPr>
      </w:pPr>
    </w:p>
    <w:bookmarkStart w:id="58" w:name="page59"/>
    <w:bookmarkEnd w:id="58"/>
    <w:p>
      <w:pPr>
        <w:ind w:left="80" w:right="80" w:firstLine="420"/>
        <w:spacing w:after="0" w:line="262" w:lineRule="auto"/>
        <w:rPr>
          <w:sz w:val="20"/>
          <w:szCs w:val="20"/>
          <w:color w:val="auto"/>
        </w:rPr>
      </w:pPr>
      <w:r>
        <w:rPr>
          <w:rFonts w:ascii="Times New Roman" w:cs="Times New Roman" w:eastAsia="Times New Roman" w:hAnsi="Times New Roman"/>
          <w:sz w:val="13"/>
          <w:szCs w:val="13"/>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i w:val="1"/>
          <w:iCs w:val="1"/>
          <w:color w:val="auto"/>
        </w:rPr>
        <w:t>Recent Accounting Pronouncements</w:t>
      </w:r>
    </w:p>
    <w:p>
      <w:pPr>
        <w:spacing w:after="0" w:line="131" w:lineRule="exact"/>
        <w:rPr>
          <w:sz w:val="20"/>
          <w:szCs w:val="20"/>
          <w:color w:val="auto"/>
        </w:rPr>
      </w:pPr>
    </w:p>
    <w:p>
      <w:pPr>
        <w:ind w:left="80" w:right="100" w:firstLine="420"/>
        <w:spacing w:after="0" w:line="259" w:lineRule="auto"/>
        <w:rPr>
          <w:sz w:val="20"/>
          <w:szCs w:val="20"/>
          <w:color w:val="auto"/>
        </w:rPr>
      </w:pPr>
      <w:r>
        <w:rPr>
          <w:rFonts w:ascii="Times New Roman" w:cs="Times New Roman" w:eastAsia="Times New Roman" w:hAnsi="Times New Roman"/>
          <w:sz w:val="13"/>
          <w:szCs w:val="13"/>
          <w:color w:val="auto"/>
        </w:rPr>
        <w:t>In March 2020, the FASB issued Accounting Standards Update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FASB approved an (optional) two year extension to December 31, 2024, for transitioning away from LIBOR. The Company has adopted the ASU 2020-04, the effect of which was not material to the consolidated financial statements and the notes thereto.</w:t>
      </w:r>
    </w:p>
    <w:p>
      <w:pPr>
        <w:spacing w:after="0" w:line="130" w:lineRule="exact"/>
        <w:rPr>
          <w:sz w:val="20"/>
          <w:szCs w:val="20"/>
          <w:color w:val="auto"/>
        </w:rPr>
      </w:pPr>
    </w:p>
    <w:p>
      <w:pPr>
        <w:ind w:left="80" w:right="60" w:firstLine="420"/>
        <w:spacing w:after="0" w:line="259" w:lineRule="auto"/>
        <w:rPr>
          <w:sz w:val="20"/>
          <w:szCs w:val="20"/>
          <w:color w:val="auto"/>
        </w:rPr>
      </w:pPr>
      <w:r>
        <w:rPr>
          <w:rFonts w:ascii="Times New Roman" w:cs="Times New Roman" w:eastAsia="Times New Roman" w:hAnsi="Times New Roman"/>
          <w:sz w:val="13"/>
          <w:szCs w:val="13"/>
          <w:color w:val="auto"/>
        </w:rPr>
        <w:t>In March 2022, the FASB issued ASU 2022-02, “Financial Instruments - Credit Losses (Topic 326)”, which is intended to address issues identified during the post-implementation review of ASU 2016-13, “Financial Instruments - Credit Losses (Topic 326): Measurement of Credit Losses on Financial Instruments”. The amendment, among other things, eliminates the accounting guidance for troubled debt restructurings by creditors in Subtopic 310 -40, “Receivables - Troubled Debt Restructurings by Creditors”, while enhancing disclosure requirements for certain loan refinancings and restructurings by creditors when a borrower is experiencing financial difficulty. The new guidance is effective for interim and annual periods beginning after December 15, 2022. The Company has adopted the new accounting standard implementing appropriate controls and procedures, the effect of which was not material to the consolidated financial statements and the notes thereto.</w:t>
      </w:r>
    </w:p>
    <w:p>
      <w:pPr>
        <w:spacing w:after="0" w:line="130" w:lineRule="exact"/>
        <w:rPr>
          <w:sz w:val="20"/>
          <w:szCs w:val="20"/>
          <w:color w:val="auto"/>
        </w:rPr>
      </w:pPr>
    </w:p>
    <w:p>
      <w:pPr>
        <w:ind w:left="80" w:right="100" w:firstLine="420"/>
        <w:spacing w:after="0" w:line="257" w:lineRule="auto"/>
        <w:rPr>
          <w:sz w:val="20"/>
          <w:szCs w:val="20"/>
          <w:color w:val="auto"/>
        </w:rPr>
      </w:pPr>
      <w:r>
        <w:rPr>
          <w:rFonts w:ascii="Times New Roman" w:cs="Times New Roman" w:eastAsia="Times New Roman" w:hAnsi="Times New Roman"/>
          <w:sz w:val="13"/>
          <w:szCs w:val="13"/>
          <w:color w:val="auto"/>
        </w:rPr>
        <w:t>In June 2022, the FASB issued Accounting Standards Update No. 2022-03, or ASU, 2022-03, Fair Value Measurement (Topic 820): Fair Value Measurement of Equity Securities Subject to Contractual Sale Restrictions, or ASU 2022-03,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32" w:lineRule="exact"/>
        <w:rPr>
          <w:sz w:val="20"/>
          <w:szCs w:val="20"/>
          <w:color w:val="auto"/>
        </w:rPr>
      </w:pPr>
    </w:p>
    <w:p>
      <w:pPr>
        <w:ind w:left="80" w:right="180" w:firstLine="696"/>
        <w:spacing w:after="0" w:line="268" w:lineRule="auto"/>
        <w:rPr>
          <w:sz w:val="20"/>
          <w:szCs w:val="20"/>
          <w:color w:val="auto"/>
        </w:rPr>
      </w:pPr>
      <w:r>
        <w:rPr>
          <w:rFonts w:ascii="Times New Roman" w:cs="Times New Roman" w:eastAsia="Times New Roman" w:hAnsi="Times New Roman"/>
          <w:sz w:val="13"/>
          <w:szCs w:val="13"/>
          <w:color w:val="auto"/>
        </w:rPr>
        <w:t>In December 2023, the FASB issued ASU 2023 - 09 "Improvements to Income Tax Disclosures" ("ASU 2023 - 09"). ASU 2023 - 09 intends to improve the transparency of income tax disclosures. ASU 2023 - 09 is effective for fiscal years beginning after December 15, 2024 and is to be adopted on a prospective basis with the option to apply retrospectively. We are currently assessing the impact of this guidance, however, we do not expect a material impact to our financial statements.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7A. Quantitative and Qualitative Disclosures About Market Risk</w:t>
      </w:r>
    </w:p>
    <w:p>
      <w:pPr>
        <w:spacing w:after="0" w:line="129" w:lineRule="exact"/>
        <w:rPr>
          <w:sz w:val="20"/>
          <w:szCs w:val="20"/>
          <w:color w:val="auto"/>
        </w:rPr>
      </w:pPr>
    </w:p>
    <w:p>
      <w:pPr>
        <w:ind w:left="80" w:firstLine="420"/>
        <w:spacing w:after="0" w:line="259" w:lineRule="auto"/>
        <w:rPr>
          <w:sz w:val="20"/>
          <w:szCs w:val="20"/>
          <w:color w:val="auto"/>
        </w:rPr>
      </w:pPr>
      <w:r>
        <w:rPr>
          <w:rFonts w:ascii="Times New Roman" w:cs="Times New Roman" w:eastAsia="Times New Roman" w:hAnsi="Times New Roman"/>
          <w:sz w:val="13"/>
          <w:szCs w:val="13"/>
          <w:color w:val="auto"/>
        </w:rPr>
        <w:t>We are subject to financial market risks, including changes in interest rates. As of September 30, 2024, our debt portfolio consisted of 94% variable- rate investments and 6% fixed -rate investments. The variable-rate loans are usually based on a SOFR (or an alternative risk -free floating interest rate index)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94" w:lineRule="exact"/>
        <w:rPr>
          <w:sz w:val="20"/>
          <w:szCs w:val="20"/>
          <w:color w:val="auto"/>
        </w:rPr>
      </w:pPr>
    </w:p>
    <w:p>
      <w:pPr>
        <w:ind w:left="80" w:right="340" w:firstLine="420"/>
        <w:spacing w:after="0" w:line="286" w:lineRule="auto"/>
        <w:rPr>
          <w:sz w:val="20"/>
          <w:szCs w:val="20"/>
          <w:color w:val="auto"/>
        </w:rPr>
      </w:pPr>
      <w:r>
        <w:rPr>
          <w:rFonts w:ascii="Times New Roman" w:cs="Times New Roman" w:eastAsia="Times New Roman" w:hAnsi="Times New Roman"/>
          <w:sz w:val="13"/>
          <w:szCs w:val="13"/>
          <w:color w:val="auto"/>
        </w:rPr>
        <w:t>Assuming that the most recent Consolidated Statements of Assets and Liabilities was to remain constant, and no actions were taken to alter the interest rate sensitivity, the following table shows the annualized impact of hypothetical base rate changes in interest rates:</w:t>
      </w:r>
    </w:p>
    <w:p>
      <w:pPr>
        <w:spacing w:after="0" w:line="134" w:lineRule="exact"/>
        <w:rPr>
          <w:sz w:val="20"/>
          <w:szCs w:val="20"/>
          <w:color w:val="auto"/>
        </w:rPr>
      </w:pPr>
    </w:p>
    <w:tbl>
      <w:tblPr>
        <w:tblLayout w:type="fixed"/>
        <w:tblInd w:w="200" w:type="dxa"/>
        <w:tblCellMar>
          <w:top w:w="0" w:type="dxa"/>
          <w:left w:w="0" w:type="dxa"/>
          <w:bottom w:w="0" w:type="dxa"/>
          <w:right w:w="0" w:type="dxa"/>
        </w:tblCellMar>
      </w:tblPr>
      <w:tr>
        <w:trPr>
          <w:trHeight w:val="156"/>
        </w:trPr>
        <w:tc>
          <w:tcPr>
            <w:tcW w:w="2940" w:type="dxa"/>
            <w:vAlign w:val="bottom"/>
          </w:tcPr>
          <w:p>
            <w:pPr>
              <w:spacing w:after="0"/>
              <w:rPr>
                <w:sz w:val="13"/>
                <w:szCs w:val="13"/>
                <w:color w:val="auto"/>
              </w:rPr>
            </w:pPr>
          </w:p>
        </w:tc>
        <w:tc>
          <w:tcPr>
            <w:tcW w:w="3180" w:type="dxa"/>
            <w:vAlign w:val="bottom"/>
          </w:tcPr>
          <w:p>
            <w:pPr>
              <w:jc w:val="center"/>
              <w:ind w:left="1114"/>
              <w:spacing w:after="0"/>
              <w:rPr>
                <w:sz w:val="20"/>
                <w:szCs w:val="20"/>
                <w:color w:val="auto"/>
              </w:rPr>
            </w:pPr>
            <w:r>
              <w:rPr>
                <w:rFonts w:ascii="Times New Roman" w:cs="Times New Roman" w:eastAsia="Times New Roman" w:hAnsi="Times New Roman"/>
                <w:sz w:val="13"/>
                <w:szCs w:val="13"/>
                <w:b w:val="1"/>
                <w:bCs w:val="1"/>
                <w:color w:val="auto"/>
              </w:rPr>
              <w:t>Change in Interest Income,</w:t>
            </w: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60" w:type="dxa"/>
            <w:vAlign w:val="bottom"/>
          </w:tcPr>
          <w:p>
            <w:pPr>
              <w:jc w:val="center"/>
              <w:ind w:right="494"/>
              <w:spacing w:after="0"/>
              <w:rPr>
                <w:sz w:val="20"/>
                <w:szCs w:val="20"/>
                <w:color w:val="auto"/>
              </w:rPr>
            </w:pPr>
            <w:r>
              <w:rPr>
                <w:rFonts w:ascii="Times New Roman" w:cs="Times New Roman" w:eastAsia="Times New Roman" w:hAnsi="Times New Roman"/>
                <w:sz w:val="13"/>
                <w:szCs w:val="13"/>
                <w:b w:val="1"/>
                <w:bCs w:val="1"/>
                <w:color w:val="auto"/>
              </w:rPr>
              <w:t>Change in Interest Income,</w:t>
            </w:r>
          </w:p>
        </w:tc>
      </w:tr>
      <w:tr>
        <w:trPr>
          <w:trHeight w:val="156"/>
        </w:trPr>
        <w:tc>
          <w:tcPr>
            <w:tcW w:w="2940" w:type="dxa"/>
            <w:vAlign w:val="bottom"/>
          </w:tcPr>
          <w:p>
            <w:pPr>
              <w:spacing w:after="0"/>
              <w:rPr>
                <w:sz w:val="13"/>
                <w:szCs w:val="13"/>
                <w:color w:val="auto"/>
              </w:rPr>
            </w:pPr>
          </w:p>
        </w:tc>
        <w:tc>
          <w:tcPr>
            <w:tcW w:w="3180" w:type="dxa"/>
            <w:vAlign w:val="bottom"/>
          </w:tcPr>
          <w:p>
            <w:pPr>
              <w:jc w:val="center"/>
              <w:ind w:left="1134"/>
              <w:spacing w:after="0"/>
              <w:rPr>
                <w:sz w:val="20"/>
                <w:szCs w:val="20"/>
                <w:color w:val="auto"/>
              </w:rPr>
            </w:pPr>
            <w:r>
              <w:rPr>
                <w:rFonts w:ascii="Times New Roman" w:cs="Times New Roman" w:eastAsia="Times New Roman" w:hAnsi="Times New Roman"/>
                <w:sz w:val="13"/>
                <w:szCs w:val="13"/>
                <w:b w:val="1"/>
                <w:bCs w:val="1"/>
                <w:color w:val="auto"/>
              </w:rPr>
              <w:t>Net of Interest Expense</w:t>
            </w: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60" w:type="dxa"/>
            <w:vAlign w:val="bottom"/>
          </w:tcPr>
          <w:p>
            <w:pPr>
              <w:jc w:val="center"/>
              <w:ind w:right="494"/>
              <w:spacing w:after="0"/>
              <w:rPr>
                <w:sz w:val="20"/>
                <w:szCs w:val="20"/>
                <w:color w:val="auto"/>
              </w:rPr>
            </w:pPr>
            <w:r>
              <w:rPr>
                <w:rFonts w:ascii="Times New Roman" w:cs="Times New Roman" w:eastAsia="Times New Roman" w:hAnsi="Times New Roman"/>
                <w:sz w:val="13"/>
                <w:szCs w:val="13"/>
                <w:b w:val="1"/>
                <w:bCs w:val="1"/>
                <w:color w:val="auto"/>
              </w:rPr>
              <w:t>Net of Interest</w:t>
            </w:r>
          </w:p>
        </w:tc>
      </w:tr>
      <w:tr>
        <w:trPr>
          <w:trHeight w:val="170"/>
        </w:trPr>
        <w:tc>
          <w:tcPr>
            <w:tcW w:w="2940" w:type="dxa"/>
            <w:vAlign w:val="bottom"/>
          </w:tcPr>
          <w:p>
            <w:pPr>
              <w:jc w:val="center"/>
              <w:ind w:left="294"/>
              <w:spacing w:after="0"/>
              <w:rPr>
                <w:sz w:val="20"/>
                <w:szCs w:val="20"/>
                <w:color w:val="auto"/>
              </w:rPr>
            </w:pPr>
            <w:r>
              <w:rPr>
                <w:rFonts w:ascii="Times New Roman" w:cs="Times New Roman" w:eastAsia="Times New Roman" w:hAnsi="Times New Roman"/>
                <w:sz w:val="13"/>
                <w:szCs w:val="13"/>
                <w:b w:val="1"/>
                <w:bCs w:val="1"/>
                <w:color w:val="auto"/>
              </w:rPr>
              <w:t>Change in Interest Rates</w:t>
            </w:r>
          </w:p>
        </w:tc>
        <w:tc>
          <w:tcPr>
            <w:tcW w:w="3180" w:type="dxa"/>
            <w:vAlign w:val="bottom"/>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60" w:type="dxa"/>
            <w:vAlign w:val="bottom"/>
          </w:tcPr>
          <w:p>
            <w:pPr>
              <w:jc w:val="center"/>
              <w:ind w:right="474"/>
              <w:spacing w:after="0"/>
              <w:rPr>
                <w:sz w:val="20"/>
                <w:szCs w:val="20"/>
                <w:color w:val="auto"/>
              </w:rPr>
            </w:pPr>
            <w:r>
              <w:rPr>
                <w:rFonts w:ascii="Times New Roman" w:cs="Times New Roman" w:eastAsia="Times New Roman" w:hAnsi="Times New Roman"/>
                <w:sz w:val="13"/>
                <w:szCs w:val="13"/>
                <w:b w:val="1"/>
                <w:bCs w:val="1"/>
                <w:color w:val="auto"/>
              </w:rPr>
              <w:t>Expense Per Share</w:t>
            </w:r>
          </w:p>
        </w:tc>
      </w:tr>
      <w:tr>
        <w:trPr>
          <w:trHeight w:val="156"/>
        </w:trPr>
        <w:tc>
          <w:tcPr>
            <w:tcW w:w="2940" w:type="dxa"/>
            <w:vAlign w:val="bottom"/>
            <w:shd w:val="clear" w:color="auto" w:fill="CCECFF"/>
          </w:tcPr>
          <w:p>
            <w:pPr>
              <w:jc w:val="center"/>
              <w:ind w:left="294"/>
              <w:spacing w:after="0"/>
              <w:rPr>
                <w:sz w:val="20"/>
                <w:szCs w:val="20"/>
                <w:color w:val="auto"/>
              </w:rPr>
            </w:pPr>
            <w:r>
              <w:rPr>
                <w:rFonts w:ascii="Times New Roman" w:cs="Times New Roman" w:eastAsia="Times New Roman" w:hAnsi="Times New Roman"/>
                <w:sz w:val="13"/>
                <w:szCs w:val="13"/>
                <w:color w:val="auto"/>
              </w:rPr>
              <w:t>Down 1%</w:t>
            </w:r>
          </w:p>
        </w:tc>
        <w:tc>
          <w:tcPr>
            <w:tcW w:w="3180" w:type="dxa"/>
            <w:vAlign w:val="bottom"/>
            <w:shd w:val="clear" w:color="auto" w:fill="CCECFF"/>
          </w:tcPr>
          <w:p>
            <w:pPr>
              <w:jc w:val="right"/>
              <w:ind w:right="2454"/>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(4,178 )</w:t>
            </w:r>
          </w:p>
        </w:tc>
        <w:tc>
          <w:tcPr>
            <w:tcW w:w="560" w:type="dxa"/>
            <w:vAlign w:val="bottom"/>
            <w:shd w:val="clear" w:color="auto" w:fill="CCECFF"/>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2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(0.06 )</w:t>
            </w:r>
          </w:p>
        </w:tc>
      </w:tr>
      <w:tr>
        <w:trPr>
          <w:trHeight w:val="156"/>
        </w:trPr>
        <w:tc>
          <w:tcPr>
            <w:tcW w:w="2940" w:type="dxa"/>
            <w:vAlign w:val="bottom"/>
          </w:tcPr>
          <w:p>
            <w:pPr>
              <w:jc w:val="center"/>
              <w:ind w:left="294"/>
              <w:spacing w:after="0"/>
              <w:rPr>
                <w:sz w:val="20"/>
                <w:szCs w:val="20"/>
                <w:color w:val="auto"/>
              </w:rPr>
            </w:pPr>
            <w:r>
              <w:rPr>
                <w:rFonts w:ascii="Times New Roman" w:cs="Times New Roman" w:eastAsia="Times New Roman" w:hAnsi="Times New Roman"/>
                <w:sz w:val="13"/>
                <w:szCs w:val="13"/>
                <w:color w:val="auto"/>
              </w:rPr>
              <w:t>Up 1%</w:t>
            </w:r>
          </w:p>
        </w:tc>
        <w:tc>
          <w:tcPr>
            <w:tcW w:w="3180" w:type="dxa"/>
            <w:vAlign w:val="bottom"/>
          </w:tcPr>
          <w:p>
            <w:pPr>
              <w:spacing w:after="0"/>
              <w:rPr>
                <w:sz w:val="13"/>
                <w:szCs w:val="13"/>
                <w:color w:val="auto"/>
              </w:rPr>
            </w:pP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4,178</w:t>
            </w:r>
          </w:p>
        </w:tc>
        <w:tc>
          <w:tcPr>
            <w:tcW w:w="560" w:type="dxa"/>
            <w:vAlign w:val="bottom"/>
          </w:tcPr>
          <w:p>
            <w:pPr>
              <w:spacing w:after="0"/>
              <w:rPr>
                <w:sz w:val="13"/>
                <w:szCs w:val="13"/>
                <w:color w:val="auto"/>
              </w:rPr>
            </w:pPr>
          </w:p>
        </w:tc>
        <w:tc>
          <w:tcPr>
            <w:tcW w:w="28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0.06</w:t>
            </w:r>
          </w:p>
        </w:tc>
      </w:tr>
      <w:tr>
        <w:trPr>
          <w:trHeight w:val="156"/>
        </w:trPr>
        <w:tc>
          <w:tcPr>
            <w:tcW w:w="2940" w:type="dxa"/>
            <w:vAlign w:val="bottom"/>
            <w:shd w:val="clear" w:color="auto" w:fill="CCECFF"/>
          </w:tcPr>
          <w:p>
            <w:pPr>
              <w:jc w:val="center"/>
              <w:ind w:left="294"/>
              <w:spacing w:after="0"/>
              <w:rPr>
                <w:sz w:val="20"/>
                <w:szCs w:val="20"/>
                <w:color w:val="auto"/>
              </w:rPr>
            </w:pPr>
            <w:r>
              <w:rPr>
                <w:rFonts w:ascii="Times New Roman" w:cs="Times New Roman" w:eastAsia="Times New Roman" w:hAnsi="Times New Roman"/>
                <w:sz w:val="13"/>
                <w:szCs w:val="13"/>
                <w:color w:val="auto"/>
              </w:rPr>
              <w:t>Up 2%</w:t>
            </w:r>
          </w:p>
        </w:tc>
        <w:tc>
          <w:tcPr>
            <w:tcW w:w="3180" w:type="dxa"/>
            <w:vAlign w:val="bottom"/>
            <w:shd w:val="clear" w:color="auto" w:fill="CCECFF"/>
          </w:tcPr>
          <w:p>
            <w:pPr>
              <w:spacing w:after="0"/>
              <w:rPr>
                <w:sz w:val="13"/>
                <w:szCs w:val="13"/>
                <w:color w:val="auto"/>
              </w:rPr>
            </w:pPr>
          </w:p>
        </w:tc>
        <w:tc>
          <w:tcPr>
            <w:tcW w:w="80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8,357</w:t>
            </w:r>
          </w:p>
        </w:tc>
        <w:tc>
          <w:tcPr>
            <w:tcW w:w="560" w:type="dxa"/>
            <w:vAlign w:val="bottom"/>
            <w:shd w:val="clear" w:color="auto" w:fill="CCECFF"/>
          </w:tcPr>
          <w:p>
            <w:pPr>
              <w:spacing w:after="0"/>
              <w:rPr>
                <w:sz w:val="13"/>
                <w:szCs w:val="13"/>
                <w:color w:val="auto"/>
              </w:rPr>
            </w:pPr>
          </w:p>
        </w:tc>
        <w:tc>
          <w:tcPr>
            <w:tcW w:w="286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0.13</w:t>
            </w:r>
          </w:p>
        </w:tc>
      </w:tr>
      <w:tr>
        <w:trPr>
          <w:trHeight w:val="156"/>
        </w:trPr>
        <w:tc>
          <w:tcPr>
            <w:tcW w:w="2940" w:type="dxa"/>
            <w:vAlign w:val="bottom"/>
          </w:tcPr>
          <w:p>
            <w:pPr>
              <w:jc w:val="center"/>
              <w:ind w:left="294"/>
              <w:spacing w:after="0"/>
              <w:rPr>
                <w:sz w:val="20"/>
                <w:szCs w:val="20"/>
                <w:color w:val="auto"/>
              </w:rPr>
            </w:pPr>
            <w:r>
              <w:rPr>
                <w:rFonts w:ascii="Times New Roman" w:cs="Times New Roman" w:eastAsia="Times New Roman" w:hAnsi="Times New Roman"/>
                <w:sz w:val="13"/>
                <w:szCs w:val="13"/>
                <w:color w:val="auto"/>
              </w:rPr>
              <w:t>Up 3%</w:t>
            </w:r>
          </w:p>
        </w:tc>
        <w:tc>
          <w:tcPr>
            <w:tcW w:w="3180" w:type="dxa"/>
            <w:vAlign w:val="bottom"/>
          </w:tcPr>
          <w:p>
            <w:pPr>
              <w:spacing w:after="0"/>
              <w:rPr>
                <w:sz w:val="13"/>
                <w:szCs w:val="13"/>
                <w:color w:val="auto"/>
              </w:rPr>
            </w:pPr>
          </w:p>
        </w:tc>
        <w:tc>
          <w:tcPr>
            <w:tcW w:w="8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12,535</w:t>
            </w:r>
          </w:p>
        </w:tc>
        <w:tc>
          <w:tcPr>
            <w:tcW w:w="560" w:type="dxa"/>
            <w:vAlign w:val="bottom"/>
          </w:tcPr>
          <w:p>
            <w:pPr>
              <w:spacing w:after="0"/>
              <w:rPr>
                <w:sz w:val="13"/>
                <w:szCs w:val="13"/>
                <w:color w:val="auto"/>
              </w:rPr>
            </w:pPr>
          </w:p>
        </w:tc>
        <w:tc>
          <w:tcPr>
            <w:tcW w:w="28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0.19</w:t>
            </w:r>
          </w:p>
        </w:tc>
      </w:tr>
      <w:tr>
        <w:trPr>
          <w:trHeight w:val="156"/>
        </w:trPr>
        <w:tc>
          <w:tcPr>
            <w:tcW w:w="2940" w:type="dxa"/>
            <w:vAlign w:val="bottom"/>
            <w:shd w:val="clear" w:color="auto" w:fill="CCECFF"/>
          </w:tcPr>
          <w:p>
            <w:pPr>
              <w:jc w:val="center"/>
              <w:ind w:left="294"/>
              <w:spacing w:after="0"/>
              <w:rPr>
                <w:sz w:val="20"/>
                <w:szCs w:val="20"/>
                <w:color w:val="auto"/>
              </w:rPr>
            </w:pPr>
            <w:r>
              <w:rPr>
                <w:rFonts w:ascii="Times New Roman" w:cs="Times New Roman" w:eastAsia="Times New Roman" w:hAnsi="Times New Roman"/>
                <w:sz w:val="13"/>
                <w:szCs w:val="13"/>
                <w:color w:val="auto"/>
              </w:rPr>
              <w:t>Up 4%</w:t>
            </w:r>
          </w:p>
        </w:tc>
        <w:tc>
          <w:tcPr>
            <w:tcW w:w="3180" w:type="dxa"/>
            <w:vAlign w:val="bottom"/>
            <w:shd w:val="clear" w:color="auto" w:fill="CCECFF"/>
          </w:tcPr>
          <w:p>
            <w:pPr>
              <w:spacing w:after="0"/>
              <w:rPr>
                <w:sz w:val="13"/>
                <w:szCs w:val="13"/>
                <w:color w:val="auto"/>
              </w:rPr>
            </w:pPr>
          </w:p>
        </w:tc>
        <w:tc>
          <w:tcPr>
            <w:tcW w:w="80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16,728</w:t>
            </w:r>
          </w:p>
        </w:tc>
        <w:tc>
          <w:tcPr>
            <w:tcW w:w="560" w:type="dxa"/>
            <w:vAlign w:val="bottom"/>
            <w:shd w:val="clear" w:color="auto" w:fill="CCECFF"/>
          </w:tcPr>
          <w:p>
            <w:pPr>
              <w:spacing w:after="0"/>
              <w:rPr>
                <w:sz w:val="13"/>
                <w:szCs w:val="13"/>
                <w:color w:val="auto"/>
              </w:rPr>
            </w:pPr>
          </w:p>
        </w:tc>
        <w:tc>
          <w:tcPr>
            <w:tcW w:w="286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0.26</w:t>
            </w:r>
          </w:p>
        </w:tc>
      </w:tr>
    </w:tbl>
    <w:p>
      <w:pPr>
        <w:spacing w:after="0" w:line="144" w:lineRule="exact"/>
        <w:rPr>
          <w:sz w:val="20"/>
          <w:szCs w:val="20"/>
          <w:color w:val="auto"/>
        </w:rPr>
      </w:pPr>
    </w:p>
    <w:p>
      <w:pPr>
        <w:ind w:left="80" w:right="280" w:firstLine="420"/>
        <w:spacing w:after="0" w:line="268" w:lineRule="auto"/>
        <w:rPr>
          <w:sz w:val="20"/>
          <w:szCs w:val="20"/>
          <w:color w:val="auto"/>
        </w:rPr>
      </w:pPr>
      <w:r>
        <w:rPr>
          <w:rFonts w:ascii="Times New Roman" w:cs="Times New Roman" w:eastAsia="Times New Roman" w:hAnsi="Times New Roman"/>
          <w:sz w:val="13"/>
          <w:szCs w:val="13"/>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87" w:lineRule="exact"/>
        <w:rPr>
          <w:sz w:val="20"/>
          <w:szCs w:val="20"/>
          <w:color w:val="auto"/>
        </w:rPr>
      </w:pPr>
    </w:p>
    <w:p>
      <w:pPr>
        <w:ind w:left="80" w:right="40" w:firstLine="420"/>
        <w:spacing w:after="0" w:line="268" w:lineRule="auto"/>
        <w:rPr>
          <w:sz w:val="20"/>
          <w:szCs w:val="20"/>
          <w:color w:val="auto"/>
        </w:rPr>
      </w:pPr>
      <w:r>
        <w:rPr>
          <w:rFonts w:ascii="Times New Roman" w:cs="Times New Roman" w:eastAsia="Times New Roman" w:hAnsi="Times New Roman"/>
          <w:sz w:val="13"/>
          <w:szCs w:val="13"/>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87" w:lineRule="exact"/>
        <w:rPr>
          <w:sz w:val="20"/>
          <w:szCs w:val="20"/>
          <w:color w:val="auto"/>
        </w:rPr>
      </w:pPr>
    </w:p>
    <w:p>
      <w:pPr>
        <w:jc w:val="both"/>
        <w:ind w:left="80" w:right="60" w:firstLine="420"/>
        <w:spacing w:after="0" w:line="262" w:lineRule="auto"/>
        <w:rPr>
          <w:sz w:val="20"/>
          <w:szCs w:val="20"/>
          <w:color w:val="auto"/>
        </w:rPr>
      </w:pPr>
      <w:r>
        <w:rPr>
          <w:rFonts w:ascii="Times New Roman" w:cs="Times New Roman" w:eastAsia="Times New Roman" w:hAnsi="Times New Roman"/>
          <w:sz w:val="13"/>
          <w:szCs w:val="13"/>
          <w:color w:val="auto"/>
        </w:rPr>
        <w:t>We may hedge against interest rate and foreign currency fluctuations by using standard hedging instruments such as futures, options and forward contracts or our Truist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425450</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60"/>
          </w:cols>
          <w:pgMar w:left="580" w:top="1278" w:right="660"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74"/>
        </w:trPr>
        <w:tc>
          <w:tcPr>
            <w:tcW w:w="8000" w:type="dxa"/>
            <w:vAlign w:val="bottom"/>
            <w:gridSpan w:val="11"/>
          </w:tcPr>
          <w:p>
            <w:pPr>
              <w:spacing w:after="0"/>
              <w:rPr>
                <w:sz w:val="20"/>
                <w:szCs w:val="20"/>
                <w:color w:val="auto"/>
              </w:rPr>
            </w:pPr>
            <w:r>
              <w:rPr>
                <w:rFonts w:ascii="Times New Roman" w:cs="Times New Roman" w:eastAsia="Times New Roman" w:hAnsi="Times New Roman"/>
                <w:sz w:val="13"/>
                <w:szCs w:val="13"/>
                <w:b w:val="1"/>
                <w:bCs w:val="1"/>
                <w:color w:val="auto"/>
              </w:rPr>
              <w:t>Item 8. Consolidated Financial Statements and Supplementary Data</w:t>
            </w:r>
          </w:p>
        </w:tc>
        <w:tc>
          <w:tcPr>
            <w:tcW w:w="2640" w:type="dxa"/>
            <w:vAlign w:val="bottom"/>
          </w:tcPr>
          <w:p>
            <w:pPr>
              <w:spacing w:after="0"/>
              <w:rPr>
                <w:sz w:val="15"/>
                <w:szCs w:val="15"/>
                <w:color w:val="auto"/>
              </w:rPr>
            </w:pPr>
          </w:p>
        </w:tc>
      </w:tr>
      <w:tr>
        <w:trPr>
          <w:trHeight w:val="320"/>
        </w:trPr>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64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144"/>
        </w:trPr>
        <w:tc>
          <w:tcPr>
            <w:tcW w:w="100" w:type="dxa"/>
            <w:vAlign w:val="bottom"/>
          </w:tcPr>
          <w:p>
            <w:pPr>
              <w:spacing w:after="0"/>
              <w:rPr>
                <w:sz w:val="12"/>
                <w:szCs w:val="12"/>
                <w:color w:val="auto"/>
              </w:rPr>
            </w:pPr>
          </w:p>
        </w:tc>
        <w:tc>
          <w:tcPr>
            <w:tcW w:w="3580" w:type="dxa"/>
            <w:vAlign w:val="bottom"/>
            <w:tcBorders>
              <w:bottom w:val="single" w:sz="8" w:color="0000FF"/>
            </w:tcBorders>
            <w:gridSpan w:val="2"/>
          </w:tcPr>
          <w:p>
            <w:pPr>
              <w:spacing w:after="0" w:line="144" w:lineRule="exact"/>
              <w:rPr>
                <w:rFonts w:ascii="Times New Roman" w:cs="Times New Roman" w:eastAsia="Times New Roman" w:hAnsi="Times New Roman"/>
                <w:sz w:val="13"/>
                <w:szCs w:val="13"/>
                <w:color w:val="0000FF"/>
              </w:rPr>
            </w:pPr>
            <w:hyperlink w:anchor="page61">
              <w:r>
                <w:rPr>
                  <w:rFonts w:ascii="Times New Roman" w:cs="Times New Roman" w:eastAsia="Times New Roman" w:hAnsi="Times New Roman"/>
                  <w:sz w:val="13"/>
                  <w:szCs w:val="13"/>
                  <w:color w:val="0000FF"/>
                </w:rPr>
                <w:t>Management’s Report on Internal Control over Financial Reporting</w:t>
              </w:r>
            </w:hyperlink>
          </w:p>
        </w:tc>
        <w:tc>
          <w:tcPr>
            <w:tcW w:w="4320" w:type="dxa"/>
            <w:vAlign w:val="bottom"/>
            <w:gridSpan w:val="8"/>
          </w:tcPr>
          <w:p>
            <w:pPr>
              <w:spacing w:after="0"/>
              <w:rPr>
                <w:sz w:val="12"/>
                <w:szCs w:val="12"/>
                <w:color w:val="auto"/>
              </w:rPr>
            </w:pPr>
          </w:p>
        </w:tc>
        <w:tc>
          <w:tcPr>
            <w:tcW w:w="26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61</w:t>
            </w:r>
          </w:p>
        </w:tc>
      </w:tr>
      <w:tr>
        <w:trPr>
          <w:trHeight w:val="292"/>
        </w:trPr>
        <w:tc>
          <w:tcPr>
            <w:tcW w:w="100" w:type="dxa"/>
            <w:vAlign w:val="bottom"/>
          </w:tcPr>
          <w:p>
            <w:pPr>
              <w:spacing w:after="0"/>
              <w:rPr>
                <w:sz w:val="24"/>
                <w:szCs w:val="24"/>
                <w:color w:val="auto"/>
              </w:rPr>
            </w:pPr>
          </w:p>
        </w:tc>
        <w:tc>
          <w:tcPr>
            <w:tcW w:w="7900" w:type="dxa"/>
            <w:vAlign w:val="bottom"/>
            <w:gridSpan w:val="10"/>
          </w:tcPr>
          <w:p>
            <w:pPr>
              <w:spacing w:after="0"/>
              <w:rPr>
                <w:rFonts w:ascii="Times New Roman" w:cs="Times New Roman" w:eastAsia="Times New Roman" w:hAnsi="Times New Roman"/>
                <w:sz w:val="13"/>
                <w:szCs w:val="13"/>
                <w:color w:val="0000FF"/>
              </w:rPr>
            </w:pPr>
            <w:hyperlink w:anchor="page62">
              <w:r>
                <w:rPr>
                  <w:rFonts w:ascii="Times New Roman" w:cs="Times New Roman" w:eastAsia="Times New Roman" w:hAnsi="Times New Roman"/>
                  <w:sz w:val="13"/>
                  <w:szCs w:val="13"/>
                  <w:color w:val="0000FF"/>
                </w:rPr>
                <w:t>Report of Independent Registered Public Accounting Firm on Internal Control over Financial Reporting</w:t>
              </w:r>
            </w:hyperlink>
          </w:p>
        </w:tc>
        <w:tc>
          <w:tcPr>
            <w:tcW w:w="2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292"/>
        </w:trPr>
        <w:tc>
          <w:tcPr>
            <w:tcW w:w="100" w:type="dxa"/>
            <w:vAlign w:val="bottom"/>
          </w:tcPr>
          <w:p>
            <w:pPr>
              <w:spacing w:after="0"/>
              <w:rPr>
                <w:sz w:val="24"/>
                <w:szCs w:val="24"/>
                <w:color w:val="auto"/>
              </w:rPr>
            </w:pPr>
          </w:p>
        </w:tc>
        <w:tc>
          <w:tcPr>
            <w:tcW w:w="5480" w:type="dxa"/>
            <w:vAlign w:val="bottom"/>
            <w:tcBorders>
              <w:top w:val="single" w:sz="8" w:color="0000FF"/>
            </w:tcBorders>
            <w:gridSpan w:val="8"/>
          </w:tcPr>
          <w:p>
            <w:pPr>
              <w:spacing w:after="0"/>
              <w:rPr>
                <w:rFonts w:ascii="Times New Roman" w:cs="Times New Roman" w:eastAsia="Times New Roman" w:hAnsi="Times New Roman"/>
                <w:sz w:val="13"/>
                <w:szCs w:val="13"/>
                <w:color w:val="0000FF"/>
              </w:rPr>
            </w:pPr>
            <w:hyperlink w:anchor="page63">
              <w:r>
                <w:rPr>
                  <w:rFonts w:ascii="Times New Roman" w:cs="Times New Roman" w:eastAsia="Times New Roman" w:hAnsi="Times New Roman"/>
                  <w:sz w:val="13"/>
                  <w:szCs w:val="13"/>
                  <w:color w:val="0000FF"/>
                </w:rPr>
                <w:t>Report of Independent Registered Public Accounting Firm (PCAOB ID - 49)</w:t>
              </w:r>
            </w:hyperlink>
          </w:p>
        </w:tc>
        <w:tc>
          <w:tcPr>
            <w:tcW w:w="2420" w:type="dxa"/>
            <w:vAlign w:val="bottom"/>
            <w:gridSpan w:val="2"/>
          </w:tcPr>
          <w:p>
            <w:pPr>
              <w:spacing w:after="0"/>
              <w:rPr>
                <w:sz w:val="24"/>
                <w:szCs w:val="24"/>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20"/>
        </w:trPr>
        <w:tc>
          <w:tcPr>
            <w:tcW w:w="100" w:type="dxa"/>
            <w:vAlign w:val="bottom"/>
            <w:tcBorders>
              <w:right w:val="single" w:sz="8" w:color="0000FF"/>
            </w:tcBorders>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92"/>
        </w:trPr>
        <w:tc>
          <w:tcPr>
            <w:tcW w:w="100" w:type="dxa"/>
            <w:vAlign w:val="bottom"/>
          </w:tcPr>
          <w:p>
            <w:pPr>
              <w:spacing w:after="0"/>
              <w:rPr>
                <w:sz w:val="24"/>
                <w:szCs w:val="24"/>
                <w:color w:val="auto"/>
              </w:rPr>
            </w:pPr>
          </w:p>
        </w:tc>
        <w:tc>
          <w:tcPr>
            <w:tcW w:w="4520" w:type="dxa"/>
            <w:vAlign w:val="bottom"/>
            <w:tcBorders>
              <w:bottom w:val="single" w:sz="8" w:color="0000FF"/>
            </w:tcBorders>
            <w:gridSpan w:val="5"/>
          </w:tcPr>
          <w:p>
            <w:pPr>
              <w:spacing w:after="0"/>
              <w:rPr>
                <w:rFonts w:ascii="Times New Roman" w:cs="Times New Roman" w:eastAsia="Times New Roman" w:hAnsi="Times New Roman"/>
                <w:sz w:val="13"/>
                <w:szCs w:val="13"/>
                <w:color w:val="0000FF"/>
              </w:rPr>
            </w:pPr>
            <w:hyperlink w:anchor="page65">
              <w:r>
                <w:rPr>
                  <w:rFonts w:ascii="Times New Roman" w:cs="Times New Roman" w:eastAsia="Times New Roman" w:hAnsi="Times New Roman"/>
                  <w:sz w:val="13"/>
                  <w:szCs w:val="13"/>
                  <w:color w:val="0000FF"/>
                </w:rPr>
                <w:t>Consolidated Statements of Assets and Liabilities as of September 30, 2024 and 2023</w:t>
              </w:r>
            </w:hyperlink>
          </w:p>
        </w:tc>
        <w:tc>
          <w:tcPr>
            <w:tcW w:w="3380" w:type="dxa"/>
            <w:vAlign w:val="bottom"/>
            <w:gridSpan w:val="5"/>
          </w:tcPr>
          <w:p>
            <w:pPr>
              <w:spacing w:after="0"/>
              <w:rPr>
                <w:sz w:val="24"/>
                <w:szCs w:val="24"/>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r>
      <w:tr>
        <w:trPr>
          <w:trHeight w:val="292"/>
        </w:trPr>
        <w:tc>
          <w:tcPr>
            <w:tcW w:w="100" w:type="dxa"/>
            <w:vAlign w:val="bottom"/>
          </w:tcPr>
          <w:p>
            <w:pPr>
              <w:spacing w:after="0"/>
              <w:rPr>
                <w:sz w:val="24"/>
                <w:szCs w:val="24"/>
                <w:color w:val="auto"/>
              </w:rPr>
            </w:pPr>
          </w:p>
        </w:tc>
        <w:tc>
          <w:tcPr>
            <w:tcW w:w="7900" w:type="dxa"/>
            <w:vAlign w:val="bottom"/>
            <w:gridSpan w:val="10"/>
          </w:tcPr>
          <w:p>
            <w:pPr>
              <w:spacing w:after="0"/>
              <w:rPr>
                <w:rFonts w:ascii="Times New Roman" w:cs="Times New Roman" w:eastAsia="Times New Roman" w:hAnsi="Times New Roman"/>
                <w:sz w:val="13"/>
                <w:szCs w:val="13"/>
                <w:color w:val="0000FF"/>
              </w:rPr>
            </w:pPr>
            <w:hyperlink w:anchor="page66">
              <w:r>
                <w:rPr>
                  <w:rFonts w:ascii="Times New Roman" w:cs="Times New Roman" w:eastAsia="Times New Roman" w:hAnsi="Times New Roman"/>
                  <w:sz w:val="13"/>
                  <w:szCs w:val="13"/>
                  <w:color w:val="0000FF"/>
                </w:rPr>
                <w:t>Consolidated Statements of Operations for the years ended September 30, 2024, 2023 and 2022</w:t>
              </w:r>
            </w:hyperlink>
          </w:p>
        </w:tc>
        <w:tc>
          <w:tcPr>
            <w:tcW w:w="2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r>
      <w:tr>
        <w:trPr>
          <w:trHeight w:val="20"/>
        </w:trPr>
        <w:tc>
          <w:tcPr>
            <w:tcW w:w="100" w:type="dxa"/>
            <w:vAlign w:val="bottom"/>
            <w:tcBorders>
              <w:right w:val="single" w:sz="8" w:color="0000FF"/>
            </w:tcBorders>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92"/>
        </w:trPr>
        <w:tc>
          <w:tcPr>
            <w:tcW w:w="100" w:type="dxa"/>
            <w:vAlign w:val="bottom"/>
          </w:tcPr>
          <w:p>
            <w:pPr>
              <w:spacing w:after="0"/>
              <w:rPr>
                <w:sz w:val="24"/>
                <w:szCs w:val="24"/>
                <w:color w:val="auto"/>
              </w:rPr>
            </w:pPr>
          </w:p>
        </w:tc>
        <w:tc>
          <w:tcPr>
            <w:tcW w:w="5660" w:type="dxa"/>
            <w:vAlign w:val="bottom"/>
            <w:tcBorders>
              <w:bottom w:val="single" w:sz="8" w:color="0000FF"/>
            </w:tcBorders>
            <w:gridSpan w:val="9"/>
          </w:tcPr>
          <w:p>
            <w:pPr>
              <w:spacing w:after="0"/>
              <w:rPr>
                <w:rFonts w:ascii="Times New Roman" w:cs="Times New Roman" w:eastAsia="Times New Roman" w:hAnsi="Times New Roman"/>
                <w:sz w:val="13"/>
                <w:szCs w:val="13"/>
                <w:color w:val="0000FF"/>
              </w:rPr>
            </w:pPr>
            <w:hyperlink w:anchor="page67">
              <w:r>
                <w:rPr>
                  <w:rFonts w:ascii="Times New Roman" w:cs="Times New Roman" w:eastAsia="Times New Roman" w:hAnsi="Times New Roman"/>
                  <w:sz w:val="13"/>
                  <w:szCs w:val="13"/>
                  <w:color w:val="0000FF"/>
                </w:rPr>
                <w:t>Consolidated Statements of Changes in Net Assets for the years ended September 30, 2024, 2023 and 2022</w:t>
              </w:r>
            </w:hyperlink>
          </w:p>
        </w:tc>
        <w:tc>
          <w:tcPr>
            <w:tcW w:w="224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r>
      <w:tr>
        <w:trPr>
          <w:trHeight w:val="292"/>
        </w:trPr>
        <w:tc>
          <w:tcPr>
            <w:tcW w:w="100" w:type="dxa"/>
            <w:vAlign w:val="bottom"/>
          </w:tcPr>
          <w:p>
            <w:pPr>
              <w:spacing w:after="0"/>
              <w:rPr>
                <w:sz w:val="24"/>
                <w:szCs w:val="24"/>
                <w:color w:val="auto"/>
              </w:rPr>
            </w:pPr>
          </w:p>
        </w:tc>
        <w:tc>
          <w:tcPr>
            <w:tcW w:w="7900" w:type="dxa"/>
            <w:vAlign w:val="bottom"/>
            <w:gridSpan w:val="10"/>
          </w:tcPr>
          <w:p>
            <w:pPr>
              <w:spacing w:after="0"/>
              <w:rPr>
                <w:rFonts w:ascii="Times New Roman" w:cs="Times New Roman" w:eastAsia="Times New Roman" w:hAnsi="Times New Roman"/>
                <w:sz w:val="13"/>
                <w:szCs w:val="13"/>
                <w:color w:val="0000FF"/>
              </w:rPr>
            </w:pPr>
            <w:hyperlink w:anchor="page68">
              <w:r>
                <w:rPr>
                  <w:rFonts w:ascii="Times New Roman" w:cs="Times New Roman" w:eastAsia="Times New Roman" w:hAnsi="Times New Roman"/>
                  <w:sz w:val="13"/>
                  <w:szCs w:val="13"/>
                  <w:color w:val="0000FF"/>
                </w:rPr>
                <w:t>Consolidated Statements of Cash Flows for the years ended September 30, 2024, 2023 and 2022</w:t>
              </w:r>
            </w:hyperlink>
          </w:p>
        </w:tc>
        <w:tc>
          <w:tcPr>
            <w:tcW w:w="2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292"/>
        </w:trPr>
        <w:tc>
          <w:tcPr>
            <w:tcW w:w="100" w:type="dxa"/>
            <w:vAlign w:val="bottom"/>
          </w:tcPr>
          <w:p>
            <w:pPr>
              <w:spacing w:after="0"/>
              <w:rPr>
                <w:sz w:val="24"/>
                <w:szCs w:val="24"/>
                <w:color w:val="auto"/>
              </w:rPr>
            </w:pPr>
          </w:p>
        </w:tc>
        <w:tc>
          <w:tcPr>
            <w:tcW w:w="398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3"/>
                <w:szCs w:val="13"/>
                <w:color w:val="0000FF"/>
              </w:rPr>
            </w:pPr>
            <w:hyperlink w:anchor="page69">
              <w:r>
                <w:rPr>
                  <w:rFonts w:ascii="Times New Roman" w:cs="Times New Roman" w:eastAsia="Times New Roman" w:hAnsi="Times New Roman"/>
                  <w:sz w:val="13"/>
                  <w:szCs w:val="13"/>
                  <w:color w:val="0000FF"/>
                </w:rPr>
                <w:t>Consolidated Schedules of Investments as of September 30, 2024 and 2023</w:t>
              </w:r>
            </w:hyperlink>
          </w:p>
        </w:tc>
        <w:tc>
          <w:tcPr>
            <w:tcW w:w="1100" w:type="dxa"/>
            <w:vAlign w:val="bottom"/>
            <w:tcBorders>
              <w:top w:val="single" w:sz="8" w:color="0000FF"/>
            </w:tcBorders>
            <w:gridSpan w:val="4"/>
          </w:tcPr>
          <w:p>
            <w:pPr>
              <w:spacing w:after="0"/>
              <w:rPr>
                <w:sz w:val="24"/>
                <w:szCs w:val="24"/>
                <w:color w:val="auto"/>
              </w:rPr>
            </w:pPr>
          </w:p>
        </w:tc>
        <w:tc>
          <w:tcPr>
            <w:tcW w:w="2820" w:type="dxa"/>
            <w:vAlign w:val="bottom"/>
            <w:gridSpan w:val="3"/>
          </w:tcPr>
          <w:p>
            <w:pPr>
              <w:spacing w:after="0"/>
              <w:rPr>
                <w:sz w:val="24"/>
                <w:szCs w:val="24"/>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292"/>
        </w:trPr>
        <w:tc>
          <w:tcPr>
            <w:tcW w:w="100" w:type="dxa"/>
            <w:vAlign w:val="bottom"/>
          </w:tcPr>
          <w:p>
            <w:pPr>
              <w:spacing w:after="0"/>
              <w:rPr>
                <w:sz w:val="24"/>
                <w:szCs w:val="24"/>
                <w:color w:val="auto"/>
              </w:rPr>
            </w:pPr>
          </w:p>
        </w:tc>
        <w:tc>
          <w:tcPr>
            <w:tcW w:w="2500" w:type="dxa"/>
            <w:vAlign w:val="bottom"/>
            <w:tcBorders>
              <w:bottom w:val="single" w:sz="8" w:color="0000FF"/>
            </w:tcBorders>
          </w:tcPr>
          <w:p>
            <w:pPr>
              <w:spacing w:after="0"/>
              <w:rPr>
                <w:rFonts w:ascii="Times New Roman" w:cs="Times New Roman" w:eastAsia="Times New Roman" w:hAnsi="Times New Roman"/>
                <w:sz w:val="13"/>
                <w:szCs w:val="13"/>
                <w:color w:val="0000FF"/>
              </w:rPr>
            </w:pPr>
            <w:hyperlink w:anchor="page84">
              <w:r>
                <w:rPr>
                  <w:rFonts w:ascii="Times New Roman" w:cs="Times New Roman" w:eastAsia="Times New Roman" w:hAnsi="Times New Roman"/>
                  <w:sz w:val="13"/>
                  <w:szCs w:val="13"/>
                  <w:color w:val="0000FF"/>
                </w:rPr>
                <w:t>Notes to the Consolidated Financial Statements</w:t>
              </w:r>
            </w:hyperlink>
          </w:p>
        </w:tc>
        <w:tc>
          <w:tcPr>
            <w:tcW w:w="5400" w:type="dxa"/>
            <w:vAlign w:val="bottom"/>
            <w:gridSpan w:val="9"/>
          </w:tcPr>
          <w:p>
            <w:pPr>
              <w:spacing w:after="0"/>
              <w:rPr>
                <w:sz w:val="24"/>
                <w:szCs w:val="24"/>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848"/>
        </w:trPr>
        <w:tc>
          <w:tcPr>
            <w:tcW w:w="5580" w:type="dxa"/>
            <w:vAlign w:val="bottom"/>
            <w:gridSpan w:val="9"/>
          </w:tcPr>
          <w:p>
            <w:pPr>
              <w:jc w:val="right"/>
              <w:ind w:right="140"/>
              <w:spacing w:after="0"/>
              <w:rPr>
                <w:sz w:val="20"/>
                <w:szCs w:val="20"/>
                <w:color w:val="auto"/>
              </w:rPr>
            </w:pPr>
            <w:r>
              <w:rPr>
                <w:rFonts w:ascii="Times New Roman" w:cs="Times New Roman" w:eastAsia="Times New Roman" w:hAnsi="Times New Roman"/>
                <w:sz w:val="13"/>
                <w:szCs w:val="13"/>
                <w:color w:val="auto"/>
              </w:rPr>
              <w:t>60</w:t>
            </w:r>
          </w:p>
        </w:tc>
        <w:tc>
          <w:tcPr>
            <w:tcW w:w="1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680"/>
        </w:trPr>
        <w:tc>
          <w:tcPr>
            <w:tcW w:w="100" w:type="dxa"/>
            <w:vAlign w:val="bottom"/>
          </w:tcPr>
          <w:p>
            <w:pPr>
              <w:spacing w:after="0"/>
              <w:rPr>
                <w:sz w:val="24"/>
                <w:szCs w:val="24"/>
                <w:color w:val="auto"/>
              </w:rPr>
            </w:pPr>
          </w:p>
        </w:tc>
        <w:tc>
          <w:tcPr>
            <w:tcW w:w="2500" w:type="dxa"/>
            <w:vAlign w:val="bottom"/>
            <w:tcBorders>
              <w:bottom w:val="single" w:sz="8" w:color="EEEEEE"/>
            </w:tcBorders>
          </w:tcPr>
          <w:p>
            <w:pPr>
              <w:spacing w:after="0"/>
              <w:rPr>
                <w:sz w:val="24"/>
                <w:szCs w:val="24"/>
                <w:color w:val="auto"/>
              </w:rPr>
            </w:pPr>
          </w:p>
        </w:tc>
        <w:tc>
          <w:tcPr>
            <w:tcW w:w="108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2240" w:type="dxa"/>
            <w:vAlign w:val="bottom"/>
            <w:tcBorders>
              <w:bottom w:val="single" w:sz="8" w:color="EEEEEE"/>
            </w:tcBorders>
          </w:tcPr>
          <w:p>
            <w:pPr>
              <w:spacing w:after="0"/>
              <w:rPr>
                <w:sz w:val="24"/>
                <w:szCs w:val="24"/>
                <w:color w:val="auto"/>
              </w:rPr>
            </w:pPr>
          </w:p>
        </w:tc>
        <w:tc>
          <w:tcPr>
            <w:tcW w:w="26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-27305</wp:posOffset>
            </wp:positionV>
            <wp:extent cx="673290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-2377440</wp:posOffset>
            </wp:positionV>
            <wp:extent cx="2286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2860" cy="7620"/>
                    </a:xfrm>
                    <a:prstGeom prst="rect">
                      <a:avLst/>
                    </a:prstGeom>
                    <a:noFill/>
                  </pic:spPr>
                </pic:pic>
              </a:graphicData>
            </a:graphic>
          </wp:anchor>
        </w:drawing>
        <w:drawing>
          <wp:anchor simplePos="0" relativeHeight="251657728" behindDoc="1" locked="0" layoutInCell="0" allowOverlap="1">
            <wp:simplePos x="0" y="0"/>
            <wp:positionH relativeFrom="column">
              <wp:posOffset>3652520</wp:posOffset>
            </wp:positionH>
            <wp:positionV relativeFrom="paragraph">
              <wp:posOffset>-1584960</wp:posOffset>
            </wp:positionV>
            <wp:extent cx="2286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2860" cy="762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-1188720</wp:posOffset>
            </wp:positionV>
            <wp:extent cx="2286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2860" cy="7620"/>
                    </a:xfrm>
                    <a:prstGeom prst="rect">
                      <a:avLst/>
                    </a:prstGeom>
                    <a:noFill/>
                  </pic:spPr>
                </pic:pic>
              </a:graphicData>
            </a:graphic>
          </wp:anchor>
        </w:drawing>
      </w:r>
    </w:p>
    <w:p>
      <w:pPr>
        <w:sectPr>
          <w:pgSz w:w="11900" w:h="16840" w:orient="portrait"/>
          <w:cols w:equalWidth="0" w:num="1">
            <w:col w:w="10640"/>
          </w:cols>
          <w:pgMar w:left="580" w:top="1156" w:right="680" w:bottom="1440" w:gutter="0" w:footer="0" w:header="0"/>
        </w:sectPr>
      </w:pPr>
    </w:p>
    <w:bookmarkStart w:id="60" w:name="page61"/>
    <w:bookmarkEnd w:id="60"/>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Management’s Report on Internal Control Over Financial Reporting</w:t>
      </w:r>
    </w:p>
    <w:p>
      <w:pPr>
        <w:spacing w:after="0" w:line="129" w:lineRule="exact"/>
        <w:rPr>
          <w:sz w:val="20"/>
          <w:szCs w:val="20"/>
          <w:color w:val="auto"/>
        </w:rPr>
      </w:pPr>
    </w:p>
    <w:p>
      <w:pPr>
        <w:ind w:right="20" w:firstLine="420"/>
        <w:spacing w:after="0" w:line="262" w:lineRule="auto"/>
        <w:rPr>
          <w:sz w:val="20"/>
          <w:szCs w:val="20"/>
          <w:color w:val="auto"/>
        </w:rPr>
      </w:pPr>
      <w:r>
        <w:rPr>
          <w:rFonts w:ascii="Times New Roman" w:cs="Times New Roman" w:eastAsia="Times New Roman" w:hAnsi="Times New Roman"/>
          <w:sz w:val="13"/>
          <w:szCs w:val="13"/>
          <w:color w:val="auto"/>
        </w:rPr>
        <w:t>The management of PennantPark Investment Corporation (except where the context suggests otherwise, the terms “we,” “us,” “our” and “PennantPark Investment” refer to PennantPark Investment Corporation and its Subsidiaries) is responsible for establishing and maintaining adequate internal control over financial reporting, as such term is defined in Exchange Act Rule 13a-15(f), and for performing an assessment of the effectiveness of internal control over financial reporting as of September 30, 2024. Our internal control system is a process designed to provide reasonable assurance to our management and board of directors regarding the preparation and fair presentation of published financial statements.</w:t>
      </w:r>
    </w:p>
    <w:p>
      <w:pPr>
        <w:spacing w:after="0" w:line="91" w:lineRule="exact"/>
        <w:rPr>
          <w:sz w:val="20"/>
          <w:szCs w:val="20"/>
          <w:color w:val="auto"/>
        </w:rPr>
      </w:pPr>
    </w:p>
    <w:p>
      <w:pPr>
        <w:ind w:right="160" w:firstLine="420"/>
        <w:spacing w:after="0" w:line="262" w:lineRule="auto"/>
        <w:rPr>
          <w:sz w:val="20"/>
          <w:szCs w:val="20"/>
          <w:color w:val="auto"/>
        </w:rPr>
      </w:pPr>
      <w:r>
        <w:rPr>
          <w:rFonts w:ascii="Times New Roman" w:cs="Times New Roman" w:eastAsia="Times New Roman" w:hAnsi="Times New Roman"/>
          <w:sz w:val="13"/>
          <w:szCs w:val="13"/>
          <w:color w:val="auto"/>
        </w:rPr>
        <w:t>PennantPark Investment’s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91" w:lineRule="exact"/>
        <w:rPr>
          <w:sz w:val="20"/>
          <w:szCs w:val="20"/>
          <w:color w:val="auto"/>
        </w:rPr>
      </w:pPr>
    </w:p>
    <w:p>
      <w:pPr>
        <w:ind w:right="20" w:firstLine="420"/>
        <w:spacing w:after="0" w:line="268" w:lineRule="auto"/>
        <w:rPr>
          <w:sz w:val="20"/>
          <w:szCs w:val="20"/>
          <w:color w:val="auto"/>
        </w:rPr>
      </w:pPr>
      <w:r>
        <w:rPr>
          <w:rFonts w:ascii="Times New Roman" w:cs="Times New Roman" w:eastAsia="Times New Roman" w:hAnsi="Times New Roman"/>
          <w:sz w:val="13"/>
          <w:szCs w:val="13"/>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7" w:lineRule="exact"/>
        <w:rPr>
          <w:sz w:val="20"/>
          <w:szCs w:val="20"/>
          <w:color w:val="auto"/>
        </w:rPr>
      </w:pPr>
    </w:p>
    <w:p>
      <w:pPr>
        <w:ind w:firstLine="420"/>
        <w:spacing w:after="0" w:line="268" w:lineRule="auto"/>
        <w:rPr>
          <w:sz w:val="20"/>
          <w:szCs w:val="20"/>
          <w:color w:val="auto"/>
        </w:rPr>
      </w:pPr>
      <w:r>
        <w:rPr>
          <w:rFonts w:ascii="Times New Roman" w:cs="Times New Roman" w:eastAsia="Times New Roman" w:hAnsi="Times New Roman"/>
          <w:sz w:val="13"/>
          <w:szCs w:val="13"/>
          <w:color w:val="auto"/>
        </w:rPr>
        <w:t>Management assessed the effectiveness of PennantPark Investment’s internal control over financial reporting as of September 30, 2024. In making this assessment, we used the criteria set forth by the Committee of Sponsoring Organizations of the Treadway Commission in 2013 Internal Control—Integrated Framework. Based on such assessment management has determined that, as of September 30, 2024, our internal control over financial reporting is effective based on those criteria.</w:t>
      </w:r>
    </w:p>
    <w:p>
      <w:pPr>
        <w:spacing w:after="0" w:line="87" w:lineRule="exact"/>
        <w:rPr>
          <w:sz w:val="20"/>
          <w:szCs w:val="20"/>
          <w:color w:val="auto"/>
        </w:rPr>
      </w:pPr>
    </w:p>
    <w:p>
      <w:pPr>
        <w:ind w:right="280" w:firstLine="420"/>
        <w:spacing w:after="0" w:line="286" w:lineRule="auto"/>
        <w:rPr>
          <w:sz w:val="20"/>
          <w:szCs w:val="20"/>
          <w:color w:val="auto"/>
        </w:rPr>
      </w:pPr>
      <w:r>
        <w:rPr>
          <w:rFonts w:ascii="Times New Roman" w:cs="Times New Roman" w:eastAsia="Times New Roman" w:hAnsi="Times New Roman"/>
          <w:sz w:val="13"/>
          <w:szCs w:val="13"/>
          <w:color w:val="auto"/>
        </w:rPr>
        <w:t>PennantPark Investment's independent registered public accounting firm has issued an audit report on the effectiveness of our internal control over financial reporting as of September 30, 2024. This report appears on page 62.</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156" w:right="700" w:bottom="1440" w:gutter="0" w:footer="0" w:header="0"/>
        </w:sectPr>
      </w:pPr>
    </w:p>
    <w:bookmarkStart w:id="61" w:name="page62"/>
    <w:bookmarkEnd w:id="61"/>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the Stockholders and the Board of Directors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PennantPark Investment Corporation and Subsidiaries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Opinion on the Internal Control Over Financial Reporting</w:t>
      </w:r>
    </w:p>
    <w:p>
      <w:pPr>
        <w:spacing w:after="0" w:line="23"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3"/>
          <w:szCs w:val="13"/>
          <w:color w:val="auto"/>
        </w:rPr>
        <w:t xml:space="preserve">We have audited PennantPark Investment Corporation and Subsidiaries' (the Company) internal control over financial reporting as of September 30, 2024, based on criteria established in </w:t>
      </w:r>
      <w:r>
        <w:rPr>
          <w:rFonts w:ascii="Times New Roman" w:cs="Times New Roman" w:eastAsia="Times New Roman" w:hAnsi="Times New Roman"/>
          <w:sz w:val="13"/>
          <w:szCs w:val="13"/>
          <w:i w:val="1"/>
          <w:iCs w:val="1"/>
          <w:color w:val="auto"/>
        </w:rPr>
        <w:t>Internal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Control — Integrated Framework </w:t>
      </w:r>
      <w:r>
        <w:rPr>
          <w:rFonts w:ascii="Times New Roman" w:cs="Times New Roman" w:eastAsia="Times New Roman" w:hAnsi="Times New Roman"/>
          <w:sz w:val="13"/>
          <w:szCs w:val="13"/>
          <w:color w:val="auto"/>
        </w:rPr>
        <w:t>issued by the Committee of Sponsoring Organizations of the Treadway Commission in 2013. In our opinion, the Company maintained, in all material respects,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effective internal control over financial reporting as of September 30, 2024, based on criteria established in </w:t>
      </w:r>
      <w:r>
        <w:rPr>
          <w:rFonts w:ascii="Times New Roman" w:cs="Times New Roman" w:eastAsia="Times New Roman" w:hAnsi="Times New Roman"/>
          <w:sz w:val="13"/>
          <w:szCs w:val="13"/>
          <w:i w:val="1"/>
          <w:iCs w:val="1"/>
          <w:color w:val="auto"/>
        </w:rPr>
        <w:t>Internal Control — Integrated Framework</w:t>
      </w:r>
      <w:r>
        <w:rPr>
          <w:rFonts w:ascii="Times New Roman" w:cs="Times New Roman" w:eastAsia="Times New Roman" w:hAnsi="Times New Roman"/>
          <w:sz w:val="13"/>
          <w:szCs w:val="13"/>
          <w:color w:val="auto"/>
        </w:rPr>
        <w:t xml:space="preserve"> issued by the Committee of Sponsoring Organizations of the Treadway Commission in 2013.</w:t>
      </w:r>
    </w:p>
    <w:p>
      <w:pPr>
        <w:spacing w:after="0" w:line="13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3"/>
          <w:szCs w:val="13"/>
          <w:color w:val="auto"/>
        </w:rPr>
        <w:t>We have also audited, in accordance with the standards of the Public Company Accounting Oversight Board (United States) (PCAOB), the consolidated statements of assets and liabilities, including the consolidated schedules of investments, as of September 30, 2024 and 2023, the related consolidated statements of operations, changes in net assets, and cash flows for each of the three years in the period ended September 30, 2024, and the related notes to the consolidated financial statements (collectively, the financial statements) of the Company and our report dated November 25, 2024 expressed an unqualified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for Opinion</w:t>
      </w:r>
    </w:p>
    <w:p>
      <w:pPr>
        <w:spacing w:after="0" w:line="2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3"/>
          <w:szCs w:val="13"/>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33"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3"/>
          <w:szCs w:val="13"/>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Definition and Limitations of Internal Control Over Financial Reporting</w:t>
      </w:r>
    </w:p>
    <w:p>
      <w:pPr>
        <w:spacing w:after="0" w:line="2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RSM US LLP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November 25, 2024</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the Stockholders and the Board of Directors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PennantPark Investment Corporation and Subsidiaries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Opinion on the Financial Statements</w:t>
      </w:r>
    </w:p>
    <w:p>
      <w:pPr>
        <w:spacing w:after="0" w:line="2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3"/>
          <w:szCs w:val="13"/>
          <w:color w:val="auto"/>
        </w:rPr>
        <w:t>We have audited the accompanying consolidated statements of assets and liabilities of PennantPark Investment Corporation and Subsidiaries (the Company), including the consolidated schedules of investments, as of September 30, 2024 and 2023, the related consolidated statements of operations, changes in net assets, and cash flows for each of the three years in the period ended September 30, 2024, and the related notes to the consolidated financial statements (collectively, the financial statements). In our opinion, the financial statements present fairly, in all material respects, the financial position of the Company as of September 30, 2024 and 2023, and the results of its operations, changes in net assets, and cash flows for each of the three years in the period ended September 30, 2024, in conformity with accounting principles generally accepted in the United States of America.</w:t>
      </w:r>
    </w:p>
    <w:p>
      <w:pPr>
        <w:spacing w:after="0" w:line="134"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3"/>
          <w:szCs w:val="13"/>
          <w:color w:val="auto"/>
        </w:rPr>
        <w:t xml:space="preserve">We have also audited, in accordance with the standards of the Public Company Accounting Oversight Board (United States) (PCAOB), the Company's internal control over financial reporting as of September 30, 2024, based on criteria established in </w:t>
      </w:r>
      <w:r>
        <w:rPr>
          <w:rFonts w:ascii="Times New Roman" w:cs="Times New Roman" w:eastAsia="Times New Roman" w:hAnsi="Times New Roman"/>
          <w:sz w:val="13"/>
          <w:szCs w:val="13"/>
          <w:i w:val="1"/>
          <w:iCs w:val="1"/>
          <w:color w:val="auto"/>
        </w:rPr>
        <w:t>Internal Control — Integrated Framework</w:t>
      </w:r>
      <w:r>
        <w:rPr>
          <w:rFonts w:ascii="Times New Roman" w:cs="Times New Roman" w:eastAsia="Times New Roman" w:hAnsi="Times New Roman"/>
          <w:sz w:val="13"/>
          <w:szCs w:val="13"/>
          <w:color w:val="auto"/>
        </w:rPr>
        <w:t xml:space="preserve"> issued by the Committee of Sponsoring Organizations of the Treadway Commission in 2013 and our report dated November 25, 2024 expressed an unqualified opinion on the effectiveness of the Company's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for Opinion</w:t>
      </w:r>
    </w:p>
    <w:p>
      <w:pPr>
        <w:spacing w:after="0" w:line="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3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3"/>
          <w:szCs w:val="13"/>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w:t>
      </w:r>
    </w:p>
    <w:p>
      <w:pPr>
        <w:spacing w:after="0" w:line="11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3"/>
          <w:szCs w:val="13"/>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procedures included confirmation of securities owned as of September 30, 2024 and 2023, by correspondence with the custodian, underlying fund advisors, and by other appropriate auditing procedures.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Critical Audit Matters</w:t>
      </w:r>
    </w:p>
    <w:p>
      <w:pPr>
        <w:spacing w:after="0" w:line="2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3"/>
          <w:szCs w:val="13"/>
          <w:color w:val="auto"/>
        </w:rPr>
        <w:t>The critical audit matter communicated below is a matter arising from the current 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separate opinions on the critical audit matter or on the accounts or disclosures to which they relate.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Level 3 Fair Value Measurements</w:t>
      </w:r>
    </w:p>
    <w:p>
      <w:pPr>
        <w:spacing w:after="0" w:line="2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3"/>
          <w:szCs w:val="13"/>
          <w:color w:val="auto"/>
        </w:rPr>
        <w:t>The fair value of the Company’s investments valued using Level 3 fair value measurements was approximately $1,152.4 million as of September 30, 2024. The fair value of the Company’s financial instruments classified as liabilities valued using Level 3 fair value measurements was approximately $460.4 million as of September 30, 2024. As discussed in Notes 2 and 5 to the consolidated financial statements, the Company’s investment portfolio generally consists of illiquid securities, including debt and equity investments, which were acquired directly from the issuer. Such investments include first lien secured debt, second lien secured debt, subordinated debt and equity investments. Additionally, the Company has elected to apply the fair value option to certain financial instruments classified as liabilities. The inputs into the determination of fair value require significant management judgment or estimation.</w:t>
      </w:r>
    </w:p>
    <w:p>
      <w:pPr>
        <w:spacing w:after="0" w:line="13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3"/>
          <w:szCs w:val="13"/>
          <w:color w:val="auto"/>
        </w:rPr>
        <w:t>We identified Level 3 fair value measurements as a critical audit matter due to the subjective nature of the judgments necessary for management to select valuation techniques and the use of significant unobservable inputs to estimate the fair value. Auditing the reasonableness of management’s selection of valuation technique and the related unobservable inputs required a high degree of auditor judgment and increased audit effort, including the use of a valuation specialist.</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3"/>
          <w:szCs w:val="13"/>
          <w:color w:val="auto"/>
        </w:rPr>
        <w:t>The primary procedures we performed to address this critical audit matter included the following, among others:</w:t>
      </w:r>
    </w:p>
    <w:p>
      <w:pPr>
        <w:spacing w:after="0" w:line="259" w:lineRule="exact"/>
        <w:rPr>
          <w:sz w:val="20"/>
          <w:szCs w:val="20"/>
          <w:color w:val="auto"/>
        </w:rPr>
      </w:pPr>
    </w:p>
    <w:p>
      <w:pPr>
        <w:jc w:val="both"/>
        <w:ind w:left="480" w:right="40"/>
        <w:spacing w:after="0" w:line="286" w:lineRule="auto"/>
        <w:rPr>
          <w:sz w:val="20"/>
          <w:szCs w:val="20"/>
          <w:color w:val="auto"/>
        </w:rPr>
      </w:pPr>
      <w:r>
        <w:rPr>
          <w:rFonts w:ascii="Times New Roman" w:cs="Times New Roman" w:eastAsia="Times New Roman" w:hAnsi="Times New Roman"/>
          <w:sz w:val="13"/>
          <w:szCs w:val="13"/>
          <w:color w:val="auto"/>
        </w:rPr>
        <w:t>•We obtained an understanding of the relevant controls related to management’s valuation of Level 3 fair value measurements, including those related to valuation techniques and significant unobservable inputs and tested such controls for design and operating effectiveness.</w:t>
      </w:r>
    </w:p>
    <w:p>
      <w:pPr>
        <w:spacing w:after="0" w:line="52" w:lineRule="exact"/>
        <w:rPr>
          <w:sz w:val="20"/>
          <w:szCs w:val="20"/>
          <w:color w:val="auto"/>
        </w:rPr>
      </w:pPr>
    </w:p>
    <w:p>
      <w:pPr>
        <w:jc w:val="both"/>
        <w:ind w:left="480" w:right="40"/>
        <w:spacing w:after="0" w:line="268" w:lineRule="auto"/>
        <w:rPr>
          <w:sz w:val="20"/>
          <w:szCs w:val="20"/>
          <w:color w:val="auto"/>
        </w:rPr>
      </w:pPr>
      <w:r>
        <w:rPr>
          <w:rFonts w:ascii="Times New Roman" w:cs="Times New Roman" w:eastAsia="Times New Roman" w:hAnsi="Times New Roman"/>
          <w:sz w:val="13"/>
          <w:szCs w:val="13"/>
          <w:color w:val="auto"/>
        </w:rPr>
        <w:t>•With the assistance of our valuation specialists, we evaluated the appropriateness of the selected valuation techniques, and any changes to selected valuation techniques from prior periods, used for Level 3 fair value measurements. For a sample of investments, we evaluated both the reasonableness of the significant unobservable inputs and the reasonableness of any significant changes in significant unobservable inputs from prior periods, when applicable, by comparing the unobservable inputs to external sources, including, but not limited to:</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oHistorical operating results of the investee.</w:t>
      </w:r>
    </w:p>
    <w:p>
      <w:pPr>
        <w:spacing w:after="0" w:line="2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oAvailable market data for comparable companies.</w:t>
      </w:r>
    </w:p>
    <w:p>
      <w:pPr>
        <w:spacing w:after="0" w:line="1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oSubsequent events and transactions, where available.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tested both the source information used to determine the unobservable input and the mathematical accuracy of the calculation used to compute the unobservable input for a sample of investments.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RSM US LLP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have served as the Company's auditor since 2013.</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November 25, 2024</w:t>
      </w: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158" w:right="740"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ASSETS AND LIABILITIES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20" w:type="dxa"/>
            <w:vAlign w:val="bottom"/>
          </w:tcPr>
          <w:p>
            <w:pPr>
              <w:spacing w:after="0"/>
              <w:rPr>
                <w:sz w:val="14"/>
                <w:szCs w:val="14"/>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September 30, 2023</w:t>
            </w:r>
          </w:p>
        </w:tc>
      </w:tr>
      <w:tr>
        <w:trPr>
          <w:trHeight w:val="156"/>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20" w:type="dxa"/>
            <w:vAlign w:val="bottom"/>
            <w:shd w:val="clear" w:color="auto" w:fill="CCECFF"/>
          </w:tcPr>
          <w:p>
            <w:pPr>
              <w:spacing w:after="0"/>
              <w:rPr>
                <w:sz w:val="13"/>
                <w:szCs w:val="13"/>
                <w:color w:val="auto"/>
              </w:rPr>
            </w:pPr>
          </w:p>
        </w:tc>
        <w:tc>
          <w:tcPr>
            <w:tcW w:w="13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3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 at fair value</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73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Non-controlled, non-affiliated investments (amortized cost—$916,168 and $816,754, respectively)</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910,323</w:t>
            </w: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830,808</w:t>
            </w:r>
          </w:p>
        </w:tc>
        <w:tc>
          <w:tcPr>
            <w:tcW w:w="80" w:type="dxa"/>
            <w:vAlign w:val="bottom"/>
            <w:shd w:val="clear" w:color="auto" w:fill="CCECFF"/>
          </w:tcPr>
          <w:p>
            <w:pPr>
              <w:spacing w:after="0"/>
              <w:rPr>
                <w:sz w:val="13"/>
                <w:szCs w:val="13"/>
                <w:color w:val="auto"/>
              </w:rPr>
            </w:pPr>
          </w:p>
        </w:tc>
      </w:tr>
      <w:tr>
        <w:trPr>
          <w:trHeight w:val="156"/>
        </w:trPr>
        <w:tc>
          <w:tcPr>
            <w:tcW w:w="73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Non-controlled, affiliated investments (amortized cost—$56,734 and $55,787, respectively)</w:t>
            </w: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33,423</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54,771</w:t>
            </w:r>
          </w:p>
        </w:tc>
        <w:tc>
          <w:tcPr>
            <w:tcW w:w="80" w:type="dxa"/>
            <w:vAlign w:val="bottom"/>
          </w:tcPr>
          <w:p>
            <w:pPr>
              <w:spacing w:after="0"/>
              <w:rPr>
                <w:sz w:val="13"/>
                <w:szCs w:val="13"/>
                <w:color w:val="auto"/>
              </w:rPr>
            </w:pPr>
          </w:p>
        </w:tc>
      </w:tr>
      <w:tr>
        <w:trPr>
          <w:trHeight w:val="156"/>
        </w:trPr>
        <w:tc>
          <w:tcPr>
            <w:tcW w:w="73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Controlled, affiliated investments (amortized cost—$343,970 and $245,386, respectively)</w:t>
            </w:r>
          </w:p>
        </w:tc>
        <w:tc>
          <w:tcPr>
            <w:tcW w:w="120" w:type="dxa"/>
            <w:vAlign w:val="bottom"/>
            <w:shd w:val="clear" w:color="auto" w:fill="CCECFF"/>
          </w:tcPr>
          <w:p>
            <w:pPr>
              <w:spacing w:after="0"/>
              <w:rPr>
                <w:sz w:val="13"/>
                <w:szCs w:val="13"/>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384,304</w:t>
            </w: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216,068</w:t>
            </w:r>
          </w:p>
        </w:tc>
        <w:tc>
          <w:tcPr>
            <w:tcW w:w="80" w:type="dxa"/>
            <w:vAlign w:val="bottom"/>
            <w:shd w:val="clear" w:color="auto" w:fill="CCECFF"/>
          </w:tcPr>
          <w:p>
            <w:pPr>
              <w:spacing w:after="0"/>
              <w:rPr>
                <w:sz w:val="13"/>
                <w:szCs w:val="13"/>
                <w:color w:val="auto"/>
              </w:rPr>
            </w:pPr>
          </w:p>
        </w:tc>
      </w:tr>
      <w:tr>
        <w:trPr>
          <w:trHeight w:val="156"/>
        </w:trPr>
        <w:tc>
          <w:tcPr>
            <w:tcW w:w="73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investments (amortized cost—$1,316,872 and $1,117,927, respectively)</w:t>
            </w: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1,328,050</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1,101,647</w:t>
            </w:r>
          </w:p>
        </w:tc>
        <w:tc>
          <w:tcPr>
            <w:tcW w:w="80" w:type="dxa"/>
            <w:vAlign w:val="bottom"/>
          </w:tcPr>
          <w:p>
            <w:pPr>
              <w:spacing w:after="0"/>
              <w:rPr>
                <w:sz w:val="13"/>
                <w:szCs w:val="13"/>
                <w:color w:val="auto"/>
              </w:rPr>
            </w:pPr>
          </w:p>
        </w:tc>
      </w:tr>
      <w:tr>
        <w:trPr>
          <w:trHeight w:val="156"/>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Cash and cash equivalents (cost—$49,833 and $38,784, respectively)</w:t>
            </w:r>
          </w:p>
        </w:tc>
        <w:tc>
          <w:tcPr>
            <w:tcW w:w="120" w:type="dxa"/>
            <w:vAlign w:val="bottom"/>
            <w:shd w:val="clear" w:color="auto" w:fill="CCECFF"/>
          </w:tcPr>
          <w:p>
            <w:pPr>
              <w:spacing w:after="0"/>
              <w:rPr>
                <w:sz w:val="13"/>
                <w:szCs w:val="13"/>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49,861</w:t>
            </w: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38,775</w:t>
            </w:r>
          </w:p>
        </w:tc>
        <w:tc>
          <w:tcPr>
            <w:tcW w:w="80" w:type="dxa"/>
            <w:vAlign w:val="bottom"/>
            <w:shd w:val="clear" w:color="auto" w:fill="CCECFF"/>
          </w:tcPr>
          <w:p>
            <w:pPr>
              <w:spacing w:after="0"/>
              <w:rPr>
                <w:sz w:val="13"/>
                <w:szCs w:val="13"/>
                <w:color w:val="auto"/>
              </w:rPr>
            </w:pPr>
          </w:p>
        </w:tc>
      </w:tr>
      <w:tr>
        <w:trPr>
          <w:trHeight w:val="15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receivable</w:t>
            </w: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5,261</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6,820</w:t>
            </w:r>
          </w:p>
        </w:tc>
        <w:tc>
          <w:tcPr>
            <w:tcW w:w="80" w:type="dxa"/>
            <w:vAlign w:val="bottom"/>
          </w:tcPr>
          <w:p>
            <w:pPr>
              <w:spacing w:after="0"/>
              <w:rPr>
                <w:sz w:val="13"/>
                <w:szCs w:val="13"/>
                <w:color w:val="auto"/>
              </w:rPr>
            </w:pPr>
          </w:p>
        </w:tc>
      </w:tr>
      <w:tr>
        <w:trPr>
          <w:trHeight w:val="156"/>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Distribution receivable</w:t>
            </w:r>
          </w:p>
        </w:tc>
        <w:tc>
          <w:tcPr>
            <w:tcW w:w="120" w:type="dxa"/>
            <w:vAlign w:val="bottom"/>
            <w:shd w:val="clear" w:color="auto" w:fill="CCECFF"/>
          </w:tcPr>
          <w:p>
            <w:pPr>
              <w:spacing w:after="0"/>
              <w:rPr>
                <w:sz w:val="13"/>
                <w:szCs w:val="13"/>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5,417</w:t>
            </w: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5,079</w:t>
            </w:r>
          </w:p>
        </w:tc>
        <w:tc>
          <w:tcPr>
            <w:tcW w:w="80" w:type="dxa"/>
            <w:vAlign w:val="bottom"/>
            <w:shd w:val="clear" w:color="auto" w:fill="CCECFF"/>
          </w:tcPr>
          <w:p>
            <w:pPr>
              <w:spacing w:after="0"/>
              <w:rPr>
                <w:sz w:val="13"/>
                <w:szCs w:val="13"/>
                <w:color w:val="auto"/>
              </w:rPr>
            </w:pPr>
          </w:p>
        </w:tc>
      </w:tr>
      <w:tr>
        <w:trPr>
          <w:trHeight w:val="15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from affiliates</w:t>
            </w: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120" w:type="dxa"/>
            <w:vAlign w:val="bottom"/>
            <w:shd w:val="clear" w:color="auto" w:fill="CCECFF"/>
          </w:tcPr>
          <w:p>
            <w:pPr>
              <w:spacing w:after="0"/>
              <w:rPr>
                <w:sz w:val="13"/>
                <w:szCs w:val="13"/>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4,656</w:t>
            </w:r>
          </w:p>
        </w:tc>
        <w:tc>
          <w:tcPr>
            <w:tcW w:w="80" w:type="dxa"/>
            <w:vAlign w:val="bottom"/>
            <w:shd w:val="clear" w:color="auto" w:fill="CCECFF"/>
          </w:tcPr>
          <w:p>
            <w:pPr>
              <w:spacing w:after="0"/>
              <w:rPr>
                <w:sz w:val="13"/>
                <w:szCs w:val="13"/>
                <w:color w:val="auto"/>
              </w:rPr>
            </w:pPr>
          </w:p>
        </w:tc>
      </w:tr>
      <w:tr>
        <w:trPr>
          <w:trHeight w:val="156"/>
        </w:trPr>
        <w:tc>
          <w:tcPr>
            <w:tcW w:w="73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Total assets</w:t>
            </w: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1,389,086</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1,156,977</w:t>
            </w:r>
          </w:p>
        </w:tc>
        <w:tc>
          <w:tcPr>
            <w:tcW w:w="80" w:type="dxa"/>
            <w:vAlign w:val="bottom"/>
          </w:tcPr>
          <w:p>
            <w:pPr>
              <w:spacing w:after="0"/>
              <w:rPr>
                <w:sz w:val="13"/>
                <w:szCs w:val="13"/>
                <w:color w:val="auto"/>
              </w:rPr>
            </w:pPr>
          </w:p>
        </w:tc>
      </w:tr>
      <w:tr>
        <w:trPr>
          <w:trHeight w:val="156"/>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Liabilities</w:t>
            </w:r>
          </w:p>
        </w:tc>
        <w:tc>
          <w:tcPr>
            <w:tcW w:w="120" w:type="dxa"/>
            <w:vAlign w:val="bottom"/>
            <w:shd w:val="clear" w:color="auto" w:fill="CCECFF"/>
          </w:tcPr>
          <w:p>
            <w:pPr>
              <w:spacing w:after="0"/>
              <w:rPr>
                <w:sz w:val="13"/>
                <w:szCs w:val="13"/>
                <w:color w:val="auto"/>
              </w:rPr>
            </w:pPr>
          </w:p>
        </w:tc>
        <w:tc>
          <w:tcPr>
            <w:tcW w:w="13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3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Truist Credit Facility payable, at fair value (cost—$461,456 and $212,420, respectively)</w:t>
            </w: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460,361</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206,940</w:t>
            </w:r>
          </w:p>
        </w:tc>
        <w:tc>
          <w:tcPr>
            <w:tcW w:w="80" w:type="dxa"/>
            <w:vAlign w:val="bottom"/>
          </w:tcPr>
          <w:p>
            <w:pPr>
              <w:spacing w:after="0"/>
              <w:rPr>
                <w:sz w:val="13"/>
                <w:szCs w:val="13"/>
                <w:color w:val="auto"/>
              </w:rPr>
            </w:pPr>
          </w:p>
        </w:tc>
      </w:tr>
      <w:tr>
        <w:trPr>
          <w:trHeight w:val="156"/>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2026 Notes payable, net (par— $150,000)</w:t>
            </w:r>
          </w:p>
        </w:tc>
        <w:tc>
          <w:tcPr>
            <w:tcW w:w="120" w:type="dxa"/>
            <w:vAlign w:val="bottom"/>
            <w:shd w:val="clear" w:color="auto" w:fill="CCECFF"/>
          </w:tcPr>
          <w:p>
            <w:pPr>
              <w:spacing w:after="0"/>
              <w:rPr>
                <w:sz w:val="13"/>
                <w:szCs w:val="13"/>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148,571</w:t>
            </w: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147,669</w:t>
            </w:r>
          </w:p>
        </w:tc>
        <w:tc>
          <w:tcPr>
            <w:tcW w:w="80" w:type="dxa"/>
            <w:vAlign w:val="bottom"/>
            <w:shd w:val="clear" w:color="auto" w:fill="CCECFF"/>
          </w:tcPr>
          <w:p>
            <w:pPr>
              <w:spacing w:after="0"/>
              <w:rPr>
                <w:sz w:val="13"/>
                <w:szCs w:val="13"/>
                <w:color w:val="auto"/>
              </w:rPr>
            </w:pPr>
          </w:p>
        </w:tc>
      </w:tr>
      <w:tr>
        <w:trPr>
          <w:trHeight w:val="15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2026 Notes-2 payable, net (par— $165,000)</w:t>
            </w: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163,080</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162,226</w:t>
            </w:r>
          </w:p>
        </w:tc>
        <w:tc>
          <w:tcPr>
            <w:tcW w:w="80" w:type="dxa"/>
            <w:vAlign w:val="bottom"/>
          </w:tcPr>
          <w:p>
            <w:pPr>
              <w:spacing w:after="0"/>
              <w:rPr>
                <w:sz w:val="13"/>
                <w:szCs w:val="13"/>
                <w:color w:val="auto"/>
              </w:rPr>
            </w:pPr>
          </w:p>
        </w:tc>
      </w:tr>
      <w:tr>
        <w:trPr>
          <w:trHeight w:val="156"/>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Payable for investment purchased</w:t>
            </w:r>
          </w:p>
        </w:tc>
        <w:tc>
          <w:tcPr>
            <w:tcW w:w="120" w:type="dxa"/>
            <w:vAlign w:val="bottom"/>
            <w:shd w:val="clear" w:color="auto" w:fill="CCECFF"/>
          </w:tcPr>
          <w:p>
            <w:pPr>
              <w:spacing w:after="0"/>
              <w:rPr>
                <w:sz w:val="13"/>
                <w:szCs w:val="13"/>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100,096</w:t>
            </w: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99,949</w:t>
            </w:r>
          </w:p>
        </w:tc>
        <w:tc>
          <w:tcPr>
            <w:tcW w:w="80" w:type="dxa"/>
            <w:vAlign w:val="bottom"/>
            <w:shd w:val="clear" w:color="auto" w:fill="CCECFF"/>
          </w:tcPr>
          <w:p>
            <w:pPr>
              <w:spacing w:after="0"/>
              <w:rPr>
                <w:sz w:val="13"/>
                <w:szCs w:val="13"/>
                <w:color w:val="auto"/>
              </w:rPr>
            </w:pPr>
          </w:p>
        </w:tc>
      </w:tr>
      <w:tr>
        <w:trPr>
          <w:trHeight w:val="15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payable on debt</w:t>
            </w: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6,406</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6,231</w:t>
            </w:r>
          </w:p>
        </w:tc>
        <w:tc>
          <w:tcPr>
            <w:tcW w:w="80" w:type="dxa"/>
            <w:vAlign w:val="bottom"/>
          </w:tcPr>
          <w:p>
            <w:pPr>
              <w:spacing w:after="0"/>
              <w:rPr>
                <w:sz w:val="13"/>
                <w:szCs w:val="13"/>
                <w:color w:val="auto"/>
              </w:rPr>
            </w:pPr>
          </w:p>
        </w:tc>
      </w:tr>
      <w:tr>
        <w:trPr>
          <w:trHeight w:val="156"/>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Distributions payable</w:t>
            </w:r>
          </w:p>
        </w:tc>
        <w:tc>
          <w:tcPr>
            <w:tcW w:w="120" w:type="dxa"/>
            <w:vAlign w:val="bottom"/>
            <w:shd w:val="clear" w:color="auto" w:fill="CCECFF"/>
          </w:tcPr>
          <w:p>
            <w:pPr>
              <w:spacing w:after="0"/>
              <w:rPr>
                <w:sz w:val="13"/>
                <w:szCs w:val="13"/>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5,224</w:t>
            </w: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13,697</w:t>
            </w:r>
          </w:p>
        </w:tc>
        <w:tc>
          <w:tcPr>
            <w:tcW w:w="80" w:type="dxa"/>
            <w:vAlign w:val="bottom"/>
            <w:shd w:val="clear" w:color="auto" w:fill="CCECFF"/>
          </w:tcPr>
          <w:p>
            <w:pPr>
              <w:spacing w:after="0"/>
              <w:rPr>
                <w:sz w:val="13"/>
                <w:szCs w:val="13"/>
                <w:color w:val="auto"/>
              </w:rPr>
            </w:pPr>
          </w:p>
        </w:tc>
      </w:tr>
      <w:tr>
        <w:trPr>
          <w:trHeight w:val="15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Base management fee payable</w:t>
            </w: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4,297</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3,915</w:t>
            </w:r>
          </w:p>
        </w:tc>
        <w:tc>
          <w:tcPr>
            <w:tcW w:w="80" w:type="dxa"/>
            <w:vAlign w:val="bottom"/>
          </w:tcPr>
          <w:p>
            <w:pPr>
              <w:spacing w:after="0"/>
              <w:rPr>
                <w:sz w:val="13"/>
                <w:szCs w:val="13"/>
                <w:color w:val="auto"/>
              </w:rPr>
            </w:pPr>
          </w:p>
        </w:tc>
      </w:tr>
      <w:tr>
        <w:trPr>
          <w:trHeight w:val="216"/>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Incentive fee payable</w:t>
            </w:r>
          </w:p>
        </w:tc>
        <w:tc>
          <w:tcPr>
            <w:tcW w:w="120" w:type="dxa"/>
            <w:vAlign w:val="bottom"/>
            <w:shd w:val="clear" w:color="auto" w:fill="CCECFF"/>
          </w:tcPr>
          <w:p>
            <w:pPr>
              <w:spacing w:after="0"/>
              <w:rPr>
                <w:sz w:val="18"/>
                <w:szCs w:val="18"/>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3,057</w:t>
            </w:r>
          </w:p>
        </w:tc>
        <w:tc>
          <w:tcPr>
            <w:tcW w:w="2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3,310</w:t>
            </w:r>
          </w:p>
        </w:tc>
        <w:tc>
          <w:tcPr>
            <w:tcW w:w="80" w:type="dxa"/>
            <w:vAlign w:val="bottom"/>
            <w:shd w:val="clear" w:color="auto" w:fill="CCECFF"/>
          </w:tcPr>
          <w:p>
            <w:pPr>
              <w:spacing w:after="0"/>
              <w:rPr>
                <w:sz w:val="18"/>
                <w:szCs w:val="18"/>
                <w:color w:val="auto"/>
              </w:rPr>
            </w:pPr>
          </w:p>
        </w:tc>
      </w:tr>
      <w:tr>
        <w:trPr>
          <w:trHeight w:val="15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4,053</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6,754</w:t>
            </w:r>
          </w:p>
        </w:tc>
        <w:tc>
          <w:tcPr>
            <w:tcW w:w="80" w:type="dxa"/>
            <w:vAlign w:val="bottom"/>
          </w:tcPr>
          <w:p>
            <w:pPr>
              <w:spacing w:after="0"/>
              <w:rPr>
                <w:sz w:val="13"/>
                <w:szCs w:val="13"/>
                <w:color w:val="auto"/>
              </w:rPr>
            </w:pPr>
          </w:p>
        </w:tc>
      </w:tr>
      <w:tr>
        <w:trPr>
          <w:trHeight w:val="156"/>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Due to affiliates</w:t>
            </w:r>
          </w:p>
        </w:tc>
        <w:tc>
          <w:tcPr>
            <w:tcW w:w="120" w:type="dxa"/>
            <w:vAlign w:val="bottom"/>
            <w:shd w:val="clear" w:color="auto" w:fill="CCECFF"/>
          </w:tcPr>
          <w:p>
            <w:pPr>
              <w:spacing w:after="0"/>
              <w:rPr>
                <w:sz w:val="13"/>
                <w:szCs w:val="13"/>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4,099</w:t>
            </w:r>
          </w:p>
        </w:tc>
        <w:tc>
          <w:tcPr>
            <w:tcW w:w="80" w:type="dxa"/>
            <w:vAlign w:val="bottom"/>
            <w:shd w:val="clear" w:color="auto" w:fill="CCECFF"/>
          </w:tcPr>
          <w:p>
            <w:pPr>
              <w:spacing w:after="0"/>
              <w:rPr>
                <w:sz w:val="13"/>
                <w:szCs w:val="13"/>
                <w:color w:val="auto"/>
              </w:rPr>
            </w:pPr>
          </w:p>
        </w:tc>
      </w:tr>
      <w:tr>
        <w:trPr>
          <w:trHeight w:val="156"/>
        </w:trPr>
        <w:tc>
          <w:tcPr>
            <w:tcW w:w="7320" w:type="dxa"/>
            <w:vAlign w:val="bottom"/>
          </w:tcPr>
          <w:p>
            <w:pPr>
              <w:ind w:left="66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895,178</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654,790</w:t>
            </w:r>
          </w:p>
        </w:tc>
        <w:tc>
          <w:tcPr>
            <w:tcW w:w="80" w:type="dxa"/>
            <w:vAlign w:val="bottom"/>
          </w:tcPr>
          <w:p>
            <w:pPr>
              <w:spacing w:after="0"/>
              <w:rPr>
                <w:sz w:val="13"/>
                <w:szCs w:val="13"/>
                <w:color w:val="auto"/>
              </w:rPr>
            </w:pPr>
          </w:p>
        </w:tc>
      </w:tr>
      <w:tr>
        <w:trPr>
          <w:trHeight w:val="156"/>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(See Note 12)</w:t>
            </w:r>
          </w:p>
        </w:tc>
        <w:tc>
          <w:tcPr>
            <w:tcW w:w="120" w:type="dxa"/>
            <w:vAlign w:val="bottom"/>
            <w:shd w:val="clear" w:color="auto" w:fill="CCECFF"/>
          </w:tcPr>
          <w:p>
            <w:pPr>
              <w:spacing w:after="0"/>
              <w:rPr>
                <w:sz w:val="13"/>
                <w:szCs w:val="13"/>
                <w:color w:val="auto"/>
              </w:rPr>
            </w:pPr>
          </w:p>
        </w:tc>
        <w:tc>
          <w:tcPr>
            <w:tcW w:w="13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3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4"/>
        </w:trPr>
        <w:tc>
          <w:tcPr>
            <w:tcW w:w="7320" w:type="dxa"/>
            <w:vAlign w:val="bottom"/>
            <w:shd w:val="clear" w:color="auto" w:fill="CCECFF"/>
          </w:tcPr>
          <w:p>
            <w:pPr>
              <w:ind w:left="20"/>
              <w:spacing w:after="0" w:line="144" w:lineRule="exact"/>
              <w:rPr>
                <w:sz w:val="20"/>
                <w:szCs w:val="20"/>
                <w:color w:val="auto"/>
              </w:rPr>
            </w:pPr>
            <w:r>
              <w:rPr>
                <w:rFonts w:ascii="Times New Roman" w:cs="Times New Roman" w:eastAsia="Times New Roman" w:hAnsi="Times New Roman"/>
                <w:sz w:val="13"/>
                <w:szCs w:val="13"/>
                <w:color w:val="auto"/>
              </w:rPr>
              <w:t>Common stock, 65,296,094 and 65,224,500 shares issued and outstanding, respectively</w:t>
            </w:r>
          </w:p>
        </w:tc>
        <w:tc>
          <w:tcPr>
            <w:tcW w:w="120" w:type="dxa"/>
            <w:vAlign w:val="bottom"/>
            <w:shd w:val="clear" w:color="auto" w:fill="CCECFF"/>
          </w:tcPr>
          <w:p>
            <w:pPr>
              <w:spacing w:after="0"/>
              <w:rPr>
                <w:sz w:val="12"/>
                <w:szCs w:val="12"/>
                <w:color w:val="auto"/>
              </w:rPr>
            </w:pPr>
          </w:p>
        </w:tc>
        <w:tc>
          <w:tcPr>
            <w:tcW w:w="13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3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68"/>
        </w:trPr>
        <w:tc>
          <w:tcPr>
            <w:tcW w:w="73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Par value $0.001 per share and 200,000,000 shares authorized</w:t>
            </w:r>
          </w:p>
        </w:tc>
        <w:tc>
          <w:tcPr>
            <w:tcW w:w="120" w:type="dxa"/>
            <w:vAlign w:val="bottom"/>
            <w:shd w:val="clear" w:color="auto" w:fill="CCECFF"/>
          </w:tcPr>
          <w:p>
            <w:pPr>
              <w:spacing w:after="0"/>
              <w:rPr>
                <w:sz w:val="14"/>
                <w:szCs w:val="14"/>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shd w:val="clear" w:color="auto" w:fill="CCECFF"/>
          </w:tcPr>
          <w:p>
            <w:pPr>
              <w:spacing w:after="0"/>
              <w:rPr>
                <w:sz w:val="14"/>
                <w:szCs w:val="14"/>
                <w:color w:val="auto"/>
              </w:rPr>
            </w:pPr>
          </w:p>
        </w:tc>
      </w:tr>
      <w:tr>
        <w:trPr>
          <w:trHeight w:val="15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Paid-in capital in excess of par value</w:t>
            </w: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743,968</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746,466</w:t>
            </w:r>
          </w:p>
        </w:tc>
        <w:tc>
          <w:tcPr>
            <w:tcW w:w="80" w:type="dxa"/>
            <w:vAlign w:val="bottom"/>
          </w:tcPr>
          <w:p>
            <w:pPr>
              <w:spacing w:after="0"/>
              <w:rPr>
                <w:sz w:val="13"/>
                <w:szCs w:val="13"/>
                <w:color w:val="auto"/>
              </w:rPr>
            </w:pPr>
          </w:p>
        </w:tc>
      </w:tr>
      <w:tr>
        <w:trPr>
          <w:trHeight w:val="156"/>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Accumulated deficit</w:t>
            </w:r>
          </w:p>
        </w:tc>
        <w:tc>
          <w:tcPr>
            <w:tcW w:w="120" w:type="dxa"/>
            <w:vAlign w:val="bottom"/>
            <w:shd w:val="clear" w:color="auto" w:fill="CCECFF"/>
          </w:tcPr>
          <w:p>
            <w:pPr>
              <w:spacing w:after="0"/>
              <w:rPr>
                <w:sz w:val="13"/>
                <w:szCs w:val="13"/>
                <w:color w:val="auto"/>
              </w:rPr>
            </w:pPr>
          </w:p>
        </w:tc>
        <w:tc>
          <w:tcPr>
            <w:tcW w:w="16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(250,125 )</w:t>
            </w:r>
          </w:p>
        </w:tc>
        <w:tc>
          <w:tcPr>
            <w:tcW w:w="120" w:type="dxa"/>
            <w:vAlign w:val="bottom"/>
            <w:shd w:val="clear" w:color="auto" w:fill="CCECFF"/>
          </w:tcPr>
          <w:p>
            <w:pPr>
              <w:spacing w:after="0"/>
              <w:rPr>
                <w:sz w:val="13"/>
                <w:szCs w:val="13"/>
                <w:color w:val="auto"/>
              </w:rPr>
            </w:pPr>
          </w:p>
        </w:tc>
        <w:tc>
          <w:tcPr>
            <w:tcW w:w="14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(244,344 )</w:t>
            </w:r>
          </w:p>
        </w:tc>
      </w:tr>
      <w:tr>
        <w:trPr>
          <w:trHeight w:val="192"/>
        </w:trPr>
        <w:tc>
          <w:tcPr>
            <w:tcW w:w="7320" w:type="dxa"/>
            <w:vAlign w:val="bottom"/>
          </w:tcPr>
          <w:p>
            <w:pPr>
              <w:ind w:left="660"/>
              <w:spacing w:after="0"/>
              <w:rPr>
                <w:sz w:val="20"/>
                <w:szCs w:val="20"/>
                <w:color w:val="auto"/>
              </w:rPr>
            </w:pPr>
            <w:r>
              <w:rPr>
                <w:rFonts w:ascii="Times New Roman" w:cs="Times New Roman" w:eastAsia="Times New Roman" w:hAnsi="Times New Roman"/>
                <w:sz w:val="13"/>
                <w:szCs w:val="13"/>
                <w:b w:val="1"/>
                <w:bCs w:val="1"/>
                <w:color w:val="auto"/>
              </w:rPr>
              <w:t>Total net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493,908</w:t>
            </w:r>
          </w:p>
        </w:tc>
        <w:tc>
          <w:tcPr>
            <w:tcW w:w="2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502,187</w:t>
            </w:r>
          </w:p>
        </w:tc>
        <w:tc>
          <w:tcPr>
            <w:tcW w:w="80" w:type="dxa"/>
            <w:vAlign w:val="bottom"/>
          </w:tcPr>
          <w:p>
            <w:pPr>
              <w:spacing w:after="0"/>
              <w:rPr>
                <w:sz w:val="16"/>
                <w:szCs w:val="16"/>
                <w:color w:val="auto"/>
              </w:rPr>
            </w:pPr>
          </w:p>
        </w:tc>
      </w:tr>
      <w:tr>
        <w:trPr>
          <w:trHeight w:val="196"/>
        </w:trPr>
        <w:tc>
          <w:tcPr>
            <w:tcW w:w="7320" w:type="dxa"/>
            <w:vAlign w:val="bottom"/>
            <w:tcBorders>
              <w:bottom w:val="single" w:sz="8" w:color="CCECFF"/>
            </w:tcBorders>
            <w:shd w:val="clear" w:color="auto" w:fill="CCECFF"/>
          </w:tcPr>
          <w:p>
            <w:pPr>
              <w:ind w:left="660"/>
              <w:spacing w:after="0"/>
              <w:rPr>
                <w:sz w:val="20"/>
                <w:szCs w:val="20"/>
                <w:color w:val="auto"/>
              </w:rPr>
            </w:pPr>
            <w:r>
              <w:rPr>
                <w:rFonts w:ascii="Times New Roman" w:cs="Times New Roman" w:eastAsia="Times New Roman" w:hAnsi="Times New Roman"/>
                <w:sz w:val="13"/>
                <w:szCs w:val="13"/>
                <w:b w:val="1"/>
                <w:bCs w:val="1"/>
                <w:color w:val="auto"/>
              </w:rPr>
              <w:t>Total liabilities and net assets</w:t>
            </w:r>
          </w:p>
        </w:tc>
        <w:tc>
          <w:tcPr>
            <w:tcW w:w="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1,389,086</w:t>
            </w:r>
          </w:p>
        </w:tc>
        <w:tc>
          <w:tcPr>
            <w:tcW w:w="280" w:type="dxa"/>
            <w:vAlign w:val="bottom"/>
            <w:tcBorders>
              <w:bottom w:val="single" w:sz="8" w:color="CCECFF"/>
            </w:tcBorders>
            <w:shd w:val="clear" w:color="auto" w:fill="CCECFF"/>
          </w:tcPr>
          <w:p>
            <w:pPr>
              <w:spacing w:after="0"/>
              <w:rPr>
                <w:sz w:val="17"/>
                <w:szCs w:val="17"/>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1,156,977</w:t>
            </w:r>
          </w:p>
        </w:tc>
        <w:tc>
          <w:tcPr>
            <w:tcW w:w="80" w:type="dxa"/>
            <w:vAlign w:val="bottom"/>
            <w:tcBorders>
              <w:bottom w:val="single" w:sz="8" w:color="CCECFF"/>
            </w:tcBorders>
            <w:shd w:val="clear" w:color="auto" w:fill="CCECFF"/>
          </w:tcPr>
          <w:p>
            <w:pPr>
              <w:spacing w:after="0"/>
              <w:rPr>
                <w:sz w:val="17"/>
                <w:szCs w:val="17"/>
                <w:color w:val="auto"/>
              </w:rPr>
            </w:pPr>
          </w:p>
        </w:tc>
      </w:tr>
      <w:tr>
        <w:trPr>
          <w:trHeight w:val="132"/>
        </w:trPr>
        <w:tc>
          <w:tcPr>
            <w:tcW w:w="73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Net asset value per share</w:t>
            </w:r>
          </w:p>
        </w:tc>
        <w:tc>
          <w:tcPr>
            <w:tcW w:w="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7.56</w:t>
            </w:r>
          </w:p>
        </w:tc>
        <w:tc>
          <w:tcPr>
            <w:tcW w:w="280" w:type="dxa"/>
            <w:vAlign w:val="bottom"/>
          </w:tcPr>
          <w:p>
            <w:pPr>
              <w:spacing w:after="0"/>
              <w:rPr>
                <w:sz w:val="11"/>
                <w:szCs w:val="11"/>
                <w:color w:val="auto"/>
              </w:rPr>
            </w:pPr>
          </w:p>
        </w:tc>
        <w:tc>
          <w:tcPr>
            <w:tcW w:w="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7.70</w:t>
            </w:r>
          </w:p>
        </w:tc>
        <w:tc>
          <w:tcPr>
            <w:tcW w:w="80" w:type="dxa"/>
            <w:vAlign w:val="bottom"/>
          </w:tcPr>
          <w:p>
            <w:pPr>
              <w:spacing w:after="0"/>
              <w:rPr>
                <w:sz w:val="11"/>
                <w:szCs w:val="1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20"/>
        </w:trPr>
        <w:tc>
          <w:tcPr>
            <w:tcW w:w="73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32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3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56"/>
        </w:trPr>
        <w:tc>
          <w:tcPr>
            <w:tcW w:w="7840" w:type="dxa"/>
            <w:vAlign w:val="bottom"/>
            <w:gridSpan w:val="5"/>
          </w:tcPr>
          <w:p>
            <w:pPr>
              <w:ind w:left="316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7120" w:type="dxa"/>
            <w:vAlign w:val="bottom"/>
            <w:gridSpan w:val="3"/>
          </w:tcPr>
          <w:p>
            <w:pPr>
              <w:ind w:left="3720"/>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2"/>
        </w:trPr>
        <w:tc>
          <w:tcPr>
            <w:tcW w:w="5500" w:type="dxa"/>
            <w:vAlign w:val="bottom"/>
          </w:tcPr>
          <w:p>
            <w:pPr>
              <w:ind w:left="4040"/>
              <w:spacing w:after="0"/>
              <w:rPr>
                <w:sz w:val="20"/>
                <w:szCs w:val="20"/>
                <w:color w:val="auto"/>
              </w:rPr>
            </w:pPr>
            <w:r>
              <w:rPr>
                <w:rFonts w:ascii="Times New Roman" w:cs="Times New Roman" w:eastAsia="Times New Roman" w:hAnsi="Times New Roman"/>
                <w:sz w:val="13"/>
                <w:szCs w:val="13"/>
                <w:color w:val="auto"/>
              </w:rPr>
              <w:t>(In thousands, except share</w:t>
            </w:r>
          </w:p>
        </w:tc>
        <w:tc>
          <w:tcPr>
            <w:tcW w:w="1620" w:type="dxa"/>
            <w:vAlign w:val="bottom"/>
            <w:gridSpan w:val="2"/>
          </w:tcPr>
          <w:p>
            <w:pPr>
              <w:jc w:val="right"/>
              <w:ind w:right="514"/>
              <w:spacing w:after="0"/>
              <w:rPr>
                <w:sz w:val="20"/>
                <w:szCs w:val="20"/>
                <w:color w:val="auto"/>
              </w:rPr>
            </w:pPr>
            <w:r>
              <w:rPr>
                <w:rFonts w:ascii="Times New Roman" w:cs="Times New Roman" w:eastAsia="Times New Roman" w:hAnsi="Times New Roman"/>
                <w:sz w:val="13"/>
                <w:szCs w:val="13"/>
                <w:color w:val="auto"/>
              </w:rPr>
              <w:t>and per share data)</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18"/>
        </w:trPr>
        <w:tc>
          <w:tcPr>
            <w:tcW w:w="5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0"/>
        </w:trPr>
        <w:tc>
          <w:tcPr>
            <w:tcW w:w="550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415"/>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415"/>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r>
      <w:tr>
        <w:trPr>
          <w:trHeight w:val="156"/>
        </w:trPr>
        <w:tc>
          <w:tcPr>
            <w:tcW w:w="5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86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4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5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From non-controlled, non-affiliated investments:</w:t>
            </w: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55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w:t>
            </w:r>
          </w:p>
        </w:tc>
        <w:tc>
          <w:tcPr>
            <w:tcW w:w="1620" w:type="dxa"/>
            <w:vAlign w:val="bottom"/>
            <w:gridSpan w:val="2"/>
            <w:shd w:val="clear" w:color="auto" w:fill="CCECFF"/>
          </w:tcPr>
          <w:p>
            <w:pPr>
              <w:jc w:val="right"/>
              <w:ind w:right="614"/>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80,527</w:t>
            </w: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93,420</w:t>
            </w: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66,995</w:t>
            </w:r>
          </w:p>
        </w:tc>
        <w:tc>
          <w:tcPr>
            <w:tcW w:w="80" w:type="dxa"/>
            <w:vAlign w:val="bottom"/>
            <w:shd w:val="clear" w:color="auto" w:fill="CCECFF"/>
          </w:tcPr>
          <w:p>
            <w:pPr>
              <w:spacing w:after="0"/>
              <w:rPr>
                <w:sz w:val="13"/>
                <w:szCs w:val="13"/>
                <w:color w:val="auto"/>
              </w:rPr>
            </w:pPr>
          </w:p>
        </w:tc>
      </w:tr>
      <w:tr>
        <w:trPr>
          <w:trHeight w:val="156"/>
        </w:trPr>
        <w:tc>
          <w:tcPr>
            <w:tcW w:w="5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Payment-in-kind</w:t>
            </w: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5,140</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1,236</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4,505</w:t>
            </w:r>
          </w:p>
        </w:tc>
        <w:tc>
          <w:tcPr>
            <w:tcW w:w="80" w:type="dxa"/>
            <w:vAlign w:val="bottom"/>
          </w:tcPr>
          <w:p>
            <w:pPr>
              <w:spacing w:after="0"/>
              <w:rPr>
                <w:sz w:val="13"/>
                <w:szCs w:val="13"/>
                <w:color w:val="auto"/>
              </w:rPr>
            </w:pPr>
          </w:p>
        </w:tc>
      </w:tr>
      <w:tr>
        <w:trPr>
          <w:trHeight w:val="156"/>
        </w:trPr>
        <w:tc>
          <w:tcPr>
            <w:tcW w:w="55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Dividend income</w:t>
            </w:r>
          </w:p>
        </w:tc>
        <w:tc>
          <w:tcPr>
            <w:tcW w:w="86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2,869</w:t>
            </w: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13,945</w:t>
            </w: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5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income</w:t>
            </w: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3,508</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2,316</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8,461</w:t>
            </w:r>
          </w:p>
        </w:tc>
        <w:tc>
          <w:tcPr>
            <w:tcW w:w="80" w:type="dxa"/>
            <w:vAlign w:val="bottom"/>
          </w:tcPr>
          <w:p>
            <w:pPr>
              <w:spacing w:after="0"/>
              <w:rPr>
                <w:sz w:val="13"/>
                <w:szCs w:val="13"/>
                <w:color w:val="auto"/>
              </w:rPr>
            </w:pPr>
          </w:p>
        </w:tc>
      </w:tr>
      <w:tr>
        <w:trPr>
          <w:trHeight w:val="156"/>
        </w:trPr>
        <w:tc>
          <w:tcPr>
            <w:tcW w:w="5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From non-controlled, affiliated investments:</w:t>
            </w:r>
          </w:p>
        </w:tc>
        <w:tc>
          <w:tcPr>
            <w:tcW w:w="86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4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5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w:t>
            </w: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gridSpan w:val="2"/>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1,361</w:t>
            </w:r>
          </w:p>
        </w:tc>
        <w:tc>
          <w:tcPr>
            <w:tcW w:w="80" w:type="dxa"/>
            <w:vAlign w:val="bottom"/>
          </w:tcPr>
          <w:p>
            <w:pPr>
              <w:spacing w:after="0"/>
              <w:rPr>
                <w:sz w:val="13"/>
                <w:szCs w:val="13"/>
                <w:color w:val="auto"/>
              </w:rPr>
            </w:pPr>
          </w:p>
        </w:tc>
      </w:tr>
      <w:tr>
        <w:trPr>
          <w:trHeight w:val="156"/>
        </w:trPr>
        <w:tc>
          <w:tcPr>
            <w:tcW w:w="55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Payment-in-kind</w:t>
            </w:r>
          </w:p>
        </w:tc>
        <w:tc>
          <w:tcPr>
            <w:tcW w:w="86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625</w:t>
            </w: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5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From controlled, affiliated investments:</w:t>
            </w: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55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w:t>
            </w:r>
          </w:p>
        </w:tc>
        <w:tc>
          <w:tcPr>
            <w:tcW w:w="86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25,738</w:t>
            </w: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15,425</w:t>
            </w: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10,586</w:t>
            </w:r>
          </w:p>
        </w:tc>
        <w:tc>
          <w:tcPr>
            <w:tcW w:w="80" w:type="dxa"/>
            <w:vAlign w:val="bottom"/>
            <w:shd w:val="clear" w:color="auto" w:fill="CCECFF"/>
          </w:tcPr>
          <w:p>
            <w:pPr>
              <w:spacing w:after="0"/>
              <w:rPr>
                <w:sz w:val="13"/>
                <w:szCs w:val="13"/>
                <w:color w:val="auto"/>
              </w:rPr>
            </w:pPr>
          </w:p>
        </w:tc>
      </w:tr>
      <w:tr>
        <w:trPr>
          <w:trHeight w:val="156"/>
        </w:trPr>
        <w:tc>
          <w:tcPr>
            <w:tcW w:w="5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Payment-in-kind</w:t>
            </w: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4,084</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2,596</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3,983</w:t>
            </w:r>
          </w:p>
        </w:tc>
        <w:tc>
          <w:tcPr>
            <w:tcW w:w="80" w:type="dxa"/>
            <w:vAlign w:val="bottom"/>
          </w:tcPr>
          <w:p>
            <w:pPr>
              <w:spacing w:after="0"/>
              <w:rPr>
                <w:sz w:val="13"/>
                <w:szCs w:val="13"/>
                <w:color w:val="auto"/>
              </w:rPr>
            </w:pPr>
          </w:p>
        </w:tc>
      </w:tr>
      <w:tr>
        <w:trPr>
          <w:trHeight w:val="156"/>
        </w:trPr>
        <w:tc>
          <w:tcPr>
            <w:tcW w:w="55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Dividend income</w:t>
            </w:r>
          </w:p>
        </w:tc>
        <w:tc>
          <w:tcPr>
            <w:tcW w:w="86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21,605</w:t>
            </w: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15,730</w:t>
            </w: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9,075</w:t>
            </w:r>
          </w:p>
        </w:tc>
        <w:tc>
          <w:tcPr>
            <w:tcW w:w="80" w:type="dxa"/>
            <w:vAlign w:val="bottom"/>
            <w:shd w:val="clear" w:color="auto" w:fill="CCECFF"/>
          </w:tcPr>
          <w:p>
            <w:pPr>
              <w:spacing w:after="0"/>
              <w:rPr>
                <w:sz w:val="13"/>
                <w:szCs w:val="13"/>
                <w:color w:val="auto"/>
              </w:rPr>
            </w:pPr>
          </w:p>
        </w:tc>
      </w:tr>
      <w:tr>
        <w:trPr>
          <w:trHeight w:val="156"/>
        </w:trPr>
        <w:tc>
          <w:tcPr>
            <w:tcW w:w="55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143,818</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145,366</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104,966</w:t>
            </w:r>
          </w:p>
        </w:tc>
        <w:tc>
          <w:tcPr>
            <w:tcW w:w="80" w:type="dxa"/>
            <w:vAlign w:val="bottom"/>
          </w:tcPr>
          <w:p>
            <w:pPr>
              <w:spacing w:after="0"/>
              <w:rPr>
                <w:sz w:val="13"/>
                <w:szCs w:val="13"/>
                <w:color w:val="auto"/>
              </w:rPr>
            </w:pPr>
          </w:p>
        </w:tc>
      </w:tr>
      <w:tr>
        <w:trPr>
          <w:trHeight w:val="156"/>
        </w:trPr>
        <w:tc>
          <w:tcPr>
            <w:tcW w:w="5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86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4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5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Base management fee</w:t>
            </w: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16,654</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16,549</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19,827</w:t>
            </w:r>
          </w:p>
        </w:tc>
        <w:tc>
          <w:tcPr>
            <w:tcW w:w="80" w:type="dxa"/>
            <w:vAlign w:val="bottom"/>
          </w:tcPr>
          <w:p>
            <w:pPr>
              <w:spacing w:after="0"/>
              <w:rPr>
                <w:sz w:val="13"/>
                <w:szCs w:val="13"/>
                <w:color w:val="auto"/>
              </w:rPr>
            </w:pPr>
          </w:p>
        </w:tc>
      </w:tr>
      <w:tr>
        <w:trPr>
          <w:trHeight w:val="156"/>
        </w:trPr>
        <w:tc>
          <w:tcPr>
            <w:tcW w:w="55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Incentive fee</w:t>
            </w:r>
          </w:p>
        </w:tc>
        <w:tc>
          <w:tcPr>
            <w:tcW w:w="86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12,741</w:t>
            </w: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13,901</w:t>
            </w: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2,657</w:t>
            </w:r>
          </w:p>
        </w:tc>
        <w:tc>
          <w:tcPr>
            <w:tcW w:w="80" w:type="dxa"/>
            <w:vAlign w:val="bottom"/>
            <w:shd w:val="clear" w:color="auto" w:fill="CCECFF"/>
          </w:tcPr>
          <w:p>
            <w:pPr>
              <w:spacing w:after="0"/>
              <w:rPr>
                <w:sz w:val="13"/>
                <w:szCs w:val="13"/>
                <w:color w:val="auto"/>
              </w:rPr>
            </w:pPr>
          </w:p>
        </w:tc>
      </w:tr>
      <w:tr>
        <w:trPr>
          <w:trHeight w:val="156"/>
        </w:trPr>
        <w:tc>
          <w:tcPr>
            <w:tcW w:w="5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and expenses on debt</w:t>
            </w: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45,188</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39,408</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28,760</w:t>
            </w:r>
          </w:p>
        </w:tc>
        <w:tc>
          <w:tcPr>
            <w:tcW w:w="80" w:type="dxa"/>
            <w:vAlign w:val="bottom"/>
          </w:tcPr>
          <w:p>
            <w:pPr>
              <w:spacing w:after="0"/>
              <w:rPr>
                <w:sz w:val="13"/>
                <w:szCs w:val="13"/>
                <w:color w:val="auto"/>
              </w:rPr>
            </w:pPr>
          </w:p>
        </w:tc>
      </w:tr>
      <w:tr>
        <w:trPr>
          <w:trHeight w:val="156"/>
        </w:trPr>
        <w:tc>
          <w:tcPr>
            <w:tcW w:w="55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Administrative services expenses</w:t>
            </w:r>
          </w:p>
        </w:tc>
        <w:tc>
          <w:tcPr>
            <w:tcW w:w="86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1,689</w:t>
            </w: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1,843</w:t>
            </w: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shd w:val="clear" w:color="auto" w:fill="CCECFF"/>
          </w:tcPr>
          <w:p>
            <w:pPr>
              <w:spacing w:after="0"/>
              <w:rPr>
                <w:sz w:val="13"/>
                <w:szCs w:val="13"/>
                <w:color w:val="auto"/>
              </w:rPr>
            </w:pPr>
          </w:p>
        </w:tc>
      </w:tr>
      <w:tr>
        <w:trPr>
          <w:trHeight w:val="156"/>
        </w:trPr>
        <w:tc>
          <w:tcPr>
            <w:tcW w:w="5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4,874</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3,837</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2,892</w:t>
            </w:r>
          </w:p>
        </w:tc>
        <w:tc>
          <w:tcPr>
            <w:tcW w:w="80" w:type="dxa"/>
            <w:vAlign w:val="bottom"/>
          </w:tcPr>
          <w:p>
            <w:pPr>
              <w:spacing w:after="0"/>
              <w:rPr>
                <w:sz w:val="13"/>
                <w:szCs w:val="13"/>
                <w:color w:val="auto"/>
              </w:rPr>
            </w:pPr>
          </w:p>
        </w:tc>
      </w:tr>
      <w:tr>
        <w:trPr>
          <w:trHeight w:val="156"/>
        </w:trPr>
        <w:tc>
          <w:tcPr>
            <w:tcW w:w="55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Expenses before provision for taxes and financing costs</w:t>
            </w:r>
          </w:p>
        </w:tc>
        <w:tc>
          <w:tcPr>
            <w:tcW w:w="86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81,146</w:t>
            </w: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75,538</w:t>
            </w: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55,136</w:t>
            </w:r>
          </w:p>
        </w:tc>
        <w:tc>
          <w:tcPr>
            <w:tcW w:w="80" w:type="dxa"/>
            <w:vAlign w:val="bottom"/>
            <w:shd w:val="clear" w:color="auto" w:fill="CCECFF"/>
          </w:tcPr>
          <w:p>
            <w:pPr>
              <w:spacing w:after="0"/>
              <w:rPr>
                <w:sz w:val="13"/>
                <w:szCs w:val="13"/>
                <w:color w:val="auto"/>
              </w:rPr>
            </w:pPr>
          </w:p>
        </w:tc>
      </w:tr>
      <w:tr>
        <w:trPr>
          <w:trHeight w:val="156"/>
        </w:trPr>
        <w:tc>
          <w:tcPr>
            <w:tcW w:w="5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Provision for taxes on net investment income</w:t>
            </w: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2,602</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4,295</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80" w:type="dxa"/>
            <w:vAlign w:val="bottom"/>
          </w:tcPr>
          <w:p>
            <w:pPr>
              <w:spacing w:after="0"/>
              <w:rPr>
                <w:sz w:val="13"/>
                <w:szCs w:val="13"/>
                <w:color w:val="auto"/>
              </w:rPr>
            </w:pPr>
          </w:p>
        </w:tc>
      </w:tr>
      <w:tr>
        <w:trPr>
          <w:trHeight w:val="156"/>
        </w:trPr>
        <w:tc>
          <w:tcPr>
            <w:tcW w:w="55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Credit facility amendment and debt issuance costs</w:t>
            </w:r>
          </w:p>
        </w:tc>
        <w:tc>
          <w:tcPr>
            <w:tcW w:w="86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720" w:type="dxa"/>
            <w:vAlign w:val="bottom"/>
            <w:gridSpan w:val="2"/>
            <w:shd w:val="clear" w:color="auto" w:fill="CCECFF"/>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3"/>
                <w:szCs w:val="13"/>
                <w:color w:val="auto"/>
              </w:rPr>
            </w:pPr>
          </w:p>
        </w:tc>
        <w:tc>
          <w:tcPr>
            <w:tcW w:w="11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5,087</w:t>
            </w:r>
          </w:p>
        </w:tc>
        <w:tc>
          <w:tcPr>
            <w:tcW w:w="80" w:type="dxa"/>
            <w:vAlign w:val="bottom"/>
            <w:shd w:val="clear" w:color="auto" w:fill="CCECFF"/>
          </w:tcPr>
          <w:p>
            <w:pPr>
              <w:spacing w:after="0"/>
              <w:rPr>
                <w:sz w:val="13"/>
                <w:szCs w:val="13"/>
                <w:color w:val="auto"/>
              </w:rPr>
            </w:pPr>
          </w:p>
        </w:tc>
      </w:tr>
      <w:tr>
        <w:trPr>
          <w:trHeight w:val="156"/>
        </w:trPr>
        <w:tc>
          <w:tcPr>
            <w:tcW w:w="55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expenses</w:t>
            </w: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83,748</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79,833</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61,023</w:t>
            </w:r>
          </w:p>
        </w:tc>
        <w:tc>
          <w:tcPr>
            <w:tcW w:w="80" w:type="dxa"/>
            <w:vAlign w:val="bottom"/>
          </w:tcPr>
          <w:p>
            <w:pPr>
              <w:spacing w:after="0"/>
              <w:rPr>
                <w:sz w:val="13"/>
                <w:szCs w:val="13"/>
                <w:color w:val="auto"/>
              </w:rPr>
            </w:pPr>
          </w:p>
        </w:tc>
      </w:tr>
      <w:tr>
        <w:trPr>
          <w:trHeight w:val="156"/>
        </w:trPr>
        <w:tc>
          <w:tcPr>
            <w:tcW w:w="55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86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60,070</w:t>
            </w: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65,533</w:t>
            </w: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43,943</w:t>
            </w:r>
          </w:p>
        </w:tc>
        <w:tc>
          <w:tcPr>
            <w:tcW w:w="80" w:type="dxa"/>
            <w:vAlign w:val="bottom"/>
            <w:shd w:val="clear" w:color="auto" w:fill="CCECFF"/>
          </w:tcPr>
          <w:p>
            <w:pPr>
              <w:spacing w:after="0"/>
              <w:rPr>
                <w:sz w:val="13"/>
                <w:szCs w:val="13"/>
                <w:color w:val="auto"/>
              </w:rPr>
            </w:pPr>
          </w:p>
        </w:tc>
      </w:tr>
      <w:tr>
        <w:trPr>
          <w:trHeight w:val="156"/>
        </w:trPr>
        <w:tc>
          <w:tcPr>
            <w:tcW w:w="5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Realized and unrealized gain (loss) on investments and debt:</w:t>
            </w: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5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realized gain (loss) on investments and debt:</w:t>
            </w:r>
          </w:p>
        </w:tc>
        <w:tc>
          <w:tcPr>
            <w:tcW w:w="86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4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5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Non-controlled, non-affiliated investments</w:t>
            </w: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1,166</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(18,418 )</w:t>
            </w:r>
          </w:p>
        </w:tc>
        <w:tc>
          <w:tcPr>
            <w:tcW w:w="26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(31,382 )</w:t>
            </w:r>
          </w:p>
        </w:tc>
      </w:tr>
      <w:tr>
        <w:trPr>
          <w:trHeight w:val="156"/>
        </w:trPr>
        <w:tc>
          <w:tcPr>
            <w:tcW w:w="55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Non-controlled and controlled, affiliated investments</w:t>
            </w:r>
          </w:p>
        </w:tc>
        <w:tc>
          <w:tcPr>
            <w:tcW w:w="86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720" w:type="dxa"/>
            <w:vAlign w:val="bottom"/>
            <w:gridSpan w:val="2"/>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(34,999 )</w:t>
            </w:r>
          </w:p>
        </w:tc>
        <w:tc>
          <w:tcPr>
            <w:tcW w:w="260" w:type="dxa"/>
            <w:vAlign w:val="bottom"/>
            <w:shd w:val="clear" w:color="auto" w:fill="CCECFF"/>
          </w:tcPr>
          <w:p>
            <w:pPr>
              <w:spacing w:after="0"/>
              <w:rPr>
                <w:sz w:val="13"/>
                <w:szCs w:val="13"/>
                <w:color w:val="auto"/>
              </w:rPr>
            </w:pPr>
          </w:p>
        </w:tc>
        <w:tc>
          <w:tcPr>
            <w:tcW w:w="11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(133,098 )</w:t>
            </w: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75,243</w:t>
            </w:r>
          </w:p>
        </w:tc>
        <w:tc>
          <w:tcPr>
            <w:tcW w:w="80" w:type="dxa"/>
            <w:vAlign w:val="bottom"/>
            <w:shd w:val="clear" w:color="auto" w:fill="CCECFF"/>
          </w:tcPr>
          <w:p>
            <w:pPr>
              <w:spacing w:after="0"/>
              <w:rPr>
                <w:sz w:val="13"/>
                <w:szCs w:val="13"/>
                <w:color w:val="auto"/>
              </w:rPr>
            </w:pPr>
          </w:p>
        </w:tc>
      </w:tr>
      <w:tr>
        <w:trPr>
          <w:trHeight w:val="156"/>
        </w:trPr>
        <w:tc>
          <w:tcPr>
            <w:tcW w:w="5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Debt extinguishment</w:t>
            </w: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gridSpan w:val="2"/>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(289 )</w:t>
            </w:r>
          </w:p>
        </w:tc>
        <w:tc>
          <w:tcPr>
            <w:tcW w:w="26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(2,922 )</w:t>
            </w:r>
          </w:p>
        </w:tc>
      </w:tr>
      <w:tr>
        <w:trPr>
          <w:trHeight w:val="156"/>
        </w:trPr>
        <w:tc>
          <w:tcPr>
            <w:tcW w:w="55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Provision for taxes on realized gain on investments</w:t>
            </w:r>
          </w:p>
        </w:tc>
        <w:tc>
          <w:tcPr>
            <w:tcW w:w="86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1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(4,952 )</w:t>
            </w:r>
          </w:p>
        </w:tc>
        <w:tc>
          <w:tcPr>
            <w:tcW w:w="26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(6,183 )</w:t>
            </w:r>
          </w:p>
        </w:tc>
      </w:tr>
      <w:tr>
        <w:trPr>
          <w:trHeight w:val="156"/>
        </w:trPr>
        <w:tc>
          <w:tcPr>
            <w:tcW w:w="55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realized gain (loss) on investments and debt</w:t>
            </w: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(33,647 )</w:t>
            </w:r>
          </w:p>
        </w:tc>
        <w:tc>
          <w:tcPr>
            <w:tcW w:w="260" w:type="dxa"/>
            <w:vAlign w:val="bottom"/>
          </w:tcPr>
          <w:p>
            <w:pPr>
              <w:spacing w:after="0"/>
              <w:rPr>
                <w:sz w:val="13"/>
                <w:szCs w:val="1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(156,757 )</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34,756</w:t>
            </w:r>
          </w:p>
        </w:tc>
        <w:tc>
          <w:tcPr>
            <w:tcW w:w="80" w:type="dxa"/>
            <w:vAlign w:val="bottom"/>
          </w:tcPr>
          <w:p>
            <w:pPr>
              <w:spacing w:after="0"/>
              <w:rPr>
                <w:sz w:val="13"/>
                <w:szCs w:val="13"/>
                <w:color w:val="auto"/>
              </w:rPr>
            </w:pPr>
          </w:p>
        </w:tc>
      </w:tr>
      <w:tr>
        <w:trPr>
          <w:trHeight w:val="156"/>
        </w:trPr>
        <w:tc>
          <w:tcPr>
            <w:tcW w:w="5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change in unrealized appreciation (depreciation) on:</w:t>
            </w:r>
          </w:p>
        </w:tc>
        <w:tc>
          <w:tcPr>
            <w:tcW w:w="86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4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5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Non-controlled, non-affiliated investments</w:t>
            </w: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(20,895 )</w:t>
            </w:r>
          </w:p>
        </w:tc>
        <w:tc>
          <w:tcPr>
            <w:tcW w:w="260" w:type="dxa"/>
            <w:vAlign w:val="bottom"/>
          </w:tcPr>
          <w:p>
            <w:pPr>
              <w:spacing w:after="0"/>
              <w:rPr>
                <w:sz w:val="13"/>
                <w:szCs w:val="1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(35,440 )</w:t>
            </w:r>
          </w:p>
        </w:tc>
        <w:tc>
          <w:tcPr>
            <w:tcW w:w="26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(182,863 )</w:t>
            </w:r>
          </w:p>
        </w:tc>
      </w:tr>
      <w:tr>
        <w:trPr>
          <w:trHeight w:val="180"/>
        </w:trPr>
        <w:tc>
          <w:tcPr>
            <w:tcW w:w="55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Non-controlled and controlled, affiliated investments</w:t>
            </w:r>
          </w:p>
        </w:tc>
        <w:tc>
          <w:tcPr>
            <w:tcW w:w="860" w:type="dxa"/>
            <w:vAlign w:val="bottom"/>
            <w:shd w:val="clear" w:color="auto" w:fill="CCECFF"/>
          </w:tcPr>
          <w:p>
            <w:pPr>
              <w:spacing w:after="0"/>
              <w:rPr>
                <w:sz w:val="15"/>
                <w:szCs w:val="15"/>
                <w:color w:val="auto"/>
              </w:rPr>
            </w:pPr>
          </w:p>
        </w:tc>
        <w:tc>
          <w:tcPr>
            <w:tcW w:w="760" w:type="dxa"/>
            <w:vAlign w:val="bottom"/>
            <w:shd w:val="clear" w:color="auto" w:fill="CCECFF"/>
          </w:tcPr>
          <w:p>
            <w:pPr>
              <w:spacing w:after="0"/>
              <w:rPr>
                <w:sz w:val="15"/>
                <w:szCs w:val="15"/>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48,388</w:t>
            </w:r>
          </w:p>
        </w:tc>
        <w:tc>
          <w:tcPr>
            <w:tcW w:w="26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95,034</w:t>
            </w:r>
          </w:p>
        </w:tc>
        <w:tc>
          <w:tcPr>
            <w:tcW w:w="2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72,819</w:t>
            </w:r>
          </w:p>
        </w:tc>
        <w:tc>
          <w:tcPr>
            <w:tcW w:w="80" w:type="dxa"/>
            <w:vAlign w:val="bottom"/>
            <w:shd w:val="clear" w:color="auto" w:fill="CCECFF"/>
          </w:tcPr>
          <w:p>
            <w:pPr>
              <w:spacing w:after="0"/>
              <w:rPr>
                <w:sz w:val="15"/>
                <w:szCs w:val="15"/>
                <w:color w:val="auto"/>
              </w:rPr>
            </w:pPr>
          </w:p>
        </w:tc>
      </w:tr>
      <w:tr>
        <w:trPr>
          <w:trHeight w:val="156"/>
        </w:trPr>
        <w:tc>
          <w:tcPr>
            <w:tcW w:w="5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Provision for taxes on unrealized appreciation (depreciation) on investments</w:t>
            </w: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(680 )</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1,576</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(896 )</w:t>
            </w:r>
          </w:p>
        </w:tc>
      </w:tr>
      <w:tr>
        <w:trPr>
          <w:trHeight w:val="156"/>
        </w:trPr>
        <w:tc>
          <w:tcPr>
            <w:tcW w:w="55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Debt appreciation (depreciation)</w:t>
            </w:r>
          </w:p>
        </w:tc>
        <w:tc>
          <w:tcPr>
            <w:tcW w:w="86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720" w:type="dxa"/>
            <w:vAlign w:val="bottom"/>
            <w:gridSpan w:val="2"/>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(4,385 )</w:t>
            </w:r>
          </w:p>
        </w:tc>
        <w:tc>
          <w:tcPr>
            <w:tcW w:w="260" w:type="dxa"/>
            <w:vAlign w:val="bottom"/>
            <w:shd w:val="clear" w:color="auto" w:fill="CCECFF"/>
          </w:tcPr>
          <w:p>
            <w:pPr>
              <w:spacing w:after="0"/>
              <w:rPr>
                <w:sz w:val="13"/>
                <w:szCs w:val="13"/>
                <w:color w:val="auto"/>
              </w:rPr>
            </w:pPr>
          </w:p>
        </w:tc>
        <w:tc>
          <w:tcPr>
            <w:tcW w:w="11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(3,753 )</w:t>
            </w: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7,501</w:t>
            </w:r>
          </w:p>
        </w:tc>
        <w:tc>
          <w:tcPr>
            <w:tcW w:w="80" w:type="dxa"/>
            <w:vAlign w:val="bottom"/>
            <w:shd w:val="clear" w:color="auto" w:fill="CCECFF"/>
          </w:tcPr>
          <w:p>
            <w:pPr>
              <w:spacing w:after="0"/>
              <w:rPr>
                <w:sz w:val="13"/>
                <w:szCs w:val="13"/>
                <w:color w:val="auto"/>
              </w:rPr>
            </w:pPr>
          </w:p>
        </w:tc>
      </w:tr>
      <w:tr>
        <w:trPr>
          <w:trHeight w:val="156"/>
        </w:trPr>
        <w:tc>
          <w:tcPr>
            <w:tcW w:w="55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change in unrealized appreciation (depreciation) on investments and debt</w:t>
            </w: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22,428</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57,417</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(103,439 )</w:t>
            </w:r>
          </w:p>
        </w:tc>
      </w:tr>
      <w:tr>
        <w:trPr>
          <w:trHeight w:val="156"/>
        </w:trPr>
        <w:tc>
          <w:tcPr>
            <w:tcW w:w="5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realized and unrealized gain (loss) from investments and debt</w:t>
            </w:r>
          </w:p>
        </w:tc>
        <w:tc>
          <w:tcPr>
            <w:tcW w:w="86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720" w:type="dxa"/>
            <w:vAlign w:val="bottom"/>
            <w:gridSpan w:val="2"/>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(11,219 )</w:t>
            </w:r>
          </w:p>
        </w:tc>
        <w:tc>
          <w:tcPr>
            <w:tcW w:w="260" w:type="dxa"/>
            <w:vAlign w:val="bottom"/>
            <w:shd w:val="clear" w:color="auto" w:fill="CCECFF"/>
          </w:tcPr>
          <w:p>
            <w:pPr>
              <w:spacing w:after="0"/>
              <w:rPr>
                <w:sz w:val="13"/>
                <w:szCs w:val="13"/>
                <w:color w:val="auto"/>
              </w:rPr>
            </w:pPr>
          </w:p>
        </w:tc>
        <w:tc>
          <w:tcPr>
            <w:tcW w:w="11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(99,340 )</w:t>
            </w:r>
          </w:p>
        </w:tc>
        <w:tc>
          <w:tcPr>
            <w:tcW w:w="26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(68,683 )</w:t>
            </w:r>
          </w:p>
        </w:tc>
      </w:tr>
      <w:tr>
        <w:trPr>
          <w:trHeight w:val="156"/>
        </w:trPr>
        <w:tc>
          <w:tcPr>
            <w:tcW w:w="5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w:t>
            </w:r>
          </w:p>
        </w:tc>
        <w:tc>
          <w:tcPr>
            <w:tcW w:w="1620" w:type="dxa"/>
            <w:vAlign w:val="bottom"/>
            <w:gridSpan w:val="2"/>
          </w:tcPr>
          <w:p>
            <w:pPr>
              <w:jc w:val="right"/>
              <w:ind w:right="614"/>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48,851</w:t>
            </w:r>
          </w:p>
        </w:tc>
        <w:tc>
          <w:tcPr>
            <w:tcW w:w="260" w:type="dxa"/>
            <w:vAlign w:val="bottom"/>
          </w:tcPr>
          <w:p>
            <w:pPr>
              <w:spacing w:after="0"/>
              <w:rPr>
                <w:sz w:val="13"/>
                <w:szCs w:val="13"/>
                <w:color w:val="auto"/>
              </w:rPr>
            </w:pP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(33,807 )</w:t>
            </w: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(24,740 )</w:t>
            </w:r>
          </w:p>
        </w:tc>
      </w:tr>
      <w:tr>
        <w:trPr>
          <w:trHeight w:val="196"/>
        </w:trPr>
        <w:tc>
          <w:tcPr>
            <w:tcW w:w="5500" w:type="dxa"/>
            <w:vAlign w:val="bottom"/>
            <w:shd w:val="clear" w:color="auto" w:fill="CCECFF"/>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 per common share</w:t>
            </w:r>
          </w:p>
        </w:tc>
        <w:tc>
          <w:tcPr>
            <w:tcW w:w="860" w:type="dxa"/>
            <w:vAlign w:val="bottom"/>
            <w:shd w:val="clear" w:color="auto" w:fill="CCECFF"/>
          </w:tcPr>
          <w:p>
            <w:pPr>
              <w:spacing w:after="0"/>
              <w:rPr>
                <w:sz w:val="17"/>
                <w:szCs w:val="17"/>
                <w:color w:val="auto"/>
              </w:rPr>
            </w:pPr>
          </w:p>
        </w:tc>
        <w:tc>
          <w:tcPr>
            <w:tcW w:w="760" w:type="dxa"/>
            <w:vAlign w:val="bottom"/>
            <w:shd w:val="clear" w:color="auto" w:fill="CCECFF"/>
          </w:tcPr>
          <w:p>
            <w:pPr>
              <w:jc w:val="right"/>
              <w:ind w:right="61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CFF"/>
          </w:tcPr>
          <w:p>
            <w:pPr>
              <w:jc w:val="right"/>
              <w:spacing w:after="0" w:line="136" w:lineRule="exact"/>
              <w:rPr>
                <w:sz w:val="20"/>
                <w:szCs w:val="20"/>
                <w:color w:val="auto"/>
              </w:rPr>
            </w:pPr>
            <w:r>
              <w:rPr>
                <w:rFonts w:ascii="Times New Roman" w:cs="Times New Roman" w:eastAsia="Times New Roman" w:hAnsi="Times New Roman"/>
                <w:sz w:val="13"/>
                <w:szCs w:val="13"/>
                <w:color w:val="auto"/>
              </w:rPr>
              <w:t>0.75</w:t>
            </w:r>
          </w:p>
        </w:tc>
        <w:tc>
          <w:tcPr>
            <w:tcW w:w="260" w:type="dxa"/>
            <w:vAlign w:val="bottom"/>
            <w:shd w:val="clear" w:color="auto" w:fill="CCECFF"/>
          </w:tcPr>
          <w:p>
            <w:pPr>
              <w:spacing w:after="0"/>
              <w:rPr>
                <w:sz w:val="17"/>
                <w:szCs w:val="17"/>
                <w:color w:val="auto"/>
              </w:rPr>
            </w:pPr>
          </w:p>
        </w:tc>
        <w:tc>
          <w:tcPr>
            <w:tcW w:w="260" w:type="dxa"/>
            <w:vAlign w:val="bottom"/>
            <w:shd w:val="clear" w:color="auto" w:fill="CCEC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CFF"/>
          </w:tcPr>
          <w:p>
            <w:pPr>
              <w:jc w:val="right"/>
              <w:ind w:right="180"/>
              <w:spacing w:after="0" w:line="136" w:lineRule="exact"/>
              <w:rPr>
                <w:sz w:val="20"/>
                <w:szCs w:val="20"/>
                <w:color w:val="auto"/>
              </w:rPr>
            </w:pPr>
            <w:r>
              <w:rPr>
                <w:rFonts w:ascii="Times New Roman" w:cs="Times New Roman" w:eastAsia="Times New Roman" w:hAnsi="Times New Roman"/>
                <w:sz w:val="9"/>
                <w:szCs w:val="9"/>
                <w:color w:val="auto"/>
              </w:rPr>
              <w:t xml:space="preserve">(0.52 </w:t>
            </w:r>
            <w:r>
              <w:rPr>
                <w:rFonts w:ascii="Times New Roman" w:cs="Times New Roman" w:eastAsia="Times New Roman" w:hAnsi="Times New Roman"/>
                <w:sz w:val="15"/>
                <w:szCs w:val="15"/>
                <w:color w:val="auto"/>
                <w:vertAlign w:val="subscript"/>
              </w:rPr>
              <w:t>)</w:t>
            </w:r>
          </w:p>
        </w:tc>
        <w:tc>
          <w:tcPr>
            <w:tcW w:w="260" w:type="dxa"/>
            <w:vAlign w:val="bottom"/>
            <w:shd w:val="clear" w:color="auto" w:fill="CCECFF"/>
          </w:tcPr>
          <w:p>
            <w:pPr>
              <w:jc w:val="right"/>
              <w:ind w:right="11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CECFF"/>
          </w:tcPr>
          <w:p>
            <w:pPr>
              <w:jc w:val="right"/>
              <w:ind w:right="40"/>
              <w:spacing w:after="0" w:line="136" w:lineRule="exact"/>
              <w:rPr>
                <w:sz w:val="20"/>
                <w:szCs w:val="20"/>
                <w:color w:val="auto"/>
              </w:rPr>
            </w:pPr>
            <w:r>
              <w:rPr>
                <w:rFonts w:ascii="Times New Roman" w:cs="Times New Roman" w:eastAsia="Times New Roman" w:hAnsi="Times New Roman"/>
                <w:sz w:val="9"/>
                <w:szCs w:val="9"/>
                <w:color w:val="auto"/>
              </w:rPr>
              <w:t xml:space="preserve">(0.37 </w:t>
            </w:r>
            <w:r>
              <w:rPr>
                <w:rFonts w:ascii="Times New Roman" w:cs="Times New Roman" w:eastAsia="Times New Roman" w:hAnsi="Times New Roman"/>
                <w:sz w:val="15"/>
                <w:szCs w:val="15"/>
                <w:color w:val="auto"/>
                <w:vertAlign w:val="subscript"/>
              </w:rPr>
              <w:t>)</w:t>
            </w:r>
          </w:p>
        </w:tc>
      </w:tr>
      <w:tr>
        <w:trPr>
          <w:trHeight w:val="132"/>
        </w:trPr>
        <w:tc>
          <w:tcPr>
            <w:tcW w:w="5500" w:type="dxa"/>
            <w:vAlign w:val="bottom"/>
            <w:tcBorders>
              <w:top w:val="single" w:sz="8" w:color="CCECFF"/>
            </w:tcBorders>
          </w:tcPr>
          <w:p>
            <w:pPr>
              <w:ind w:left="20"/>
              <w:spacing w:after="0" w:line="133" w:lineRule="exact"/>
              <w:rPr>
                <w:sz w:val="20"/>
                <w:szCs w:val="20"/>
                <w:color w:val="auto"/>
              </w:rPr>
            </w:pPr>
            <w:r>
              <w:rPr>
                <w:rFonts w:ascii="Times New Roman" w:cs="Times New Roman" w:eastAsia="Times New Roman" w:hAnsi="Times New Roman"/>
                <w:sz w:val="13"/>
                <w:szCs w:val="13"/>
                <w:color w:val="auto"/>
              </w:rPr>
              <w:t>Net investment income per common share</w:t>
            </w:r>
          </w:p>
        </w:tc>
        <w:tc>
          <w:tcPr>
            <w:tcW w:w="860" w:type="dxa"/>
            <w:vAlign w:val="bottom"/>
            <w:tcBorders>
              <w:top w:val="single" w:sz="8" w:color="CCECFF"/>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61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0.92</w:t>
            </w:r>
          </w:p>
        </w:tc>
        <w:tc>
          <w:tcPr>
            <w:tcW w:w="260" w:type="dxa"/>
            <w:vAlign w:val="bottom"/>
            <w:tcBorders>
              <w:top w:val="single" w:sz="8" w:color="CCECFF"/>
            </w:tcBorders>
          </w:tcPr>
          <w:p>
            <w:pPr>
              <w:spacing w:after="0"/>
              <w:rPr>
                <w:sz w:val="11"/>
                <w:szCs w:val="11"/>
                <w:color w:val="auto"/>
              </w:rPr>
            </w:pPr>
          </w:p>
        </w:tc>
        <w:tc>
          <w:tcPr>
            <w:tcW w:w="260" w:type="dxa"/>
            <w:vAlign w:val="bottom"/>
            <w:tcBorders>
              <w:top w:val="single" w:sz="8" w:color="auto"/>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1.00</w:t>
            </w:r>
          </w:p>
        </w:tc>
        <w:tc>
          <w:tcPr>
            <w:tcW w:w="240" w:type="dxa"/>
            <w:vAlign w:val="bottom"/>
            <w:tcBorders>
              <w:top w:val="single" w:sz="8" w:color="CCECFF"/>
            </w:tcBorders>
          </w:tcPr>
          <w:p>
            <w:pPr>
              <w:spacing w:after="0"/>
              <w:rPr>
                <w:sz w:val="11"/>
                <w:szCs w:val="11"/>
                <w:color w:val="auto"/>
              </w:rPr>
            </w:pPr>
          </w:p>
        </w:tc>
        <w:tc>
          <w:tcPr>
            <w:tcW w:w="260" w:type="dxa"/>
            <w:vAlign w:val="bottom"/>
            <w:tcBorders>
              <w:top w:val="single" w:sz="8" w:color="auto"/>
              <w:bottom w:val="single" w:sz="8" w:color="auto"/>
            </w:tcBorders>
          </w:tcPr>
          <w:p>
            <w:pPr>
              <w:jc w:val="right"/>
              <w:ind w:right="11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0.66</w:t>
            </w:r>
          </w:p>
        </w:tc>
        <w:tc>
          <w:tcPr>
            <w:tcW w:w="80" w:type="dxa"/>
            <w:vAlign w:val="bottom"/>
            <w:tcBorders>
              <w:top w:val="single" w:sz="8" w:color="CCECFF"/>
            </w:tcBorders>
          </w:tcPr>
          <w:p>
            <w:pPr>
              <w:spacing w:after="0"/>
              <w:rPr>
                <w:sz w:val="11"/>
                <w:szCs w:val="11"/>
                <w:color w:val="auto"/>
              </w:rPr>
            </w:pPr>
          </w:p>
        </w:tc>
      </w:tr>
      <w:tr>
        <w:trPr>
          <w:trHeight w:val="20"/>
        </w:trPr>
        <w:tc>
          <w:tcPr>
            <w:tcW w:w="5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CHANGES IN NET ASSETS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and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0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6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r>
      <w:tr>
        <w:trPr>
          <w:trHeight w:val="156"/>
        </w:trPr>
        <w:tc>
          <w:tcPr>
            <w:tcW w:w="6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w:t>
            </w:r>
          </w:p>
        </w:tc>
        <w:tc>
          <w:tcPr>
            <w:tcW w:w="760" w:type="dxa"/>
            <w:vAlign w:val="bottom"/>
            <w:shd w:val="clear" w:color="auto" w:fill="CCECFF"/>
          </w:tcPr>
          <w:p>
            <w:pPr>
              <w:spacing w:after="0"/>
              <w:rPr>
                <w:sz w:val="13"/>
                <w:szCs w:val="13"/>
                <w:color w:val="auto"/>
              </w:rPr>
            </w:pPr>
          </w:p>
        </w:tc>
        <w:tc>
          <w:tcPr>
            <w:tcW w:w="4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6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investment income</w:t>
            </w:r>
          </w:p>
        </w:tc>
        <w:tc>
          <w:tcPr>
            <w:tcW w:w="760" w:type="dxa"/>
            <w:vAlign w:val="bottom"/>
          </w:tcPr>
          <w:p>
            <w:pPr>
              <w:jc w:val="right"/>
              <w:ind w:right="614"/>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60,070</w:t>
            </w:r>
          </w:p>
        </w:tc>
        <w:tc>
          <w:tcPr>
            <w:tcW w:w="260" w:type="dxa"/>
            <w:vAlign w:val="bottom"/>
          </w:tcPr>
          <w:p>
            <w:pPr>
              <w:spacing w:after="0"/>
              <w:rPr>
                <w:sz w:val="13"/>
                <w:szCs w:val="13"/>
                <w:color w:val="auto"/>
              </w:rPr>
            </w:pP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65,533</w:t>
            </w:r>
          </w:p>
        </w:tc>
        <w:tc>
          <w:tcPr>
            <w:tcW w:w="240" w:type="dxa"/>
            <w:vAlign w:val="bottom"/>
          </w:tcPr>
          <w:p>
            <w:pPr>
              <w:spacing w:after="0"/>
              <w:rPr>
                <w:sz w:val="13"/>
                <w:szCs w:val="13"/>
                <w:color w:val="auto"/>
              </w:rPr>
            </w:pP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43,943</w:t>
            </w:r>
          </w:p>
        </w:tc>
        <w:tc>
          <w:tcPr>
            <w:tcW w:w="80" w:type="dxa"/>
            <w:vAlign w:val="bottom"/>
          </w:tcPr>
          <w:p>
            <w:pPr>
              <w:spacing w:after="0"/>
              <w:rPr>
                <w:sz w:val="13"/>
                <w:szCs w:val="13"/>
                <w:color w:val="auto"/>
              </w:rPr>
            </w:pPr>
          </w:p>
        </w:tc>
      </w:tr>
      <w:tr>
        <w:trPr>
          <w:trHeight w:val="156"/>
        </w:trPr>
        <w:tc>
          <w:tcPr>
            <w:tcW w:w="63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Net realized gain (loss) on investments and debt</w:t>
            </w:r>
          </w:p>
        </w:tc>
        <w:tc>
          <w:tcPr>
            <w:tcW w:w="760" w:type="dxa"/>
            <w:vAlign w:val="bottom"/>
            <w:shd w:val="clear" w:color="auto" w:fill="CCECFF"/>
          </w:tcPr>
          <w:p>
            <w:pPr>
              <w:spacing w:after="0"/>
              <w:rPr>
                <w:sz w:val="13"/>
                <w:szCs w:val="13"/>
                <w:color w:val="auto"/>
              </w:rPr>
            </w:pPr>
          </w:p>
        </w:tc>
        <w:tc>
          <w:tcPr>
            <w:tcW w:w="720" w:type="dxa"/>
            <w:vAlign w:val="bottom"/>
            <w:gridSpan w:val="2"/>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(33,833 )</w:t>
            </w:r>
          </w:p>
        </w:tc>
        <w:tc>
          <w:tcPr>
            <w:tcW w:w="260" w:type="dxa"/>
            <w:vAlign w:val="bottom"/>
            <w:shd w:val="clear" w:color="auto" w:fill="CCECFF"/>
          </w:tcPr>
          <w:p>
            <w:pPr>
              <w:spacing w:after="0"/>
              <w:rPr>
                <w:sz w:val="13"/>
                <w:szCs w:val="13"/>
                <w:color w:val="auto"/>
              </w:rPr>
            </w:pPr>
          </w:p>
        </w:tc>
        <w:tc>
          <w:tcPr>
            <w:tcW w:w="11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(151,805 )</w:t>
            </w: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40,939</w:t>
            </w:r>
          </w:p>
        </w:tc>
        <w:tc>
          <w:tcPr>
            <w:tcW w:w="80" w:type="dxa"/>
            <w:vAlign w:val="bottom"/>
            <w:shd w:val="clear" w:color="auto" w:fill="CCECFF"/>
          </w:tcPr>
          <w:p>
            <w:pPr>
              <w:spacing w:after="0"/>
              <w:rPr>
                <w:sz w:val="13"/>
                <w:szCs w:val="13"/>
                <w:color w:val="auto"/>
              </w:rPr>
            </w:pPr>
          </w:p>
        </w:tc>
      </w:tr>
      <w:tr>
        <w:trPr>
          <w:trHeight w:val="156"/>
        </w:trPr>
        <w:tc>
          <w:tcPr>
            <w:tcW w:w="6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7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27,493</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59,594</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(110,044 )</w:t>
            </w:r>
          </w:p>
        </w:tc>
      </w:tr>
      <w:tr>
        <w:trPr>
          <w:trHeight w:val="156"/>
        </w:trPr>
        <w:tc>
          <w:tcPr>
            <w:tcW w:w="63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Net change in provision for taxes on realized gain (loss) on investments</w:t>
            </w:r>
          </w:p>
        </w:tc>
        <w:tc>
          <w:tcPr>
            <w:tcW w:w="76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1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(4,952 )</w:t>
            </w:r>
          </w:p>
        </w:tc>
        <w:tc>
          <w:tcPr>
            <w:tcW w:w="26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(6,183 )</w:t>
            </w:r>
          </w:p>
        </w:tc>
      </w:tr>
      <w:tr>
        <w:trPr>
          <w:trHeight w:val="156"/>
        </w:trPr>
        <w:tc>
          <w:tcPr>
            <w:tcW w:w="6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change in provision for taxes on change in unrealized appreciation (depreciation) on investments</w:t>
            </w:r>
          </w:p>
        </w:tc>
        <w:tc>
          <w:tcPr>
            <w:tcW w:w="760" w:type="dxa"/>
            <w:vAlign w:val="bottom"/>
          </w:tcPr>
          <w:p>
            <w:pPr>
              <w:spacing w:after="0"/>
              <w:rPr>
                <w:sz w:val="13"/>
                <w:szCs w:val="13"/>
                <w:color w:val="auto"/>
              </w:rPr>
            </w:pPr>
          </w:p>
        </w:tc>
        <w:tc>
          <w:tcPr>
            <w:tcW w:w="72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(680 )</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1,576</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(896 )</w:t>
            </w:r>
          </w:p>
        </w:tc>
      </w:tr>
      <w:tr>
        <w:trPr>
          <w:trHeight w:val="156"/>
        </w:trPr>
        <w:tc>
          <w:tcPr>
            <w:tcW w:w="63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Net change in unrealized (appreciation) depreciation on debt</w:t>
            </w:r>
          </w:p>
        </w:tc>
        <w:tc>
          <w:tcPr>
            <w:tcW w:w="760" w:type="dxa"/>
            <w:vAlign w:val="bottom"/>
            <w:shd w:val="clear" w:color="auto" w:fill="CCECFF"/>
          </w:tcPr>
          <w:p>
            <w:pPr>
              <w:spacing w:after="0"/>
              <w:rPr>
                <w:sz w:val="13"/>
                <w:szCs w:val="13"/>
                <w:color w:val="auto"/>
              </w:rPr>
            </w:pPr>
          </w:p>
        </w:tc>
        <w:tc>
          <w:tcPr>
            <w:tcW w:w="720" w:type="dxa"/>
            <w:vAlign w:val="bottom"/>
            <w:gridSpan w:val="2"/>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(4,385 )</w:t>
            </w:r>
          </w:p>
        </w:tc>
        <w:tc>
          <w:tcPr>
            <w:tcW w:w="260" w:type="dxa"/>
            <w:vAlign w:val="bottom"/>
            <w:shd w:val="clear" w:color="auto" w:fill="CCECFF"/>
          </w:tcPr>
          <w:p>
            <w:pPr>
              <w:spacing w:after="0"/>
              <w:rPr>
                <w:sz w:val="13"/>
                <w:szCs w:val="13"/>
                <w:color w:val="auto"/>
              </w:rPr>
            </w:pPr>
          </w:p>
        </w:tc>
        <w:tc>
          <w:tcPr>
            <w:tcW w:w="11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(3,753 )</w:t>
            </w: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7,501</w:t>
            </w:r>
          </w:p>
        </w:tc>
        <w:tc>
          <w:tcPr>
            <w:tcW w:w="80" w:type="dxa"/>
            <w:vAlign w:val="bottom"/>
            <w:shd w:val="clear" w:color="auto" w:fill="CCECFF"/>
          </w:tcPr>
          <w:p>
            <w:pPr>
              <w:spacing w:after="0"/>
              <w:rPr>
                <w:sz w:val="13"/>
                <w:szCs w:val="13"/>
                <w:color w:val="auto"/>
              </w:rPr>
            </w:pPr>
          </w:p>
        </w:tc>
      </w:tr>
      <w:tr>
        <w:trPr>
          <w:trHeight w:val="156"/>
        </w:trPr>
        <w:tc>
          <w:tcPr>
            <w:tcW w:w="636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w:t>
            </w:r>
          </w:p>
        </w:tc>
        <w:tc>
          <w:tcPr>
            <w:tcW w:w="7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48,851</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(33,807 )</w:t>
            </w:r>
          </w:p>
        </w:tc>
        <w:tc>
          <w:tcPr>
            <w:tcW w:w="26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(24,740 )</w:t>
            </w:r>
          </w:p>
        </w:tc>
      </w:tr>
      <w:tr>
        <w:trPr>
          <w:trHeight w:val="156"/>
        </w:trPr>
        <w:tc>
          <w:tcPr>
            <w:tcW w:w="6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Distributions to stockholders:</w:t>
            </w:r>
          </w:p>
        </w:tc>
        <w:tc>
          <w:tcPr>
            <w:tcW w:w="760" w:type="dxa"/>
            <w:vAlign w:val="bottom"/>
            <w:shd w:val="clear" w:color="auto" w:fill="CCECFF"/>
          </w:tcPr>
          <w:p>
            <w:pPr>
              <w:spacing w:after="0"/>
              <w:rPr>
                <w:sz w:val="13"/>
                <w:szCs w:val="13"/>
                <w:color w:val="auto"/>
              </w:rPr>
            </w:pPr>
          </w:p>
        </w:tc>
        <w:tc>
          <w:tcPr>
            <w:tcW w:w="4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6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Distribution of net investment income</w:t>
            </w:r>
          </w:p>
        </w:tc>
        <w:tc>
          <w:tcPr>
            <w:tcW w:w="760" w:type="dxa"/>
            <w:vAlign w:val="bottom"/>
          </w:tcPr>
          <w:p>
            <w:pPr>
              <w:spacing w:after="0"/>
              <w:rPr>
                <w:sz w:val="13"/>
                <w:szCs w:val="13"/>
                <w:color w:val="auto"/>
              </w:rPr>
            </w:pPr>
          </w:p>
        </w:tc>
        <w:tc>
          <w:tcPr>
            <w:tcW w:w="72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(57,432 )</w:t>
            </w:r>
          </w:p>
        </w:tc>
        <w:tc>
          <w:tcPr>
            <w:tcW w:w="260" w:type="dxa"/>
            <w:vAlign w:val="bottom"/>
          </w:tcPr>
          <w:p>
            <w:pPr>
              <w:spacing w:after="0"/>
              <w:rPr>
                <w:sz w:val="13"/>
                <w:szCs w:val="1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(49,571 )</w:t>
            </w:r>
          </w:p>
        </w:tc>
        <w:tc>
          <w:tcPr>
            <w:tcW w:w="26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(36,590 )</w:t>
            </w:r>
          </w:p>
        </w:tc>
      </w:tr>
      <w:tr>
        <w:trPr>
          <w:trHeight w:val="156"/>
        </w:trPr>
        <w:tc>
          <w:tcPr>
            <w:tcW w:w="63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distributios to stockholders</w:t>
            </w:r>
          </w:p>
        </w:tc>
        <w:tc>
          <w:tcPr>
            <w:tcW w:w="760" w:type="dxa"/>
            <w:vAlign w:val="bottom"/>
            <w:shd w:val="clear" w:color="auto" w:fill="CCECFF"/>
          </w:tcPr>
          <w:p>
            <w:pPr>
              <w:spacing w:after="0"/>
              <w:rPr>
                <w:sz w:val="13"/>
                <w:szCs w:val="13"/>
                <w:color w:val="auto"/>
              </w:rPr>
            </w:pPr>
          </w:p>
        </w:tc>
        <w:tc>
          <w:tcPr>
            <w:tcW w:w="720" w:type="dxa"/>
            <w:vAlign w:val="bottom"/>
            <w:gridSpan w:val="2"/>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(57,432 )</w:t>
            </w:r>
          </w:p>
        </w:tc>
        <w:tc>
          <w:tcPr>
            <w:tcW w:w="260" w:type="dxa"/>
            <w:vAlign w:val="bottom"/>
            <w:shd w:val="clear" w:color="auto" w:fill="CCECFF"/>
          </w:tcPr>
          <w:p>
            <w:pPr>
              <w:spacing w:after="0"/>
              <w:rPr>
                <w:sz w:val="13"/>
                <w:szCs w:val="13"/>
                <w:color w:val="auto"/>
              </w:rPr>
            </w:pPr>
          </w:p>
        </w:tc>
        <w:tc>
          <w:tcPr>
            <w:tcW w:w="11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(49,571 )</w:t>
            </w:r>
          </w:p>
        </w:tc>
        <w:tc>
          <w:tcPr>
            <w:tcW w:w="26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(36,590 )</w:t>
            </w:r>
          </w:p>
        </w:tc>
      </w:tr>
      <w:tr>
        <w:trPr>
          <w:trHeight w:val="156"/>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Capital transactions:</w:t>
            </w: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63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Public offering</w:t>
            </w:r>
          </w:p>
        </w:tc>
        <w:tc>
          <w:tcPr>
            <w:tcW w:w="76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552</w:t>
            </w: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1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Offering costs</w:t>
            </w:r>
          </w:p>
        </w:tc>
        <w:tc>
          <w:tcPr>
            <w:tcW w:w="760" w:type="dxa"/>
            <w:vAlign w:val="bottom"/>
          </w:tcPr>
          <w:p>
            <w:pPr>
              <w:spacing w:after="0"/>
              <w:rPr>
                <w:sz w:val="13"/>
                <w:szCs w:val="13"/>
                <w:color w:val="auto"/>
              </w:rPr>
            </w:pPr>
          </w:p>
        </w:tc>
        <w:tc>
          <w:tcPr>
            <w:tcW w:w="72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(250 )</w:t>
            </w:r>
          </w:p>
        </w:tc>
        <w:tc>
          <w:tcPr>
            <w:tcW w:w="260" w:type="dxa"/>
            <w:vAlign w:val="bottom"/>
          </w:tcPr>
          <w:p>
            <w:pPr>
              <w:spacing w:after="0"/>
              <w:rPr>
                <w:sz w:val="13"/>
                <w:szCs w:val="13"/>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3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760" w:type="dxa"/>
            <w:vAlign w:val="bottom"/>
            <w:shd w:val="clear" w:color="auto" w:fill="CCECFF"/>
          </w:tcPr>
          <w:p>
            <w:pPr>
              <w:spacing w:after="0"/>
              <w:rPr>
                <w:sz w:val="13"/>
                <w:szCs w:val="13"/>
                <w:color w:val="auto"/>
              </w:rPr>
            </w:pPr>
          </w:p>
        </w:tc>
        <w:tc>
          <w:tcPr>
            <w:tcW w:w="720" w:type="dxa"/>
            <w:vAlign w:val="bottom"/>
            <w:gridSpan w:val="2"/>
            <w:shd w:val="clear" w:color="auto" w:fill="CCECFF"/>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3"/>
                <w:szCs w:val="13"/>
                <w:color w:val="auto"/>
              </w:rPr>
            </w:pPr>
          </w:p>
        </w:tc>
        <w:tc>
          <w:tcPr>
            <w:tcW w:w="11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(13,249 )</w:t>
            </w:r>
          </w:p>
        </w:tc>
      </w:tr>
      <w:tr>
        <w:trPr>
          <w:trHeight w:val="156"/>
        </w:trPr>
        <w:tc>
          <w:tcPr>
            <w:tcW w:w="636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increase in net assets resulting from capital transactions</w:t>
            </w:r>
          </w:p>
        </w:tc>
        <w:tc>
          <w:tcPr>
            <w:tcW w:w="7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(13,249 )</w:t>
            </w:r>
          </w:p>
        </w:tc>
      </w:tr>
      <w:tr>
        <w:trPr>
          <w:trHeight w:val="156"/>
        </w:trPr>
        <w:tc>
          <w:tcPr>
            <w:tcW w:w="6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net assets</w:t>
            </w:r>
          </w:p>
        </w:tc>
        <w:tc>
          <w:tcPr>
            <w:tcW w:w="760" w:type="dxa"/>
            <w:vAlign w:val="bottom"/>
            <w:shd w:val="clear" w:color="auto" w:fill="CCECFF"/>
          </w:tcPr>
          <w:p>
            <w:pPr>
              <w:spacing w:after="0"/>
              <w:rPr>
                <w:sz w:val="13"/>
                <w:szCs w:val="13"/>
                <w:color w:val="auto"/>
              </w:rPr>
            </w:pPr>
          </w:p>
        </w:tc>
        <w:tc>
          <w:tcPr>
            <w:tcW w:w="720" w:type="dxa"/>
            <w:vAlign w:val="bottom"/>
            <w:gridSpan w:val="2"/>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(8,279 )</w:t>
            </w:r>
          </w:p>
        </w:tc>
        <w:tc>
          <w:tcPr>
            <w:tcW w:w="260" w:type="dxa"/>
            <w:vAlign w:val="bottom"/>
            <w:shd w:val="clear" w:color="auto" w:fill="CCECFF"/>
          </w:tcPr>
          <w:p>
            <w:pPr>
              <w:spacing w:after="0"/>
              <w:rPr>
                <w:sz w:val="13"/>
                <w:szCs w:val="13"/>
                <w:color w:val="auto"/>
              </w:rPr>
            </w:pPr>
          </w:p>
        </w:tc>
        <w:tc>
          <w:tcPr>
            <w:tcW w:w="11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(83,378 )</w:t>
            </w:r>
          </w:p>
        </w:tc>
        <w:tc>
          <w:tcPr>
            <w:tcW w:w="26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(74,579 )</w:t>
            </w:r>
          </w:p>
        </w:tc>
      </w:tr>
      <w:tr>
        <w:trPr>
          <w:trHeight w:val="156"/>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63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Beginning of year</w:t>
            </w:r>
          </w:p>
        </w:tc>
        <w:tc>
          <w:tcPr>
            <w:tcW w:w="76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9"/>
              </w:rPr>
              <w:t>502,187</w:t>
            </w: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585,565</w:t>
            </w: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660,144</w:t>
            </w:r>
          </w:p>
        </w:tc>
        <w:tc>
          <w:tcPr>
            <w:tcW w:w="80" w:type="dxa"/>
            <w:vAlign w:val="bottom"/>
            <w:shd w:val="clear" w:color="auto" w:fill="CCECFF"/>
          </w:tcPr>
          <w:p>
            <w:pPr>
              <w:spacing w:after="0"/>
              <w:rPr>
                <w:sz w:val="13"/>
                <w:szCs w:val="13"/>
                <w:color w:val="auto"/>
              </w:rPr>
            </w:pPr>
          </w:p>
        </w:tc>
      </w:tr>
      <w:tr>
        <w:trPr>
          <w:trHeight w:val="156"/>
        </w:trPr>
        <w:tc>
          <w:tcPr>
            <w:tcW w:w="6360" w:type="dxa"/>
            <w:vAlign w:val="bottom"/>
          </w:tcPr>
          <w:p>
            <w:pPr>
              <w:ind w:left="180"/>
              <w:spacing w:after="0" w:line="136" w:lineRule="exact"/>
              <w:rPr>
                <w:sz w:val="20"/>
                <w:szCs w:val="20"/>
                <w:color w:val="auto"/>
              </w:rPr>
            </w:pPr>
            <w:r>
              <w:rPr>
                <w:rFonts w:ascii="Times New Roman" w:cs="Times New Roman" w:eastAsia="Times New Roman" w:hAnsi="Times New Roman"/>
                <w:sz w:val="13"/>
                <w:szCs w:val="13"/>
                <w:color w:val="auto"/>
              </w:rPr>
              <w:t>End of year</w:t>
            </w:r>
          </w:p>
        </w:tc>
        <w:tc>
          <w:tcPr>
            <w:tcW w:w="760" w:type="dxa"/>
            <w:vAlign w:val="bottom"/>
            <w:tcBorders>
              <w:bottom w:val="single" w:sz="8" w:color="auto"/>
            </w:tcBorders>
          </w:tcPr>
          <w:p>
            <w:pPr>
              <w:jc w:val="right"/>
              <w:ind w:right="61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w w:val="99"/>
              </w:rPr>
              <w:t>493,908</w:t>
            </w:r>
          </w:p>
        </w:tc>
        <w:tc>
          <w:tcPr>
            <w:tcW w:w="260" w:type="dxa"/>
            <w:vAlign w:val="bottom"/>
          </w:tcPr>
          <w:p>
            <w:pPr>
              <w:spacing w:after="0"/>
              <w:rPr>
                <w:sz w:val="13"/>
                <w:szCs w:val="13"/>
                <w:color w:val="auto"/>
              </w:rPr>
            </w:pPr>
          </w:p>
        </w:tc>
        <w:tc>
          <w:tcPr>
            <w:tcW w:w="26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502,187</w:t>
            </w:r>
          </w:p>
        </w:tc>
        <w:tc>
          <w:tcPr>
            <w:tcW w:w="240" w:type="dxa"/>
            <w:vAlign w:val="bottom"/>
          </w:tcPr>
          <w:p>
            <w:pPr>
              <w:spacing w:after="0"/>
              <w:rPr>
                <w:sz w:val="13"/>
                <w:szCs w:val="13"/>
                <w:color w:val="auto"/>
              </w:rPr>
            </w:pPr>
          </w:p>
        </w:tc>
        <w:tc>
          <w:tcPr>
            <w:tcW w:w="260" w:type="dxa"/>
            <w:vAlign w:val="bottom"/>
            <w:tcBorders>
              <w:bottom w:val="single" w:sz="8" w:color="auto"/>
            </w:tcBorders>
          </w:tcPr>
          <w:p>
            <w:pPr>
              <w:jc w:val="right"/>
              <w:ind w:right="11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585,565</w:t>
            </w:r>
          </w:p>
        </w:tc>
        <w:tc>
          <w:tcPr>
            <w:tcW w:w="80" w:type="dxa"/>
            <w:vAlign w:val="bottom"/>
          </w:tcPr>
          <w:p>
            <w:pPr>
              <w:spacing w:after="0"/>
              <w:rPr>
                <w:sz w:val="13"/>
                <w:szCs w:val="13"/>
                <w:color w:val="auto"/>
              </w:rPr>
            </w:pPr>
          </w:p>
        </w:tc>
      </w:tr>
      <w:tr>
        <w:trPr>
          <w:trHeight w:val="20"/>
        </w:trPr>
        <w:tc>
          <w:tcPr>
            <w:tcW w:w="6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6360" w:type="dxa"/>
            <w:vAlign w:val="bottom"/>
            <w:shd w:val="clear" w:color="auto" w:fill="CCECFF"/>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Capital share activity:</w:t>
            </w:r>
          </w:p>
        </w:tc>
        <w:tc>
          <w:tcPr>
            <w:tcW w:w="760" w:type="dxa"/>
            <w:vAlign w:val="bottom"/>
            <w:shd w:val="clear" w:color="auto" w:fill="CCECFF"/>
          </w:tcPr>
          <w:p>
            <w:pPr>
              <w:spacing w:after="0"/>
              <w:rPr>
                <w:sz w:val="11"/>
                <w:szCs w:val="11"/>
                <w:color w:val="auto"/>
              </w:rPr>
            </w:pPr>
          </w:p>
        </w:tc>
        <w:tc>
          <w:tcPr>
            <w:tcW w:w="46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9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9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r>
      <w:tr>
        <w:trPr>
          <w:trHeight w:val="156"/>
        </w:trPr>
        <w:tc>
          <w:tcPr>
            <w:tcW w:w="6360" w:type="dxa"/>
            <w:vAlign w:val="bottom"/>
          </w:tcPr>
          <w:p>
            <w:pPr>
              <w:ind w:left="180"/>
              <w:spacing w:after="0" w:line="136" w:lineRule="exact"/>
              <w:rPr>
                <w:sz w:val="20"/>
                <w:szCs w:val="20"/>
                <w:color w:val="auto"/>
              </w:rPr>
            </w:pPr>
            <w:r>
              <w:rPr>
                <w:rFonts w:ascii="Times New Roman" w:cs="Times New Roman" w:eastAsia="Times New Roman" w:hAnsi="Times New Roman"/>
                <w:sz w:val="13"/>
                <w:szCs w:val="13"/>
                <w:color w:val="auto"/>
              </w:rPr>
              <w:t>Shares of common stock issued from public offering</w:t>
            </w:r>
          </w:p>
        </w:tc>
        <w:tc>
          <w:tcPr>
            <w:tcW w:w="7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71,594</w:t>
            </w:r>
          </w:p>
        </w:tc>
        <w:tc>
          <w:tcPr>
            <w:tcW w:w="2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r>
      <w:tr>
        <w:trPr>
          <w:trHeight w:val="20"/>
        </w:trPr>
        <w:tc>
          <w:tcPr>
            <w:tcW w:w="6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2"/>
        </w:trPr>
        <w:tc>
          <w:tcPr>
            <w:tcW w:w="6360" w:type="dxa"/>
            <w:vAlign w:val="bottom"/>
            <w:tcBorders>
              <w:bottom w:val="single" w:sz="8" w:color="CCECFF"/>
            </w:tcBorders>
            <w:shd w:val="clear" w:color="auto" w:fill="CCECFF"/>
          </w:tcPr>
          <w:p>
            <w:pPr>
              <w:ind w:left="180"/>
              <w:spacing w:after="0" w:line="133" w:lineRule="exact"/>
              <w:rPr>
                <w:sz w:val="20"/>
                <w:szCs w:val="20"/>
                <w:color w:val="auto"/>
              </w:rPr>
            </w:pPr>
            <w:r>
              <w:rPr>
                <w:rFonts w:ascii="Times New Roman" w:cs="Times New Roman" w:eastAsia="Times New Roman" w:hAnsi="Times New Roman"/>
                <w:sz w:val="13"/>
                <w:szCs w:val="13"/>
                <w:color w:val="auto"/>
              </w:rPr>
              <w:t>Shares of common stock repurchased</w:t>
            </w:r>
          </w:p>
        </w:tc>
        <w:tc>
          <w:tcPr>
            <w:tcW w:w="760" w:type="dxa"/>
            <w:vAlign w:val="bottom"/>
            <w:tcBorders>
              <w:top w:val="single" w:sz="8" w:color="auto"/>
              <w:bottom w:val="single" w:sz="8" w:color="auto"/>
            </w:tcBorders>
            <w:shd w:val="clear" w:color="auto" w:fill="CCECFF"/>
          </w:tcPr>
          <w:p>
            <w:pPr>
              <w:spacing w:after="0"/>
              <w:rPr>
                <w:sz w:val="14"/>
                <w:szCs w:val="14"/>
                <w:color w:val="auto"/>
              </w:rPr>
            </w:pPr>
          </w:p>
        </w:tc>
        <w:tc>
          <w:tcPr>
            <w:tcW w:w="46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top w:val="single" w:sz="8" w:color="auto"/>
              <w:bottom w:val="single" w:sz="8" w:color="auto"/>
            </w:tcBorders>
            <w:shd w:val="clear" w:color="auto" w:fill="CCECFF"/>
          </w:tcPr>
          <w:p>
            <w:pPr>
              <w:spacing w:after="0"/>
              <w:rPr>
                <w:sz w:val="14"/>
                <w:szCs w:val="14"/>
                <w:color w:val="auto"/>
              </w:rPr>
            </w:pPr>
          </w:p>
        </w:tc>
        <w:tc>
          <w:tcPr>
            <w:tcW w:w="94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top w:val="single" w:sz="8" w:color="auto"/>
              <w:bottom w:val="single" w:sz="8" w:color="auto"/>
            </w:tcBorders>
            <w:shd w:val="clear" w:color="auto" w:fill="CCECFF"/>
          </w:tcPr>
          <w:p>
            <w:pPr>
              <w:spacing w:after="0"/>
              <w:rPr>
                <w:sz w:val="14"/>
                <w:szCs w:val="14"/>
                <w:color w:val="auto"/>
              </w:rPr>
            </w:pPr>
          </w:p>
        </w:tc>
        <w:tc>
          <w:tcPr>
            <w:tcW w:w="94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1,820,605</w:t>
            </w:r>
          </w:p>
        </w:tc>
        <w:tc>
          <w:tcPr>
            <w:tcW w:w="80" w:type="dxa"/>
            <w:vAlign w:val="bottom"/>
            <w:tcBorders>
              <w:bottom w:val="single" w:sz="8" w:color="CCECFF"/>
            </w:tcBorders>
            <w:shd w:val="clear" w:color="auto" w:fill="CCECFF"/>
          </w:tcPr>
          <w:p>
            <w:pPr>
              <w:spacing w:after="0"/>
              <w:rPr>
                <w:sz w:val="14"/>
                <w:szCs w:val="14"/>
                <w:color w:val="auto"/>
              </w:rPr>
            </w:pPr>
          </w:p>
        </w:tc>
      </w:tr>
    </w:tbl>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STEATEMENTS OF CASH FLOWS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and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0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6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r>
      <w:tr>
        <w:trPr>
          <w:trHeight w:val="156"/>
        </w:trPr>
        <w:tc>
          <w:tcPr>
            <w:tcW w:w="6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63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increase (decrease) in net assets resulting from operations</w:t>
            </w: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48,851</w:t>
            </w:r>
          </w:p>
        </w:tc>
        <w:tc>
          <w:tcPr>
            <w:tcW w:w="260" w:type="dxa"/>
            <w:vAlign w:val="bottom"/>
          </w:tcPr>
          <w:p>
            <w:pPr>
              <w:spacing w:after="0"/>
              <w:rPr>
                <w:sz w:val="13"/>
                <w:szCs w:val="13"/>
                <w:color w:val="auto"/>
              </w:rPr>
            </w:pP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(33,807 )</w:t>
            </w: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3"/>
                <w:szCs w:val="13"/>
                <w:color w:val="auto"/>
              </w:rPr>
              <w:t>(24,740 )</w:t>
            </w:r>
          </w:p>
        </w:tc>
      </w:tr>
      <w:tr>
        <w:trPr>
          <w:trHeight w:val="144"/>
        </w:trPr>
        <w:tc>
          <w:tcPr>
            <w:tcW w:w="6360" w:type="dxa"/>
            <w:vAlign w:val="bottom"/>
            <w:shd w:val="clear" w:color="auto" w:fill="CCECFF"/>
          </w:tcPr>
          <w:p>
            <w:pPr>
              <w:ind w:left="340"/>
              <w:spacing w:after="0" w:line="144" w:lineRule="exact"/>
              <w:rPr>
                <w:sz w:val="20"/>
                <w:szCs w:val="20"/>
                <w:color w:val="auto"/>
              </w:rPr>
            </w:pPr>
            <w:r>
              <w:rPr>
                <w:rFonts w:ascii="Times New Roman" w:cs="Times New Roman" w:eastAsia="Times New Roman" w:hAnsi="Times New Roman"/>
                <w:sz w:val="13"/>
                <w:szCs w:val="13"/>
                <w:color w:val="auto"/>
              </w:rPr>
              <w:t>Adjustments to reconcile net increase (decrease) in net assets resulting from</w:t>
            </w:r>
          </w:p>
        </w:tc>
        <w:tc>
          <w:tcPr>
            <w:tcW w:w="28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68"/>
        </w:trPr>
        <w:tc>
          <w:tcPr>
            <w:tcW w:w="63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3"/>
                <w:szCs w:val="13"/>
                <w:color w:val="auto"/>
              </w:rPr>
              <w:t>operations to net cash provided by (used in) operating activities:</w:t>
            </w:r>
          </w:p>
        </w:tc>
        <w:tc>
          <w:tcPr>
            <w:tcW w:w="28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r>
      <w:tr>
        <w:trPr>
          <w:trHeight w:val="156"/>
        </w:trPr>
        <w:tc>
          <w:tcPr>
            <w:tcW w:w="63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280" w:type="dxa"/>
            <w:vAlign w:val="bottom"/>
          </w:tcPr>
          <w:p>
            <w:pPr>
              <w:spacing w:after="0"/>
              <w:rPr>
                <w:sz w:val="13"/>
                <w:szCs w:val="13"/>
                <w:color w:val="auto"/>
              </w:rPr>
            </w:pPr>
          </w:p>
        </w:tc>
        <w:tc>
          <w:tcPr>
            <w:tcW w:w="120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(27,493 )</w:t>
            </w:r>
          </w:p>
        </w:tc>
        <w:tc>
          <w:tcPr>
            <w:tcW w:w="260" w:type="dxa"/>
            <w:vAlign w:val="bottom"/>
          </w:tcPr>
          <w:p>
            <w:pPr>
              <w:spacing w:after="0"/>
              <w:rPr>
                <w:sz w:val="13"/>
                <w:szCs w:val="1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(59,594 )</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110,044</w:t>
            </w:r>
          </w:p>
        </w:tc>
        <w:tc>
          <w:tcPr>
            <w:tcW w:w="80" w:type="dxa"/>
            <w:vAlign w:val="bottom"/>
          </w:tcPr>
          <w:p>
            <w:pPr>
              <w:spacing w:after="0"/>
              <w:rPr>
                <w:sz w:val="13"/>
                <w:szCs w:val="13"/>
                <w:color w:val="auto"/>
              </w:rPr>
            </w:pPr>
          </w:p>
        </w:tc>
      </w:tr>
      <w:tr>
        <w:trPr>
          <w:trHeight w:val="156"/>
        </w:trPr>
        <w:tc>
          <w:tcPr>
            <w:tcW w:w="63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Net change in unrealized depreciation on debt</w:t>
            </w: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4,385</w:t>
            </w: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3,753</w:t>
            </w: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1"/>
              <w:spacing w:after="0"/>
              <w:rPr>
                <w:sz w:val="20"/>
                <w:szCs w:val="20"/>
                <w:color w:val="auto"/>
              </w:rPr>
            </w:pPr>
            <w:r>
              <w:rPr>
                <w:rFonts w:ascii="Times New Roman" w:cs="Times New Roman" w:eastAsia="Times New Roman" w:hAnsi="Times New Roman"/>
                <w:sz w:val="13"/>
                <w:szCs w:val="13"/>
                <w:color w:val="auto"/>
              </w:rPr>
              <w:t>(7,501 )</w:t>
            </w:r>
          </w:p>
        </w:tc>
      </w:tr>
      <w:tr>
        <w:trPr>
          <w:trHeight w:val="156"/>
        </w:trPr>
        <w:tc>
          <w:tcPr>
            <w:tcW w:w="63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33,833</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151,516</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3"/>
                <w:szCs w:val="13"/>
                <w:color w:val="auto"/>
              </w:rPr>
              <w:t>(43,861 )</w:t>
            </w:r>
          </w:p>
        </w:tc>
      </w:tr>
      <w:tr>
        <w:trPr>
          <w:trHeight w:val="156"/>
        </w:trPr>
        <w:tc>
          <w:tcPr>
            <w:tcW w:w="63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Debt extinguishment realized loss</w:t>
            </w:r>
          </w:p>
        </w:tc>
        <w:tc>
          <w:tcPr>
            <w:tcW w:w="280" w:type="dxa"/>
            <w:vAlign w:val="bottom"/>
            <w:shd w:val="clear" w:color="auto" w:fill="CCECFF"/>
          </w:tcPr>
          <w:p>
            <w:pPr>
              <w:spacing w:after="0"/>
              <w:rPr>
                <w:sz w:val="13"/>
                <w:szCs w:val="13"/>
                <w:color w:val="auto"/>
              </w:rPr>
            </w:pPr>
          </w:p>
        </w:tc>
        <w:tc>
          <w:tcPr>
            <w:tcW w:w="1200" w:type="dxa"/>
            <w:vAlign w:val="bottom"/>
            <w:gridSpan w:val="2"/>
            <w:shd w:val="clear" w:color="auto" w:fill="CCECFF"/>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2,922</w:t>
            </w:r>
          </w:p>
        </w:tc>
        <w:tc>
          <w:tcPr>
            <w:tcW w:w="80" w:type="dxa"/>
            <w:vAlign w:val="bottom"/>
            <w:shd w:val="clear" w:color="auto" w:fill="CCECFF"/>
          </w:tcPr>
          <w:p>
            <w:pPr>
              <w:spacing w:after="0"/>
              <w:rPr>
                <w:sz w:val="13"/>
                <w:szCs w:val="13"/>
                <w:color w:val="auto"/>
              </w:rPr>
            </w:pPr>
          </w:p>
        </w:tc>
      </w:tr>
      <w:tr>
        <w:trPr>
          <w:trHeight w:val="156"/>
        </w:trPr>
        <w:tc>
          <w:tcPr>
            <w:tcW w:w="63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Net accretion of discount and amortization of premium</w:t>
            </w:r>
          </w:p>
        </w:tc>
        <w:tc>
          <w:tcPr>
            <w:tcW w:w="280" w:type="dxa"/>
            <w:vAlign w:val="bottom"/>
          </w:tcPr>
          <w:p>
            <w:pPr>
              <w:spacing w:after="0"/>
              <w:rPr>
                <w:sz w:val="13"/>
                <w:szCs w:val="13"/>
                <w:color w:val="auto"/>
              </w:rPr>
            </w:pPr>
          </w:p>
        </w:tc>
        <w:tc>
          <w:tcPr>
            <w:tcW w:w="120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(3,361 )</w:t>
            </w:r>
          </w:p>
        </w:tc>
        <w:tc>
          <w:tcPr>
            <w:tcW w:w="260" w:type="dxa"/>
            <w:vAlign w:val="bottom"/>
          </w:tcPr>
          <w:p>
            <w:pPr>
              <w:spacing w:after="0"/>
              <w:rPr>
                <w:sz w:val="13"/>
                <w:szCs w:val="1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(6,792 )</w:t>
            </w:r>
          </w:p>
        </w:tc>
        <w:tc>
          <w:tcPr>
            <w:tcW w:w="260" w:type="dxa"/>
            <w:vAlign w:val="bottom"/>
          </w:tcPr>
          <w:p>
            <w:pPr>
              <w:spacing w:after="0"/>
              <w:rPr>
                <w:sz w:val="13"/>
                <w:szCs w:val="13"/>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3"/>
                <w:szCs w:val="13"/>
                <w:color w:val="auto"/>
              </w:rPr>
              <w:t>(5,505 )</w:t>
            </w:r>
          </w:p>
        </w:tc>
      </w:tr>
      <w:tr>
        <w:trPr>
          <w:trHeight w:val="156"/>
        </w:trPr>
        <w:tc>
          <w:tcPr>
            <w:tcW w:w="63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Purchases of investments</w:t>
            </w:r>
          </w:p>
        </w:tc>
        <w:tc>
          <w:tcPr>
            <w:tcW w:w="280" w:type="dxa"/>
            <w:vAlign w:val="bottom"/>
            <w:shd w:val="clear" w:color="auto" w:fill="CCECFF"/>
          </w:tcPr>
          <w:p>
            <w:pPr>
              <w:spacing w:after="0"/>
              <w:rPr>
                <w:sz w:val="13"/>
                <w:szCs w:val="13"/>
                <w:color w:val="auto"/>
              </w:rPr>
            </w:pPr>
          </w:p>
        </w:tc>
        <w:tc>
          <w:tcPr>
            <w:tcW w:w="1200" w:type="dxa"/>
            <w:vAlign w:val="bottom"/>
            <w:gridSpan w:val="2"/>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(1,043,619 )</w:t>
            </w:r>
          </w:p>
        </w:tc>
        <w:tc>
          <w:tcPr>
            <w:tcW w:w="260" w:type="dxa"/>
            <w:vAlign w:val="bottom"/>
            <w:shd w:val="clear" w:color="auto" w:fill="CCECFF"/>
          </w:tcPr>
          <w:p>
            <w:pPr>
              <w:spacing w:after="0"/>
              <w:rPr>
                <w:sz w:val="13"/>
                <w:szCs w:val="13"/>
                <w:color w:val="auto"/>
              </w:rPr>
            </w:pPr>
          </w:p>
        </w:tc>
        <w:tc>
          <w:tcPr>
            <w:tcW w:w="11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(375,176 )</w:t>
            </w:r>
          </w:p>
        </w:tc>
        <w:tc>
          <w:tcPr>
            <w:tcW w:w="26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1"/>
              <w:spacing w:after="0"/>
              <w:rPr>
                <w:sz w:val="20"/>
                <w:szCs w:val="20"/>
                <w:color w:val="auto"/>
              </w:rPr>
            </w:pPr>
            <w:r>
              <w:rPr>
                <w:rFonts w:ascii="Times New Roman" w:cs="Times New Roman" w:eastAsia="Times New Roman" w:hAnsi="Times New Roman"/>
                <w:sz w:val="13"/>
                <w:szCs w:val="13"/>
                <w:color w:val="auto"/>
              </w:rPr>
              <w:t>(933,780 )</w:t>
            </w:r>
          </w:p>
        </w:tc>
      </w:tr>
      <w:tr>
        <w:trPr>
          <w:trHeight w:val="156"/>
        </w:trPr>
        <w:tc>
          <w:tcPr>
            <w:tcW w:w="63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Payment-in-kind income</w:t>
            </w:r>
          </w:p>
        </w:tc>
        <w:tc>
          <w:tcPr>
            <w:tcW w:w="280" w:type="dxa"/>
            <w:vAlign w:val="bottom"/>
          </w:tcPr>
          <w:p>
            <w:pPr>
              <w:spacing w:after="0"/>
              <w:rPr>
                <w:sz w:val="13"/>
                <w:szCs w:val="13"/>
                <w:color w:val="auto"/>
              </w:rPr>
            </w:pPr>
          </w:p>
        </w:tc>
        <w:tc>
          <w:tcPr>
            <w:tcW w:w="120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(9,571 )</w:t>
            </w:r>
          </w:p>
        </w:tc>
        <w:tc>
          <w:tcPr>
            <w:tcW w:w="260" w:type="dxa"/>
            <w:vAlign w:val="bottom"/>
          </w:tcPr>
          <w:p>
            <w:pPr>
              <w:spacing w:after="0"/>
              <w:rPr>
                <w:sz w:val="13"/>
                <w:szCs w:val="1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(4,458 )</w:t>
            </w:r>
          </w:p>
        </w:tc>
        <w:tc>
          <w:tcPr>
            <w:tcW w:w="260" w:type="dxa"/>
            <w:vAlign w:val="bottom"/>
          </w:tcPr>
          <w:p>
            <w:pPr>
              <w:spacing w:after="0"/>
              <w:rPr>
                <w:sz w:val="13"/>
                <w:szCs w:val="13"/>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3"/>
                <w:szCs w:val="13"/>
                <w:color w:val="auto"/>
              </w:rPr>
              <w:t>(9,218 )</w:t>
            </w:r>
          </w:p>
        </w:tc>
      </w:tr>
      <w:tr>
        <w:trPr>
          <w:trHeight w:val="156"/>
        </w:trPr>
        <w:tc>
          <w:tcPr>
            <w:tcW w:w="63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Proceeds from dispositions of investments</w:t>
            </w: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824,555</w:t>
            </w: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418,627</w:t>
            </w: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911,643</w:t>
            </w:r>
          </w:p>
        </w:tc>
        <w:tc>
          <w:tcPr>
            <w:tcW w:w="80" w:type="dxa"/>
            <w:vAlign w:val="bottom"/>
            <w:shd w:val="clear" w:color="auto" w:fill="CCECFF"/>
          </w:tcPr>
          <w:p>
            <w:pPr>
              <w:spacing w:after="0"/>
              <w:rPr>
                <w:sz w:val="13"/>
                <w:szCs w:val="13"/>
                <w:color w:val="auto"/>
              </w:rPr>
            </w:pPr>
          </w:p>
        </w:tc>
      </w:tr>
      <w:tr>
        <w:trPr>
          <w:trHeight w:val="156"/>
        </w:trPr>
        <w:tc>
          <w:tcPr>
            <w:tcW w:w="63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Amortization of deferred financing costs</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1,755</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1,965</w:t>
            </w:r>
          </w:p>
        </w:tc>
        <w:tc>
          <w:tcPr>
            <w:tcW w:w="80" w:type="dxa"/>
            <w:vAlign w:val="bottom"/>
          </w:tcPr>
          <w:p>
            <w:pPr>
              <w:spacing w:after="0"/>
              <w:rPr>
                <w:sz w:val="13"/>
                <w:szCs w:val="13"/>
                <w:color w:val="auto"/>
              </w:rPr>
            </w:pPr>
          </w:p>
        </w:tc>
      </w:tr>
      <w:tr>
        <w:trPr>
          <w:trHeight w:val="156"/>
        </w:trPr>
        <w:tc>
          <w:tcPr>
            <w:tcW w:w="63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(Increase) or Decrease in:</w:t>
            </w: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636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Interest receivable</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1,559</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(3,227 )</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1,365</w:t>
            </w:r>
          </w:p>
        </w:tc>
        <w:tc>
          <w:tcPr>
            <w:tcW w:w="80" w:type="dxa"/>
            <w:vAlign w:val="bottom"/>
          </w:tcPr>
          <w:p>
            <w:pPr>
              <w:spacing w:after="0"/>
              <w:rPr>
                <w:sz w:val="13"/>
                <w:szCs w:val="13"/>
                <w:color w:val="auto"/>
              </w:rPr>
            </w:pPr>
          </w:p>
        </w:tc>
      </w:tr>
      <w:tr>
        <w:trPr>
          <w:trHeight w:val="156"/>
        </w:trPr>
        <w:tc>
          <w:tcPr>
            <w:tcW w:w="6360" w:type="dxa"/>
            <w:vAlign w:val="bottom"/>
            <w:shd w:val="clear" w:color="auto" w:fill="CCECFF"/>
          </w:tcPr>
          <w:p>
            <w:pPr>
              <w:ind w:left="820"/>
              <w:spacing w:after="0"/>
              <w:rPr>
                <w:sz w:val="20"/>
                <w:szCs w:val="20"/>
                <w:color w:val="auto"/>
              </w:rPr>
            </w:pPr>
            <w:r>
              <w:rPr>
                <w:rFonts w:ascii="Times New Roman" w:cs="Times New Roman" w:eastAsia="Times New Roman" w:hAnsi="Times New Roman"/>
                <w:sz w:val="13"/>
                <w:szCs w:val="13"/>
                <w:color w:val="auto"/>
              </w:rPr>
              <w:t>Receivables from investments sold</w:t>
            </w:r>
          </w:p>
        </w:tc>
        <w:tc>
          <w:tcPr>
            <w:tcW w:w="280" w:type="dxa"/>
            <w:vAlign w:val="bottom"/>
            <w:shd w:val="clear" w:color="auto" w:fill="CCECFF"/>
          </w:tcPr>
          <w:p>
            <w:pPr>
              <w:spacing w:after="0"/>
              <w:rPr>
                <w:sz w:val="13"/>
                <w:szCs w:val="13"/>
                <w:color w:val="auto"/>
              </w:rPr>
            </w:pPr>
          </w:p>
        </w:tc>
        <w:tc>
          <w:tcPr>
            <w:tcW w:w="1200" w:type="dxa"/>
            <w:vAlign w:val="bottom"/>
            <w:gridSpan w:val="2"/>
            <w:shd w:val="clear" w:color="auto" w:fill="CCECFF"/>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29,494</w:t>
            </w: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1"/>
              <w:spacing w:after="0"/>
              <w:rPr>
                <w:sz w:val="20"/>
                <w:szCs w:val="20"/>
                <w:color w:val="auto"/>
              </w:rPr>
            </w:pPr>
            <w:r>
              <w:rPr>
                <w:rFonts w:ascii="Times New Roman" w:cs="Times New Roman" w:eastAsia="Times New Roman" w:hAnsi="Times New Roman"/>
                <w:sz w:val="13"/>
                <w:szCs w:val="13"/>
                <w:color w:val="auto"/>
              </w:rPr>
              <w:t>(16,701 )</w:t>
            </w:r>
          </w:p>
        </w:tc>
      </w:tr>
      <w:tr>
        <w:trPr>
          <w:trHeight w:val="156"/>
        </w:trPr>
        <w:tc>
          <w:tcPr>
            <w:tcW w:w="636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Distribution receivable</w:t>
            </w:r>
          </w:p>
        </w:tc>
        <w:tc>
          <w:tcPr>
            <w:tcW w:w="280" w:type="dxa"/>
            <w:vAlign w:val="bottom"/>
          </w:tcPr>
          <w:p>
            <w:pPr>
              <w:spacing w:after="0"/>
              <w:rPr>
                <w:sz w:val="13"/>
                <w:szCs w:val="13"/>
                <w:color w:val="auto"/>
              </w:rPr>
            </w:pPr>
          </w:p>
        </w:tc>
        <w:tc>
          <w:tcPr>
            <w:tcW w:w="120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(338 )</w:t>
            </w:r>
          </w:p>
        </w:tc>
        <w:tc>
          <w:tcPr>
            <w:tcW w:w="260" w:type="dxa"/>
            <w:vAlign w:val="bottom"/>
          </w:tcPr>
          <w:p>
            <w:pPr>
              <w:spacing w:after="0"/>
              <w:rPr>
                <w:sz w:val="13"/>
                <w:szCs w:val="1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(2,659 )</w:t>
            </w:r>
          </w:p>
        </w:tc>
        <w:tc>
          <w:tcPr>
            <w:tcW w:w="260" w:type="dxa"/>
            <w:vAlign w:val="bottom"/>
          </w:tcPr>
          <w:p>
            <w:pPr>
              <w:spacing w:after="0"/>
              <w:rPr>
                <w:sz w:val="13"/>
                <w:szCs w:val="13"/>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3"/>
                <w:szCs w:val="13"/>
                <w:color w:val="auto"/>
              </w:rPr>
              <w:t>(726 )</w:t>
            </w:r>
          </w:p>
        </w:tc>
      </w:tr>
      <w:tr>
        <w:trPr>
          <w:trHeight w:val="156"/>
        </w:trPr>
        <w:tc>
          <w:tcPr>
            <w:tcW w:w="6360" w:type="dxa"/>
            <w:vAlign w:val="bottom"/>
            <w:shd w:val="clear" w:color="auto" w:fill="CCECFF"/>
          </w:tcPr>
          <w:p>
            <w:pPr>
              <w:ind w:left="820"/>
              <w:spacing w:after="0"/>
              <w:rPr>
                <w:sz w:val="20"/>
                <w:szCs w:val="20"/>
                <w:color w:val="auto"/>
              </w:rPr>
            </w:pPr>
            <w:r>
              <w:rPr>
                <w:rFonts w:ascii="Times New Roman" w:cs="Times New Roman" w:eastAsia="Times New Roman" w:hAnsi="Times New Roman"/>
                <w:sz w:val="13"/>
                <w:szCs w:val="13"/>
                <w:color w:val="auto"/>
              </w:rPr>
              <w:t>Due from affiliate</w:t>
            </w:r>
          </w:p>
        </w:tc>
        <w:tc>
          <w:tcPr>
            <w:tcW w:w="280" w:type="dxa"/>
            <w:vAlign w:val="bottom"/>
            <w:shd w:val="clear" w:color="auto" w:fill="CCECFF"/>
          </w:tcPr>
          <w:p>
            <w:pPr>
              <w:spacing w:after="0"/>
              <w:rPr>
                <w:sz w:val="13"/>
                <w:szCs w:val="13"/>
                <w:color w:val="auto"/>
              </w:rPr>
            </w:pPr>
          </w:p>
        </w:tc>
        <w:tc>
          <w:tcPr>
            <w:tcW w:w="1200" w:type="dxa"/>
            <w:vAlign w:val="bottom"/>
            <w:gridSpan w:val="2"/>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(228 )</w:t>
            </w:r>
          </w:p>
        </w:tc>
        <w:tc>
          <w:tcPr>
            <w:tcW w:w="260" w:type="dxa"/>
            <w:vAlign w:val="bottom"/>
            <w:shd w:val="clear" w:color="auto" w:fill="CCECFF"/>
          </w:tcPr>
          <w:p>
            <w:pPr>
              <w:spacing w:after="0"/>
              <w:rPr>
                <w:sz w:val="13"/>
                <w:szCs w:val="13"/>
                <w:color w:val="auto"/>
              </w:rPr>
            </w:pPr>
          </w:p>
        </w:tc>
        <w:tc>
          <w:tcPr>
            <w:tcW w:w="11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61"/>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36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3,592</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(306 )</w:t>
            </w:r>
          </w:p>
        </w:tc>
        <w:tc>
          <w:tcPr>
            <w:tcW w:w="260" w:type="dxa"/>
            <w:vAlign w:val="bottom"/>
          </w:tcPr>
          <w:p>
            <w:pPr>
              <w:spacing w:after="0"/>
              <w:rPr>
                <w:sz w:val="13"/>
                <w:szCs w:val="13"/>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3"/>
                <w:szCs w:val="13"/>
                <w:color w:val="auto"/>
              </w:rPr>
              <w:t>(4,394 )</w:t>
            </w:r>
          </w:p>
        </w:tc>
      </w:tr>
      <w:tr>
        <w:trPr>
          <w:trHeight w:val="156"/>
        </w:trPr>
        <w:tc>
          <w:tcPr>
            <w:tcW w:w="63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Increase or (Decrease) in:</w:t>
            </w: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636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Due to affiliates</w:t>
            </w:r>
          </w:p>
        </w:tc>
        <w:tc>
          <w:tcPr>
            <w:tcW w:w="280" w:type="dxa"/>
            <w:vAlign w:val="bottom"/>
          </w:tcPr>
          <w:p>
            <w:pPr>
              <w:spacing w:after="0"/>
              <w:rPr>
                <w:sz w:val="13"/>
                <w:szCs w:val="13"/>
                <w:color w:val="auto"/>
              </w:rPr>
            </w:pPr>
          </w:p>
        </w:tc>
        <w:tc>
          <w:tcPr>
            <w:tcW w:w="120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(4,066 )</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2,109</w:t>
            </w:r>
          </w:p>
        </w:tc>
        <w:tc>
          <w:tcPr>
            <w:tcW w:w="80" w:type="dxa"/>
            <w:vAlign w:val="bottom"/>
          </w:tcPr>
          <w:p>
            <w:pPr>
              <w:spacing w:after="0"/>
              <w:rPr>
                <w:sz w:val="13"/>
                <w:szCs w:val="13"/>
                <w:color w:val="auto"/>
              </w:rPr>
            </w:pPr>
          </w:p>
        </w:tc>
      </w:tr>
      <w:tr>
        <w:trPr>
          <w:trHeight w:val="156"/>
        </w:trPr>
        <w:tc>
          <w:tcPr>
            <w:tcW w:w="6360" w:type="dxa"/>
            <w:vAlign w:val="bottom"/>
            <w:shd w:val="clear" w:color="auto" w:fill="CCECFF"/>
          </w:tcPr>
          <w:p>
            <w:pPr>
              <w:ind w:left="820"/>
              <w:spacing w:after="0"/>
              <w:rPr>
                <w:sz w:val="20"/>
                <w:szCs w:val="20"/>
                <w:color w:val="auto"/>
              </w:rPr>
            </w:pPr>
            <w:r>
              <w:rPr>
                <w:rFonts w:ascii="Times New Roman" w:cs="Times New Roman" w:eastAsia="Times New Roman" w:hAnsi="Times New Roman"/>
                <w:sz w:val="13"/>
                <w:szCs w:val="13"/>
                <w:color w:val="auto"/>
              </w:rPr>
              <w:t>Payable for investments purchased</w:t>
            </w: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99,949</w:t>
            </w: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1"/>
              <w:spacing w:after="0"/>
              <w:rPr>
                <w:sz w:val="20"/>
                <w:szCs w:val="20"/>
                <w:color w:val="auto"/>
              </w:rPr>
            </w:pPr>
            <w:r>
              <w:rPr>
                <w:rFonts w:ascii="Times New Roman" w:cs="Times New Roman" w:eastAsia="Times New Roman" w:hAnsi="Times New Roman"/>
                <w:sz w:val="13"/>
                <w:szCs w:val="13"/>
                <w:color w:val="auto"/>
              </w:rPr>
              <w:t>(8,407 )</w:t>
            </w:r>
          </w:p>
        </w:tc>
      </w:tr>
      <w:tr>
        <w:trPr>
          <w:trHeight w:val="156"/>
        </w:trPr>
        <w:tc>
          <w:tcPr>
            <w:tcW w:w="636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Interest payable on debt</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(33 )</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1,321</w:t>
            </w:r>
          </w:p>
        </w:tc>
        <w:tc>
          <w:tcPr>
            <w:tcW w:w="80" w:type="dxa"/>
            <w:vAlign w:val="bottom"/>
          </w:tcPr>
          <w:p>
            <w:pPr>
              <w:spacing w:after="0"/>
              <w:rPr>
                <w:sz w:val="13"/>
                <w:szCs w:val="13"/>
                <w:color w:val="auto"/>
              </w:rPr>
            </w:pPr>
          </w:p>
        </w:tc>
      </w:tr>
      <w:tr>
        <w:trPr>
          <w:trHeight w:val="156"/>
        </w:trPr>
        <w:tc>
          <w:tcPr>
            <w:tcW w:w="6360" w:type="dxa"/>
            <w:vAlign w:val="bottom"/>
            <w:shd w:val="clear" w:color="auto" w:fill="CCECFF"/>
          </w:tcPr>
          <w:p>
            <w:pPr>
              <w:ind w:left="820"/>
              <w:spacing w:after="0"/>
              <w:rPr>
                <w:sz w:val="20"/>
                <w:szCs w:val="20"/>
                <w:color w:val="auto"/>
              </w:rPr>
            </w:pPr>
            <w:r>
              <w:rPr>
                <w:rFonts w:ascii="Times New Roman" w:cs="Times New Roman" w:eastAsia="Times New Roman" w:hAnsi="Times New Roman"/>
                <w:sz w:val="13"/>
                <w:szCs w:val="13"/>
                <w:color w:val="auto"/>
              </w:rPr>
              <w:t>Base management fee payable, net</w:t>
            </w: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1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(934 )</w:t>
            </w: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80" w:type="dxa"/>
            <w:vAlign w:val="bottom"/>
            <w:shd w:val="clear" w:color="auto" w:fill="CCECFF"/>
          </w:tcPr>
          <w:p>
            <w:pPr>
              <w:spacing w:after="0"/>
              <w:rPr>
                <w:sz w:val="13"/>
                <w:szCs w:val="13"/>
                <w:color w:val="auto"/>
              </w:rPr>
            </w:pPr>
          </w:p>
        </w:tc>
      </w:tr>
      <w:tr>
        <w:trPr>
          <w:trHeight w:val="156"/>
        </w:trPr>
        <w:tc>
          <w:tcPr>
            <w:tcW w:w="636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Incentive fee payable</w:t>
            </w:r>
          </w:p>
        </w:tc>
        <w:tc>
          <w:tcPr>
            <w:tcW w:w="280" w:type="dxa"/>
            <w:vAlign w:val="bottom"/>
          </w:tcPr>
          <w:p>
            <w:pPr>
              <w:spacing w:after="0"/>
              <w:rPr>
                <w:sz w:val="13"/>
                <w:szCs w:val="13"/>
                <w:color w:val="auto"/>
              </w:rPr>
            </w:pPr>
          </w:p>
        </w:tc>
        <w:tc>
          <w:tcPr>
            <w:tcW w:w="120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(253 )</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3"/>
                <w:szCs w:val="13"/>
                <w:color w:val="auto"/>
              </w:rPr>
              <w:t>(575 )</w:t>
            </w:r>
          </w:p>
        </w:tc>
      </w:tr>
      <w:tr>
        <w:trPr>
          <w:trHeight w:val="156"/>
        </w:trPr>
        <w:tc>
          <w:tcPr>
            <w:tcW w:w="6360" w:type="dxa"/>
            <w:vAlign w:val="bottom"/>
            <w:shd w:val="clear" w:color="auto" w:fill="CCECFF"/>
          </w:tcPr>
          <w:p>
            <w:pPr>
              <w:ind w:left="820"/>
              <w:spacing w:after="0"/>
              <w:rPr>
                <w:sz w:val="20"/>
                <w:szCs w:val="20"/>
                <w:color w:val="auto"/>
              </w:rPr>
            </w:pPr>
            <w:r>
              <w:rPr>
                <w:rFonts w:ascii="Times New Roman" w:cs="Times New Roman" w:eastAsia="Times New Roman" w:hAnsi="Times New Roman"/>
                <w:sz w:val="13"/>
                <w:szCs w:val="13"/>
                <w:color w:val="auto"/>
              </w:rPr>
              <w:t>Deferred tax liability</w:t>
            </w:r>
          </w:p>
        </w:tc>
        <w:tc>
          <w:tcPr>
            <w:tcW w:w="280" w:type="dxa"/>
            <w:vAlign w:val="bottom"/>
            <w:shd w:val="clear" w:color="auto" w:fill="CCECFF"/>
          </w:tcPr>
          <w:p>
            <w:pPr>
              <w:spacing w:after="0"/>
              <w:rPr>
                <w:sz w:val="13"/>
                <w:szCs w:val="13"/>
                <w:color w:val="auto"/>
              </w:rPr>
            </w:pPr>
          </w:p>
        </w:tc>
        <w:tc>
          <w:tcPr>
            <w:tcW w:w="1200" w:type="dxa"/>
            <w:vAlign w:val="bottom"/>
            <w:gridSpan w:val="2"/>
            <w:shd w:val="clear" w:color="auto" w:fill="CCECFF"/>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3"/>
                <w:szCs w:val="13"/>
                <w:color w:val="auto"/>
              </w:rPr>
            </w:pPr>
          </w:p>
        </w:tc>
        <w:tc>
          <w:tcPr>
            <w:tcW w:w="11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(896 )</w:t>
            </w: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896</w:t>
            </w:r>
          </w:p>
        </w:tc>
        <w:tc>
          <w:tcPr>
            <w:tcW w:w="80" w:type="dxa"/>
            <w:vAlign w:val="bottom"/>
            <w:shd w:val="clear" w:color="auto" w:fill="CCECFF"/>
          </w:tcPr>
          <w:p>
            <w:pPr>
              <w:spacing w:after="0"/>
              <w:rPr>
                <w:sz w:val="13"/>
                <w:szCs w:val="13"/>
                <w:color w:val="auto"/>
              </w:rPr>
            </w:pPr>
          </w:p>
        </w:tc>
      </w:tr>
      <w:tr>
        <w:trPr>
          <w:trHeight w:val="156"/>
        </w:trPr>
        <w:tc>
          <w:tcPr>
            <w:tcW w:w="636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280" w:type="dxa"/>
            <w:vAlign w:val="bottom"/>
          </w:tcPr>
          <w:p>
            <w:pPr>
              <w:spacing w:after="0"/>
              <w:rPr>
                <w:sz w:val="13"/>
                <w:szCs w:val="13"/>
                <w:color w:val="auto"/>
              </w:rPr>
            </w:pPr>
          </w:p>
        </w:tc>
        <w:tc>
          <w:tcPr>
            <w:tcW w:w="120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(2,701 )</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5,581</w:t>
            </w:r>
          </w:p>
        </w:tc>
        <w:tc>
          <w:tcPr>
            <w:tcW w:w="80" w:type="dxa"/>
            <w:vAlign w:val="bottom"/>
          </w:tcPr>
          <w:p>
            <w:pPr>
              <w:spacing w:after="0"/>
              <w:rPr>
                <w:sz w:val="13"/>
                <w:szCs w:val="13"/>
                <w:color w:val="auto"/>
              </w:rPr>
            </w:pPr>
          </w:p>
        </w:tc>
      </w:tr>
      <w:tr>
        <w:trPr>
          <w:trHeight w:val="156"/>
        </w:trPr>
        <w:tc>
          <w:tcPr>
            <w:tcW w:w="6360" w:type="dxa"/>
            <w:vAlign w:val="bottom"/>
            <w:shd w:val="clear" w:color="auto" w:fill="CCECFF"/>
          </w:tcPr>
          <w:p>
            <w:pPr>
              <w:ind w:left="980"/>
              <w:spacing w:after="0"/>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280" w:type="dxa"/>
            <w:vAlign w:val="bottom"/>
            <w:shd w:val="clear" w:color="auto" w:fill="CCECFF"/>
          </w:tcPr>
          <w:p>
            <w:pPr>
              <w:spacing w:after="0"/>
              <w:rPr>
                <w:sz w:val="13"/>
                <w:szCs w:val="13"/>
                <w:color w:val="auto"/>
              </w:rPr>
            </w:pPr>
          </w:p>
        </w:tc>
        <w:tc>
          <w:tcPr>
            <w:tcW w:w="1200" w:type="dxa"/>
            <w:vAlign w:val="bottom"/>
            <w:gridSpan w:val="2"/>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(172,396 )</w:t>
            </w: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222,941</w:t>
            </w: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1"/>
              <w:spacing w:after="0"/>
              <w:rPr>
                <w:sz w:val="20"/>
                <w:szCs w:val="20"/>
                <w:color w:val="auto"/>
              </w:rPr>
            </w:pPr>
            <w:r>
              <w:rPr>
                <w:rFonts w:ascii="Times New Roman" w:cs="Times New Roman" w:eastAsia="Times New Roman" w:hAnsi="Times New Roman"/>
                <w:sz w:val="13"/>
                <w:szCs w:val="13"/>
                <w:color w:val="auto"/>
              </w:rPr>
              <w:t>(17,293 )</w:t>
            </w:r>
          </w:p>
        </w:tc>
      </w:tr>
      <w:tr>
        <w:trPr>
          <w:trHeight w:val="156"/>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63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280" w:type="dxa"/>
            <w:vAlign w:val="bottom"/>
            <w:shd w:val="clear" w:color="auto" w:fill="CCECFF"/>
          </w:tcPr>
          <w:p>
            <w:pPr>
              <w:spacing w:after="0"/>
              <w:rPr>
                <w:sz w:val="13"/>
                <w:szCs w:val="13"/>
                <w:color w:val="auto"/>
              </w:rPr>
            </w:pPr>
          </w:p>
        </w:tc>
        <w:tc>
          <w:tcPr>
            <w:tcW w:w="1200" w:type="dxa"/>
            <w:vAlign w:val="bottom"/>
            <w:gridSpan w:val="2"/>
            <w:shd w:val="clear" w:color="auto" w:fill="CCECFF"/>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3"/>
                <w:szCs w:val="13"/>
                <w:color w:val="auto"/>
              </w:rPr>
            </w:pPr>
          </w:p>
        </w:tc>
        <w:tc>
          <w:tcPr>
            <w:tcW w:w="11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1"/>
              <w:spacing w:after="0"/>
              <w:rPr>
                <w:sz w:val="20"/>
                <w:szCs w:val="20"/>
                <w:color w:val="auto"/>
              </w:rPr>
            </w:pPr>
            <w:r>
              <w:rPr>
                <w:rFonts w:ascii="Times New Roman" w:cs="Times New Roman" w:eastAsia="Times New Roman" w:hAnsi="Times New Roman"/>
                <w:sz w:val="13"/>
                <w:szCs w:val="13"/>
                <w:color w:val="auto"/>
              </w:rPr>
              <w:t>(13,249 )</w:t>
            </w:r>
          </w:p>
        </w:tc>
      </w:tr>
      <w:tr>
        <w:trPr>
          <w:trHeight w:val="156"/>
        </w:trPr>
        <w:tc>
          <w:tcPr>
            <w:tcW w:w="63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Proceeds from public offering</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3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Offering costs</w:t>
            </w:r>
          </w:p>
        </w:tc>
        <w:tc>
          <w:tcPr>
            <w:tcW w:w="280" w:type="dxa"/>
            <w:vAlign w:val="bottom"/>
            <w:shd w:val="clear" w:color="auto" w:fill="CCECFF"/>
          </w:tcPr>
          <w:p>
            <w:pPr>
              <w:spacing w:after="0"/>
              <w:rPr>
                <w:sz w:val="13"/>
                <w:szCs w:val="13"/>
                <w:color w:val="auto"/>
              </w:rPr>
            </w:pPr>
          </w:p>
        </w:tc>
        <w:tc>
          <w:tcPr>
            <w:tcW w:w="1200" w:type="dxa"/>
            <w:vAlign w:val="bottom"/>
            <w:gridSpan w:val="2"/>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(250 )</w:t>
            </w:r>
          </w:p>
        </w:tc>
        <w:tc>
          <w:tcPr>
            <w:tcW w:w="260" w:type="dxa"/>
            <w:vAlign w:val="bottom"/>
            <w:shd w:val="clear" w:color="auto" w:fill="CCECFF"/>
          </w:tcPr>
          <w:p>
            <w:pPr>
              <w:spacing w:after="0"/>
              <w:rPr>
                <w:sz w:val="13"/>
                <w:szCs w:val="13"/>
                <w:color w:val="auto"/>
              </w:rPr>
            </w:pPr>
          </w:p>
        </w:tc>
        <w:tc>
          <w:tcPr>
            <w:tcW w:w="11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61"/>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3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Distributions paid to stockholders</w:t>
            </w:r>
          </w:p>
        </w:tc>
        <w:tc>
          <w:tcPr>
            <w:tcW w:w="280" w:type="dxa"/>
            <w:vAlign w:val="bottom"/>
          </w:tcPr>
          <w:p>
            <w:pPr>
              <w:spacing w:after="0"/>
              <w:rPr>
                <w:sz w:val="13"/>
                <w:szCs w:val="13"/>
                <w:color w:val="auto"/>
              </w:rPr>
            </w:pPr>
          </w:p>
        </w:tc>
        <w:tc>
          <w:tcPr>
            <w:tcW w:w="120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(65,904 )</w:t>
            </w:r>
          </w:p>
        </w:tc>
        <w:tc>
          <w:tcPr>
            <w:tcW w:w="260" w:type="dxa"/>
            <w:vAlign w:val="bottom"/>
          </w:tcPr>
          <w:p>
            <w:pPr>
              <w:spacing w:after="0"/>
              <w:rPr>
                <w:sz w:val="13"/>
                <w:szCs w:val="1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(45,658 )</w:t>
            </w:r>
          </w:p>
        </w:tc>
        <w:tc>
          <w:tcPr>
            <w:tcW w:w="260" w:type="dxa"/>
            <w:vAlign w:val="bottom"/>
          </w:tcPr>
          <w:p>
            <w:pPr>
              <w:spacing w:after="0"/>
              <w:rPr>
                <w:sz w:val="13"/>
                <w:szCs w:val="13"/>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3"/>
                <w:szCs w:val="13"/>
                <w:color w:val="auto"/>
              </w:rPr>
              <w:t>(34,852 )</w:t>
            </w:r>
          </w:p>
        </w:tc>
      </w:tr>
      <w:tr>
        <w:trPr>
          <w:trHeight w:val="156"/>
        </w:trPr>
        <w:tc>
          <w:tcPr>
            <w:tcW w:w="63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Net repayments of the 2024 Notes</w:t>
            </w:r>
          </w:p>
        </w:tc>
        <w:tc>
          <w:tcPr>
            <w:tcW w:w="280" w:type="dxa"/>
            <w:vAlign w:val="bottom"/>
            <w:shd w:val="clear" w:color="auto" w:fill="CCECFF"/>
          </w:tcPr>
          <w:p>
            <w:pPr>
              <w:spacing w:after="0"/>
              <w:rPr>
                <w:sz w:val="13"/>
                <w:szCs w:val="13"/>
                <w:color w:val="auto"/>
              </w:rPr>
            </w:pPr>
          </w:p>
        </w:tc>
        <w:tc>
          <w:tcPr>
            <w:tcW w:w="1200" w:type="dxa"/>
            <w:vAlign w:val="bottom"/>
            <w:gridSpan w:val="2"/>
            <w:shd w:val="clear" w:color="auto" w:fill="CCECFF"/>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3"/>
                <w:szCs w:val="13"/>
                <w:color w:val="auto"/>
              </w:rPr>
            </w:pPr>
          </w:p>
        </w:tc>
        <w:tc>
          <w:tcPr>
            <w:tcW w:w="11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1"/>
              <w:spacing w:after="0"/>
              <w:rPr>
                <w:sz w:val="20"/>
                <w:szCs w:val="20"/>
                <w:color w:val="auto"/>
              </w:rPr>
            </w:pPr>
            <w:r>
              <w:rPr>
                <w:rFonts w:ascii="Times New Roman" w:cs="Times New Roman" w:eastAsia="Times New Roman" w:hAnsi="Times New Roman"/>
                <w:sz w:val="13"/>
                <w:szCs w:val="13"/>
                <w:color w:val="auto"/>
              </w:rPr>
              <w:t>(86,250 )</w:t>
            </w:r>
          </w:p>
        </w:tc>
      </w:tr>
      <w:tr>
        <w:trPr>
          <w:trHeight w:val="156"/>
        </w:trPr>
        <w:tc>
          <w:tcPr>
            <w:tcW w:w="63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Proceeds from 2026 Notes issuance</w:t>
            </w:r>
          </w:p>
        </w:tc>
        <w:tc>
          <w:tcPr>
            <w:tcW w:w="280" w:type="dxa"/>
            <w:vAlign w:val="bottom"/>
          </w:tcPr>
          <w:p>
            <w:pPr>
              <w:spacing w:after="0"/>
              <w:rPr>
                <w:sz w:val="13"/>
                <w:szCs w:val="13"/>
                <w:color w:val="auto"/>
              </w:rPr>
            </w:pPr>
          </w:p>
        </w:tc>
        <w:tc>
          <w:tcPr>
            <w:tcW w:w="1200" w:type="dxa"/>
            <w:vAlign w:val="bottom"/>
            <w:gridSpan w:val="2"/>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3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Proceeds from 2026-2 Notes issuance</w:t>
            </w:r>
          </w:p>
        </w:tc>
        <w:tc>
          <w:tcPr>
            <w:tcW w:w="280" w:type="dxa"/>
            <w:vAlign w:val="bottom"/>
            <w:shd w:val="clear" w:color="auto" w:fill="CCECFF"/>
          </w:tcPr>
          <w:p>
            <w:pPr>
              <w:spacing w:after="0"/>
              <w:rPr>
                <w:sz w:val="13"/>
                <w:szCs w:val="13"/>
                <w:color w:val="auto"/>
              </w:rPr>
            </w:pPr>
          </w:p>
        </w:tc>
        <w:tc>
          <w:tcPr>
            <w:tcW w:w="1200" w:type="dxa"/>
            <w:vAlign w:val="bottom"/>
            <w:gridSpan w:val="2"/>
            <w:shd w:val="clear" w:color="auto" w:fill="CCECFF"/>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3"/>
                <w:szCs w:val="13"/>
                <w:color w:val="auto"/>
              </w:rPr>
            </w:pPr>
          </w:p>
        </w:tc>
        <w:tc>
          <w:tcPr>
            <w:tcW w:w="11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160,519</w:t>
            </w:r>
          </w:p>
        </w:tc>
        <w:tc>
          <w:tcPr>
            <w:tcW w:w="80" w:type="dxa"/>
            <w:vAlign w:val="bottom"/>
            <w:shd w:val="clear" w:color="auto" w:fill="CCECFF"/>
          </w:tcPr>
          <w:p>
            <w:pPr>
              <w:spacing w:after="0"/>
              <w:rPr>
                <w:sz w:val="13"/>
                <w:szCs w:val="13"/>
                <w:color w:val="auto"/>
              </w:rPr>
            </w:pPr>
          </w:p>
        </w:tc>
      </w:tr>
      <w:tr>
        <w:trPr>
          <w:trHeight w:val="156"/>
        </w:trPr>
        <w:tc>
          <w:tcPr>
            <w:tcW w:w="63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Repayments of SBA debentures</w:t>
            </w:r>
          </w:p>
        </w:tc>
        <w:tc>
          <w:tcPr>
            <w:tcW w:w="280" w:type="dxa"/>
            <w:vAlign w:val="bottom"/>
          </w:tcPr>
          <w:p>
            <w:pPr>
              <w:spacing w:after="0"/>
              <w:rPr>
                <w:sz w:val="13"/>
                <w:szCs w:val="13"/>
                <w:color w:val="auto"/>
              </w:rPr>
            </w:pPr>
          </w:p>
        </w:tc>
        <w:tc>
          <w:tcPr>
            <w:tcW w:w="1200" w:type="dxa"/>
            <w:vAlign w:val="bottom"/>
            <w:gridSpan w:val="2"/>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(20,000 )</w:t>
            </w:r>
          </w:p>
        </w:tc>
        <w:tc>
          <w:tcPr>
            <w:tcW w:w="260" w:type="dxa"/>
            <w:vAlign w:val="bottom"/>
          </w:tcPr>
          <w:p>
            <w:pPr>
              <w:spacing w:after="0"/>
              <w:rPr>
                <w:sz w:val="13"/>
                <w:szCs w:val="13"/>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3"/>
                <w:szCs w:val="13"/>
                <w:color w:val="auto"/>
              </w:rPr>
              <w:t>(43,500 )</w:t>
            </w:r>
          </w:p>
        </w:tc>
      </w:tr>
      <w:tr>
        <w:trPr>
          <w:trHeight w:val="156"/>
        </w:trPr>
        <w:tc>
          <w:tcPr>
            <w:tcW w:w="63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Borrowings under Truist Credit Facility</w:t>
            </w: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524,036</w:t>
            </w: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152,500</w:t>
            </w: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860,841</w:t>
            </w:r>
          </w:p>
        </w:tc>
        <w:tc>
          <w:tcPr>
            <w:tcW w:w="80" w:type="dxa"/>
            <w:vAlign w:val="bottom"/>
            <w:shd w:val="clear" w:color="auto" w:fill="CCECFF"/>
          </w:tcPr>
          <w:p>
            <w:pPr>
              <w:spacing w:after="0"/>
              <w:rPr>
                <w:sz w:val="13"/>
                <w:szCs w:val="13"/>
                <w:color w:val="auto"/>
              </w:rPr>
            </w:pPr>
          </w:p>
        </w:tc>
      </w:tr>
      <w:tr>
        <w:trPr>
          <w:trHeight w:val="156"/>
        </w:trPr>
        <w:tc>
          <w:tcPr>
            <w:tcW w:w="63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Repayments under Truist Credit Facility</w:t>
            </w:r>
          </w:p>
        </w:tc>
        <w:tc>
          <w:tcPr>
            <w:tcW w:w="280" w:type="dxa"/>
            <w:vAlign w:val="bottom"/>
          </w:tcPr>
          <w:p>
            <w:pPr>
              <w:spacing w:after="0"/>
              <w:rPr>
                <w:sz w:val="13"/>
                <w:szCs w:val="13"/>
                <w:color w:val="auto"/>
              </w:rPr>
            </w:pPr>
          </w:p>
        </w:tc>
        <w:tc>
          <w:tcPr>
            <w:tcW w:w="120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(275,000 )</w:t>
            </w:r>
          </w:p>
        </w:tc>
        <w:tc>
          <w:tcPr>
            <w:tcW w:w="260" w:type="dxa"/>
            <w:vAlign w:val="bottom"/>
          </w:tcPr>
          <w:p>
            <w:pPr>
              <w:spacing w:after="0"/>
              <w:rPr>
                <w:sz w:val="13"/>
                <w:szCs w:val="1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(326,000 )</w:t>
            </w:r>
          </w:p>
        </w:tc>
        <w:tc>
          <w:tcPr>
            <w:tcW w:w="260" w:type="dxa"/>
            <w:vAlign w:val="bottom"/>
          </w:tcPr>
          <w:p>
            <w:pPr>
              <w:spacing w:after="0"/>
              <w:rPr>
                <w:sz w:val="13"/>
                <w:szCs w:val="13"/>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3"/>
                <w:szCs w:val="13"/>
                <w:color w:val="auto"/>
              </w:rPr>
              <w:t>(791,466 )</w:t>
            </w:r>
          </w:p>
        </w:tc>
      </w:tr>
      <w:tr>
        <w:trPr>
          <w:trHeight w:val="156"/>
        </w:trPr>
        <w:tc>
          <w:tcPr>
            <w:tcW w:w="6360" w:type="dxa"/>
            <w:vAlign w:val="bottom"/>
            <w:shd w:val="clear" w:color="auto" w:fill="CCECFF"/>
          </w:tcPr>
          <w:p>
            <w:pPr>
              <w:ind w:left="980"/>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183,434</w:t>
            </w: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1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(239,158 )</w:t>
            </w: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52,043</w:t>
            </w:r>
          </w:p>
        </w:tc>
        <w:tc>
          <w:tcPr>
            <w:tcW w:w="80" w:type="dxa"/>
            <w:vAlign w:val="bottom"/>
            <w:shd w:val="clear" w:color="auto" w:fill="CCECFF"/>
          </w:tcPr>
          <w:p>
            <w:pPr>
              <w:spacing w:after="0"/>
              <w:rPr>
                <w:sz w:val="13"/>
                <w:szCs w:val="13"/>
                <w:color w:val="auto"/>
              </w:rPr>
            </w:pPr>
          </w:p>
        </w:tc>
      </w:tr>
      <w:tr>
        <w:trPr>
          <w:trHeight w:val="156"/>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cash and cash equivalents</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11,038</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(16,217 )</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34,750</w:t>
            </w:r>
          </w:p>
        </w:tc>
        <w:tc>
          <w:tcPr>
            <w:tcW w:w="80" w:type="dxa"/>
            <w:vAlign w:val="bottom"/>
          </w:tcPr>
          <w:p>
            <w:pPr>
              <w:spacing w:after="0"/>
              <w:rPr>
                <w:sz w:val="13"/>
                <w:szCs w:val="13"/>
                <w:color w:val="auto"/>
              </w:rPr>
            </w:pPr>
          </w:p>
        </w:tc>
      </w:tr>
      <w:tr>
        <w:trPr>
          <w:trHeight w:val="156"/>
        </w:trPr>
        <w:tc>
          <w:tcPr>
            <w:tcW w:w="6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on cash</w:t>
            </w: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1"/>
              <w:spacing w:after="0"/>
              <w:rPr>
                <w:sz w:val="20"/>
                <w:szCs w:val="20"/>
                <w:color w:val="auto"/>
              </w:rPr>
            </w:pPr>
            <w:r>
              <w:rPr>
                <w:rFonts w:ascii="Times New Roman" w:cs="Times New Roman" w:eastAsia="Times New Roman" w:hAnsi="Times New Roman"/>
                <w:sz w:val="13"/>
                <w:szCs w:val="13"/>
                <w:color w:val="auto"/>
              </w:rPr>
              <w:t>(332 )</w:t>
            </w:r>
          </w:p>
        </w:tc>
      </w:tr>
      <w:tr>
        <w:trPr>
          <w:trHeight w:val="156"/>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beginning of year</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38,775</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54,775</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20,357</w:t>
            </w:r>
          </w:p>
        </w:tc>
        <w:tc>
          <w:tcPr>
            <w:tcW w:w="80" w:type="dxa"/>
            <w:vAlign w:val="bottom"/>
          </w:tcPr>
          <w:p>
            <w:pPr>
              <w:spacing w:after="0"/>
              <w:rPr>
                <w:sz w:val="13"/>
                <w:szCs w:val="13"/>
                <w:color w:val="auto"/>
              </w:rPr>
            </w:pPr>
          </w:p>
        </w:tc>
      </w:tr>
      <w:tr>
        <w:trPr>
          <w:trHeight w:val="196"/>
        </w:trPr>
        <w:tc>
          <w:tcPr>
            <w:tcW w:w="6360" w:type="dxa"/>
            <w:vAlign w:val="bottom"/>
            <w:tcBorders>
              <w:bottom w:val="single" w:sz="8" w:color="CCECFF"/>
            </w:tcBorders>
            <w:shd w:val="clear" w:color="auto" w:fill="CCECFF"/>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Cash and cash equivalents, end of year</w:t>
            </w:r>
          </w:p>
        </w:tc>
        <w:tc>
          <w:tcPr>
            <w:tcW w:w="280" w:type="dxa"/>
            <w:vAlign w:val="bottom"/>
            <w:tcBorders>
              <w:bottom w:val="single" w:sz="8" w:color="auto"/>
            </w:tcBorders>
            <w:shd w:val="clear" w:color="auto" w:fill="CCECFF"/>
          </w:tcPr>
          <w:p>
            <w:pPr>
              <w:jc w:val="right"/>
              <w:ind w:right="13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CFF"/>
          </w:tcPr>
          <w:p>
            <w:pPr>
              <w:jc w:val="right"/>
              <w:spacing w:after="0" w:line="136" w:lineRule="exact"/>
              <w:rPr>
                <w:sz w:val="20"/>
                <w:szCs w:val="20"/>
                <w:color w:val="auto"/>
              </w:rPr>
            </w:pPr>
            <w:r>
              <w:rPr>
                <w:rFonts w:ascii="Times New Roman" w:cs="Times New Roman" w:eastAsia="Times New Roman" w:hAnsi="Times New Roman"/>
                <w:sz w:val="13"/>
                <w:szCs w:val="13"/>
                <w:color w:val="auto"/>
              </w:rPr>
              <w:t>49,861</w:t>
            </w:r>
          </w:p>
        </w:tc>
        <w:tc>
          <w:tcPr>
            <w:tcW w:w="260" w:type="dxa"/>
            <w:vAlign w:val="bottom"/>
            <w:tcBorders>
              <w:bottom w:val="single" w:sz="8" w:color="CCECFF"/>
            </w:tcBorders>
            <w:shd w:val="clear" w:color="auto" w:fill="CCECFF"/>
          </w:tcPr>
          <w:p>
            <w:pPr>
              <w:spacing w:after="0"/>
              <w:rPr>
                <w:sz w:val="17"/>
                <w:szCs w:val="17"/>
                <w:color w:val="auto"/>
              </w:rPr>
            </w:pPr>
          </w:p>
        </w:tc>
        <w:tc>
          <w:tcPr>
            <w:tcW w:w="260" w:type="dxa"/>
            <w:vAlign w:val="bottom"/>
            <w:tcBorders>
              <w:bottom w:val="single" w:sz="8" w:color="auto"/>
            </w:tcBorders>
            <w:shd w:val="clear" w:color="auto" w:fill="CCEC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CFF"/>
          </w:tcPr>
          <w:p>
            <w:pPr>
              <w:jc w:val="right"/>
              <w:spacing w:after="0" w:line="136" w:lineRule="exact"/>
              <w:rPr>
                <w:sz w:val="20"/>
                <w:szCs w:val="20"/>
                <w:color w:val="auto"/>
              </w:rPr>
            </w:pPr>
            <w:r>
              <w:rPr>
                <w:rFonts w:ascii="Times New Roman" w:cs="Times New Roman" w:eastAsia="Times New Roman" w:hAnsi="Times New Roman"/>
                <w:sz w:val="13"/>
                <w:szCs w:val="13"/>
                <w:color w:val="auto"/>
              </w:rPr>
              <w:t>38,775</w:t>
            </w:r>
          </w:p>
        </w:tc>
        <w:tc>
          <w:tcPr>
            <w:tcW w:w="240" w:type="dxa"/>
            <w:vAlign w:val="bottom"/>
            <w:tcBorders>
              <w:bottom w:val="single" w:sz="8" w:color="CCECFF"/>
            </w:tcBorders>
            <w:shd w:val="clear" w:color="auto" w:fill="CCECFF"/>
          </w:tcPr>
          <w:p>
            <w:pPr>
              <w:spacing w:after="0"/>
              <w:rPr>
                <w:sz w:val="17"/>
                <w:szCs w:val="17"/>
                <w:color w:val="auto"/>
              </w:rPr>
            </w:pPr>
          </w:p>
        </w:tc>
        <w:tc>
          <w:tcPr>
            <w:tcW w:w="260" w:type="dxa"/>
            <w:vAlign w:val="bottom"/>
            <w:tcBorders>
              <w:bottom w:val="single" w:sz="8" w:color="auto"/>
            </w:tcBorders>
            <w:shd w:val="clear" w:color="auto" w:fill="CCECFF"/>
          </w:tcPr>
          <w:p>
            <w:pPr>
              <w:jc w:val="right"/>
              <w:ind w:right="11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CFF"/>
          </w:tcPr>
          <w:p>
            <w:pPr>
              <w:jc w:val="right"/>
              <w:spacing w:after="0" w:line="136" w:lineRule="exact"/>
              <w:rPr>
                <w:sz w:val="20"/>
                <w:szCs w:val="20"/>
                <w:color w:val="auto"/>
              </w:rPr>
            </w:pPr>
            <w:r>
              <w:rPr>
                <w:rFonts w:ascii="Times New Roman" w:cs="Times New Roman" w:eastAsia="Times New Roman" w:hAnsi="Times New Roman"/>
                <w:sz w:val="13"/>
                <w:szCs w:val="13"/>
                <w:color w:val="auto"/>
              </w:rPr>
              <w:t>54,775</w:t>
            </w:r>
          </w:p>
        </w:tc>
        <w:tc>
          <w:tcPr>
            <w:tcW w:w="80" w:type="dxa"/>
            <w:vAlign w:val="bottom"/>
            <w:tcBorders>
              <w:bottom w:val="single" w:sz="8" w:color="CCECFF"/>
            </w:tcBorders>
            <w:shd w:val="clear" w:color="auto" w:fill="CCECFF"/>
          </w:tcPr>
          <w:p>
            <w:pPr>
              <w:spacing w:after="0"/>
              <w:rPr>
                <w:sz w:val="17"/>
                <w:szCs w:val="17"/>
                <w:color w:val="auto"/>
              </w:rPr>
            </w:pPr>
          </w:p>
        </w:tc>
      </w:tr>
      <w:tr>
        <w:trPr>
          <w:trHeight w:val="132"/>
        </w:trPr>
        <w:tc>
          <w:tcPr>
            <w:tcW w:w="636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Supplemental disclosures:</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96"/>
        </w:trPr>
        <w:tc>
          <w:tcPr>
            <w:tcW w:w="6360" w:type="dxa"/>
            <w:vAlign w:val="bottom"/>
            <w:tcBorders>
              <w:bottom w:val="single" w:sz="8" w:color="CCECFF"/>
            </w:tcBorders>
            <w:shd w:val="clear" w:color="auto" w:fill="CCECFF"/>
          </w:tcPr>
          <w:p>
            <w:pPr>
              <w:ind w:left="180"/>
              <w:spacing w:after="0" w:line="136" w:lineRule="exact"/>
              <w:rPr>
                <w:sz w:val="20"/>
                <w:szCs w:val="20"/>
                <w:color w:val="auto"/>
              </w:rPr>
            </w:pPr>
            <w:r>
              <w:rPr>
                <w:rFonts w:ascii="Times New Roman" w:cs="Times New Roman" w:eastAsia="Times New Roman" w:hAnsi="Times New Roman"/>
                <w:sz w:val="13"/>
                <w:szCs w:val="13"/>
                <w:color w:val="auto"/>
              </w:rPr>
              <w:t>Interest paid</w:t>
            </w:r>
          </w:p>
        </w:tc>
        <w:tc>
          <w:tcPr>
            <w:tcW w:w="280" w:type="dxa"/>
            <w:vAlign w:val="bottom"/>
            <w:tcBorders>
              <w:bottom w:val="single" w:sz="8" w:color="auto"/>
            </w:tcBorders>
            <w:shd w:val="clear" w:color="auto" w:fill="CCECFF"/>
          </w:tcPr>
          <w:p>
            <w:pPr>
              <w:jc w:val="right"/>
              <w:ind w:right="13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CFF"/>
          </w:tcPr>
          <w:p>
            <w:pPr>
              <w:jc w:val="right"/>
              <w:spacing w:after="0" w:line="136" w:lineRule="exact"/>
              <w:rPr>
                <w:sz w:val="20"/>
                <w:szCs w:val="20"/>
                <w:color w:val="auto"/>
              </w:rPr>
            </w:pPr>
            <w:r>
              <w:rPr>
                <w:rFonts w:ascii="Times New Roman" w:cs="Times New Roman" w:eastAsia="Times New Roman" w:hAnsi="Times New Roman"/>
                <w:sz w:val="13"/>
                <w:szCs w:val="13"/>
                <w:color w:val="auto"/>
              </w:rPr>
              <w:t>43,258</w:t>
            </w:r>
          </w:p>
        </w:tc>
        <w:tc>
          <w:tcPr>
            <w:tcW w:w="260" w:type="dxa"/>
            <w:vAlign w:val="bottom"/>
            <w:tcBorders>
              <w:bottom w:val="single" w:sz="8" w:color="CCECFF"/>
            </w:tcBorders>
            <w:shd w:val="clear" w:color="auto" w:fill="CCECFF"/>
          </w:tcPr>
          <w:p>
            <w:pPr>
              <w:spacing w:after="0"/>
              <w:rPr>
                <w:sz w:val="17"/>
                <w:szCs w:val="17"/>
                <w:color w:val="auto"/>
              </w:rPr>
            </w:pPr>
          </w:p>
        </w:tc>
        <w:tc>
          <w:tcPr>
            <w:tcW w:w="260" w:type="dxa"/>
            <w:vAlign w:val="bottom"/>
            <w:tcBorders>
              <w:bottom w:val="single" w:sz="8" w:color="auto"/>
            </w:tcBorders>
            <w:shd w:val="clear" w:color="auto" w:fill="CCEC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CFF"/>
          </w:tcPr>
          <w:p>
            <w:pPr>
              <w:jc w:val="right"/>
              <w:spacing w:after="0" w:line="136" w:lineRule="exact"/>
              <w:rPr>
                <w:sz w:val="20"/>
                <w:szCs w:val="20"/>
                <w:color w:val="auto"/>
              </w:rPr>
            </w:pPr>
            <w:r>
              <w:rPr>
                <w:rFonts w:ascii="Times New Roman" w:cs="Times New Roman" w:eastAsia="Times New Roman" w:hAnsi="Times New Roman"/>
                <w:sz w:val="13"/>
                <w:szCs w:val="13"/>
                <w:color w:val="auto"/>
              </w:rPr>
              <w:t>37,661</w:t>
            </w:r>
          </w:p>
        </w:tc>
        <w:tc>
          <w:tcPr>
            <w:tcW w:w="240" w:type="dxa"/>
            <w:vAlign w:val="bottom"/>
            <w:tcBorders>
              <w:bottom w:val="single" w:sz="8" w:color="CCECFF"/>
            </w:tcBorders>
            <w:shd w:val="clear" w:color="auto" w:fill="CCECFF"/>
          </w:tcPr>
          <w:p>
            <w:pPr>
              <w:spacing w:after="0"/>
              <w:rPr>
                <w:sz w:val="17"/>
                <w:szCs w:val="17"/>
                <w:color w:val="auto"/>
              </w:rPr>
            </w:pPr>
          </w:p>
        </w:tc>
        <w:tc>
          <w:tcPr>
            <w:tcW w:w="260" w:type="dxa"/>
            <w:vAlign w:val="bottom"/>
            <w:tcBorders>
              <w:bottom w:val="single" w:sz="8" w:color="auto"/>
            </w:tcBorders>
            <w:shd w:val="clear" w:color="auto" w:fill="CCECFF"/>
          </w:tcPr>
          <w:p>
            <w:pPr>
              <w:jc w:val="right"/>
              <w:ind w:right="11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CFF"/>
          </w:tcPr>
          <w:p>
            <w:pPr>
              <w:jc w:val="right"/>
              <w:spacing w:after="0" w:line="136" w:lineRule="exact"/>
              <w:rPr>
                <w:sz w:val="20"/>
                <w:szCs w:val="20"/>
                <w:color w:val="auto"/>
              </w:rPr>
            </w:pPr>
            <w:r>
              <w:rPr>
                <w:rFonts w:ascii="Times New Roman" w:cs="Times New Roman" w:eastAsia="Times New Roman" w:hAnsi="Times New Roman"/>
                <w:sz w:val="13"/>
                <w:szCs w:val="13"/>
                <w:color w:val="auto"/>
              </w:rPr>
              <w:t>25,473</w:t>
            </w:r>
          </w:p>
        </w:tc>
        <w:tc>
          <w:tcPr>
            <w:tcW w:w="80" w:type="dxa"/>
            <w:vAlign w:val="bottom"/>
            <w:tcBorders>
              <w:bottom w:val="single" w:sz="8" w:color="CCECFF"/>
            </w:tcBorders>
            <w:shd w:val="clear" w:color="auto" w:fill="CCECFF"/>
          </w:tcPr>
          <w:p>
            <w:pPr>
              <w:spacing w:after="0"/>
              <w:rPr>
                <w:sz w:val="17"/>
                <w:szCs w:val="17"/>
                <w:color w:val="auto"/>
              </w:rPr>
            </w:pPr>
          </w:p>
        </w:tc>
      </w:tr>
      <w:tr>
        <w:trPr>
          <w:trHeight w:val="132"/>
        </w:trPr>
        <w:tc>
          <w:tcPr>
            <w:tcW w:w="6360" w:type="dxa"/>
            <w:vAlign w:val="bottom"/>
          </w:tcPr>
          <w:p>
            <w:pPr>
              <w:ind w:left="180"/>
              <w:spacing w:after="0" w:line="133" w:lineRule="exact"/>
              <w:rPr>
                <w:sz w:val="20"/>
                <w:szCs w:val="20"/>
                <w:color w:val="auto"/>
              </w:rPr>
            </w:pPr>
            <w:r>
              <w:rPr>
                <w:rFonts w:ascii="Times New Roman" w:cs="Times New Roman" w:eastAsia="Times New Roman" w:hAnsi="Times New Roman"/>
                <w:sz w:val="13"/>
                <w:szCs w:val="13"/>
                <w:color w:val="auto"/>
              </w:rPr>
              <w:t>Taxes paid</w:t>
            </w:r>
          </w:p>
        </w:tc>
        <w:tc>
          <w:tcPr>
            <w:tcW w:w="280" w:type="dxa"/>
            <w:vAlign w:val="bottom"/>
            <w:tcBorders>
              <w:bottom w:val="single" w:sz="8" w:color="auto"/>
            </w:tcBorders>
          </w:tcPr>
          <w:p>
            <w:pPr>
              <w:jc w:val="right"/>
              <w:ind w:right="13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6,308</w:t>
            </w:r>
          </w:p>
        </w:tc>
        <w:tc>
          <w:tcPr>
            <w:tcW w:w="260" w:type="dxa"/>
            <w:vAlign w:val="bottom"/>
          </w:tcPr>
          <w:p>
            <w:pPr>
              <w:spacing w:after="0"/>
              <w:rPr>
                <w:sz w:val="11"/>
                <w:szCs w:val="11"/>
                <w:color w:val="auto"/>
              </w:rPr>
            </w:pPr>
          </w:p>
        </w:tc>
        <w:tc>
          <w:tcPr>
            <w:tcW w:w="26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5,707</w:t>
            </w:r>
          </w:p>
        </w:tc>
        <w:tc>
          <w:tcPr>
            <w:tcW w:w="240" w:type="dxa"/>
            <w:vAlign w:val="bottom"/>
          </w:tcPr>
          <w:p>
            <w:pPr>
              <w:spacing w:after="0"/>
              <w:rPr>
                <w:sz w:val="11"/>
                <w:szCs w:val="11"/>
                <w:color w:val="auto"/>
              </w:rPr>
            </w:pPr>
          </w:p>
        </w:tc>
        <w:tc>
          <w:tcPr>
            <w:tcW w:w="260" w:type="dxa"/>
            <w:vAlign w:val="bottom"/>
            <w:tcBorders>
              <w:bottom w:val="single" w:sz="8" w:color="auto"/>
            </w:tcBorders>
          </w:tcPr>
          <w:p>
            <w:pPr>
              <w:jc w:val="right"/>
              <w:ind w:right="11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5,455</w:t>
            </w:r>
          </w:p>
        </w:tc>
        <w:tc>
          <w:tcPr>
            <w:tcW w:w="80" w:type="dxa"/>
            <w:vAlign w:val="bottom"/>
          </w:tcPr>
          <w:p>
            <w:pPr>
              <w:spacing w:after="0"/>
              <w:rPr>
                <w:sz w:val="11"/>
                <w:szCs w:val="11"/>
                <w:color w:val="auto"/>
              </w:rPr>
            </w:pPr>
          </w:p>
        </w:tc>
      </w:tr>
      <w:tr>
        <w:trPr>
          <w:trHeight w:val="20"/>
        </w:trPr>
        <w:tc>
          <w:tcPr>
            <w:tcW w:w="6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172"/>
        </w:trPr>
        <w:tc>
          <w:tcPr>
            <w:tcW w:w="6360" w:type="dxa"/>
            <w:vAlign w:val="bottom"/>
            <w:tcBorders>
              <w:bottom w:val="single" w:sz="8" w:color="CCECFF"/>
            </w:tcBorders>
            <w:shd w:val="clear" w:color="auto" w:fill="CCECFF"/>
          </w:tcPr>
          <w:p>
            <w:pPr>
              <w:ind w:left="180"/>
              <w:spacing w:after="0" w:line="133" w:lineRule="exact"/>
              <w:rPr>
                <w:sz w:val="20"/>
                <w:szCs w:val="20"/>
                <w:color w:val="auto"/>
              </w:rPr>
            </w:pPr>
            <w:r>
              <w:rPr>
                <w:rFonts w:ascii="Times New Roman" w:cs="Times New Roman" w:eastAsia="Times New Roman" w:hAnsi="Times New Roman"/>
                <w:sz w:val="13"/>
                <w:szCs w:val="13"/>
                <w:color w:val="auto"/>
              </w:rPr>
              <w:t>Non-cash exchanges and conversions</w:t>
            </w:r>
          </w:p>
        </w:tc>
        <w:tc>
          <w:tcPr>
            <w:tcW w:w="280" w:type="dxa"/>
            <w:vAlign w:val="bottom"/>
            <w:tcBorders>
              <w:top w:val="single" w:sz="8" w:color="auto"/>
              <w:bottom w:val="single" w:sz="8" w:color="auto"/>
            </w:tcBorders>
            <w:shd w:val="clear" w:color="auto" w:fill="CCECFF"/>
          </w:tcPr>
          <w:p>
            <w:pPr>
              <w:jc w:val="right"/>
              <w:ind w:right="13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36,253</w:t>
            </w:r>
          </w:p>
        </w:tc>
        <w:tc>
          <w:tcPr>
            <w:tcW w:w="26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top w:val="single" w:sz="8" w:color="auto"/>
              <w:bottom w:val="single" w:sz="8" w:color="auto"/>
            </w:tcBorders>
            <w:shd w:val="clear" w:color="auto" w:fill="CCEC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18,467</w:t>
            </w:r>
          </w:p>
        </w:tc>
        <w:tc>
          <w:tcPr>
            <w:tcW w:w="24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top w:val="single" w:sz="8" w:color="auto"/>
              <w:bottom w:val="single" w:sz="8" w:color="auto"/>
            </w:tcBorders>
            <w:shd w:val="clear" w:color="auto" w:fill="CCECFF"/>
          </w:tcPr>
          <w:p>
            <w:pPr>
              <w:jc w:val="right"/>
              <w:ind w:right="11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(99,833</w:t>
            </w:r>
          </w:p>
        </w:tc>
        <w:tc>
          <w:tcPr>
            <w:tcW w:w="80" w:type="dxa"/>
            <w:vAlign w:val="bottom"/>
            <w:tcBorders>
              <w:bottom w:val="single" w:sz="8" w:color="CCECFF"/>
            </w:tcBorders>
            <w:shd w:val="clear" w:color="auto" w:fill="CCEC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3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98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2"/>
        </w:trPr>
        <w:tc>
          <w:tcPr>
            <w:tcW w:w="33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6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2"/>
              </w:rPr>
              <w:t>Maturity</w:t>
            </w:r>
          </w:p>
        </w:tc>
        <w:tc>
          <w:tcPr>
            <w:tcW w:w="2200" w:type="dxa"/>
            <w:vAlign w:val="bottom"/>
          </w:tcPr>
          <w:p>
            <w:pPr>
              <w:ind w:left="900"/>
              <w:spacing w:after="0"/>
              <w:rPr>
                <w:sz w:val="20"/>
                <w:szCs w:val="20"/>
                <w:color w:val="auto"/>
              </w:rPr>
            </w:pPr>
            <w:r>
              <w:rPr>
                <w:rFonts w:ascii="Times New Roman" w:cs="Times New Roman" w:eastAsia="Times New Roman" w:hAnsi="Times New Roman"/>
                <w:sz w:val="10"/>
                <w:szCs w:val="10"/>
                <w:b w:val="1"/>
                <w:bCs w:val="1"/>
                <w:color w:val="auto"/>
              </w:rPr>
              <w:t>Industry</w:t>
            </w:r>
          </w:p>
        </w:tc>
        <w:tc>
          <w:tcPr>
            <w:tcW w:w="98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80" w:type="dxa"/>
            <w:vAlign w:val="bottom"/>
          </w:tcPr>
          <w:p>
            <w:pPr>
              <w:jc w:val="center"/>
              <w:ind w:right="5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20" w:type="dxa"/>
            <w:vAlign w:val="bottom"/>
          </w:tcPr>
          <w:p>
            <w:pPr>
              <w:spacing w:after="0"/>
              <w:rPr>
                <w:sz w:val="10"/>
                <w:szCs w:val="10"/>
                <w:color w:val="auto"/>
              </w:rPr>
            </w:pPr>
          </w:p>
        </w:tc>
        <w:tc>
          <w:tcPr>
            <w:tcW w:w="52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4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(3)</w:t>
            </w:r>
          </w:p>
        </w:tc>
      </w:tr>
      <w:tr>
        <w:trPr>
          <w:trHeight w:val="120"/>
        </w:trPr>
        <w:tc>
          <w:tcPr>
            <w:tcW w:w="33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w w:val="98"/>
              </w:rPr>
              <w:t xml:space="preserve">Investments in Non-Controlled, Non-Affiliated Portfolio Companies - 184.3% </w:t>
            </w:r>
            <w:r>
              <w:rPr>
                <w:rFonts w:ascii="Times New Roman" w:cs="Times New Roman" w:eastAsia="Times New Roman" w:hAnsi="Times New Roman"/>
                <w:sz w:val="12"/>
                <w:szCs w:val="12"/>
                <w:color w:val="auto"/>
                <w:w w:val="98"/>
                <w:vertAlign w:val="superscript"/>
              </w:rPr>
              <w:t>(1), (2)</w:t>
            </w:r>
          </w:p>
        </w:tc>
        <w:tc>
          <w:tcPr>
            <w:tcW w:w="860" w:type="dxa"/>
            <w:vAlign w:val="bottom"/>
            <w:shd w:val="clear" w:color="auto" w:fill="CCECFF"/>
          </w:tcPr>
          <w:p>
            <w:pPr>
              <w:spacing w:after="0"/>
              <w:rPr>
                <w:sz w:val="10"/>
                <w:szCs w:val="10"/>
                <w:color w:val="auto"/>
              </w:rPr>
            </w:pPr>
          </w:p>
        </w:tc>
        <w:tc>
          <w:tcPr>
            <w:tcW w:w="220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0"/>
        </w:trPr>
        <w:tc>
          <w:tcPr>
            <w:tcW w:w="33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- 112.9% of Net Assets</w:t>
            </w:r>
          </w:p>
        </w:tc>
        <w:tc>
          <w:tcPr>
            <w:tcW w:w="8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3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8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12/22/2028</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10.95 %</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SOFR+610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5,345</w:t>
            </w:r>
          </w:p>
        </w:tc>
        <w:tc>
          <w:tcPr>
            <w:tcW w:w="2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5,279</w:t>
            </w:r>
          </w:p>
        </w:tc>
        <w:tc>
          <w:tcPr>
            <w:tcW w:w="2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5,345</w:t>
            </w:r>
          </w:p>
        </w:tc>
      </w:tr>
      <w:tr>
        <w:trPr>
          <w:trHeight w:val="120"/>
        </w:trPr>
        <w:tc>
          <w:tcPr>
            <w:tcW w:w="33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A1 Garage Merger Sub, LLC - Unfunded Term Loan </w:t>
            </w:r>
            <w:r>
              <w:rPr>
                <w:rFonts w:ascii="Times New Roman" w:cs="Times New Roman" w:eastAsia="Times New Roman" w:hAnsi="Times New Roman"/>
                <w:sz w:val="12"/>
                <w:szCs w:val="12"/>
                <w:color w:val="auto"/>
                <w:vertAlign w:val="superscript"/>
              </w:rPr>
              <w:t>(8)</w:t>
            </w:r>
          </w:p>
        </w:tc>
        <w:tc>
          <w:tcPr>
            <w:tcW w:w="8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12/21/2024</w:t>
            </w:r>
          </w:p>
        </w:tc>
        <w:tc>
          <w:tcPr>
            <w:tcW w:w="2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1,534</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w:t>
            </w:r>
          </w:p>
        </w:tc>
      </w:tr>
      <w:tr>
        <w:trPr>
          <w:trHeight w:val="132"/>
        </w:trPr>
        <w:tc>
          <w:tcPr>
            <w:tcW w:w="3380" w:type="dxa"/>
            <w:vAlign w:val="bottom"/>
            <w:shd w:val="clear" w:color="auto" w:fill="CCECFF"/>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A1 Garage Merger Sub, LLC - Revolver </w:t>
            </w:r>
            <w:r>
              <w:rPr>
                <w:rFonts w:ascii="Times New Roman" w:cs="Times New Roman" w:eastAsia="Times New Roman" w:hAnsi="Times New Roman"/>
                <w:sz w:val="12"/>
                <w:szCs w:val="12"/>
                <w:color w:val="auto"/>
                <w:vertAlign w:val="superscript"/>
              </w:rPr>
              <w:t>(8)</w:t>
            </w:r>
          </w:p>
        </w:tc>
        <w:tc>
          <w:tcPr>
            <w:tcW w:w="8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12/22/2028</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2,532</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1"/>
                <w:szCs w:val="11"/>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3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ACP Avenu Buyer, LLC</w:t>
            </w:r>
          </w:p>
        </w:tc>
        <w:tc>
          <w:tcPr>
            <w:tcW w:w="8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10/02/2029</w:t>
            </w:r>
          </w:p>
        </w:tc>
        <w:tc>
          <w:tcPr>
            <w:tcW w:w="2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10.52 %</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SOFR+525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w:t>
            </w:r>
          </w:p>
        </w:tc>
      </w:tr>
      <w:tr>
        <w:trPr>
          <w:trHeight w:val="120"/>
        </w:trPr>
        <w:tc>
          <w:tcPr>
            <w:tcW w:w="33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ACP Avenu Buyer, LLC - Unfunded Term Loan </w:t>
            </w:r>
            <w:r>
              <w:rPr>
                <w:rFonts w:ascii="Times New Roman" w:cs="Times New Roman" w:eastAsia="Times New Roman" w:hAnsi="Times New Roman"/>
                <w:sz w:val="12"/>
                <w:szCs w:val="12"/>
                <w:color w:val="auto"/>
                <w:vertAlign w:val="superscript"/>
              </w:rPr>
              <w:t>(8)</w:t>
            </w:r>
          </w:p>
        </w:tc>
        <w:tc>
          <w:tcPr>
            <w:tcW w:w="8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04/02/2025</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1,799</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(34 )</w:t>
            </w:r>
          </w:p>
        </w:tc>
      </w:tr>
      <w:tr>
        <w:trPr>
          <w:trHeight w:val="120"/>
        </w:trPr>
        <w:tc>
          <w:tcPr>
            <w:tcW w:w="33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ACP Avenu Buyer, LLC - Funded Revolver</w:t>
            </w:r>
          </w:p>
        </w:tc>
        <w:tc>
          <w:tcPr>
            <w:tcW w:w="8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10/02/2029</w:t>
            </w:r>
          </w:p>
        </w:tc>
        <w:tc>
          <w:tcPr>
            <w:tcW w:w="2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10.45 %</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SOFR+525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271</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271</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262</w:t>
            </w:r>
          </w:p>
        </w:tc>
      </w:tr>
      <w:tr>
        <w:trPr>
          <w:trHeight w:val="120"/>
        </w:trPr>
        <w:tc>
          <w:tcPr>
            <w:tcW w:w="33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ACP Avenu Buyer, LLC - Revolver </w:t>
            </w:r>
            <w:r>
              <w:rPr>
                <w:rFonts w:ascii="Times New Roman" w:cs="Times New Roman" w:eastAsia="Times New Roman" w:hAnsi="Times New Roman"/>
                <w:sz w:val="12"/>
                <w:szCs w:val="12"/>
                <w:color w:val="auto"/>
                <w:vertAlign w:val="superscript"/>
              </w:rPr>
              <w:t>(8)</w:t>
            </w:r>
          </w:p>
        </w:tc>
        <w:tc>
          <w:tcPr>
            <w:tcW w:w="8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10/02/2029</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947</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(31 )</w:t>
            </w:r>
          </w:p>
        </w:tc>
      </w:tr>
      <w:tr>
        <w:trPr>
          <w:trHeight w:val="120"/>
        </w:trPr>
        <w:tc>
          <w:tcPr>
            <w:tcW w:w="33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ACP Falcon Buyer, Inc. - Revolver </w:t>
            </w:r>
            <w:r>
              <w:rPr>
                <w:rFonts w:ascii="Times New Roman" w:cs="Times New Roman" w:eastAsia="Times New Roman" w:hAnsi="Times New Roman"/>
                <w:sz w:val="12"/>
                <w:szCs w:val="12"/>
                <w:color w:val="auto"/>
                <w:vertAlign w:val="superscript"/>
              </w:rPr>
              <w:t>(8)</w:t>
            </w:r>
          </w:p>
        </w:tc>
        <w:tc>
          <w:tcPr>
            <w:tcW w:w="8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08/01/2029</w:t>
            </w:r>
          </w:p>
        </w:tc>
        <w:tc>
          <w:tcPr>
            <w:tcW w:w="2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2,533</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Ad.net Acquisition, LLC - Funded Revolver</w:t>
            </w:r>
          </w:p>
        </w:tc>
        <w:tc>
          <w:tcPr>
            <w:tcW w:w="8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05/07/2026</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10.93 %</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SOFR+626</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178</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178</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178</w:t>
            </w:r>
          </w:p>
        </w:tc>
      </w:tr>
      <w:tr>
        <w:trPr>
          <w:trHeight w:val="120"/>
        </w:trPr>
        <w:tc>
          <w:tcPr>
            <w:tcW w:w="33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Ad.net Acquisition, LLC - Revolver </w:t>
            </w:r>
            <w:r>
              <w:rPr>
                <w:rFonts w:ascii="Times New Roman" w:cs="Times New Roman" w:eastAsia="Times New Roman" w:hAnsi="Times New Roman"/>
                <w:sz w:val="12"/>
                <w:szCs w:val="12"/>
                <w:color w:val="auto"/>
                <w:vertAlign w:val="superscript"/>
              </w:rPr>
              <w:t>(8)</w:t>
            </w:r>
          </w:p>
        </w:tc>
        <w:tc>
          <w:tcPr>
            <w:tcW w:w="8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05/07/2026</w:t>
            </w:r>
          </w:p>
        </w:tc>
        <w:tc>
          <w:tcPr>
            <w:tcW w:w="22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267</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Adweek Purchaser, LLC</w:t>
            </w:r>
          </w:p>
        </w:tc>
        <w:tc>
          <w:tcPr>
            <w:tcW w:w="8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05/30/2027</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Printing and Publishing</w:t>
            </w: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11.60 %</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SOFR+700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2,000</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1,963</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2,000</w:t>
            </w:r>
          </w:p>
        </w:tc>
      </w:tr>
      <w:tr>
        <w:trPr>
          <w:trHeight w:val="144"/>
        </w:trPr>
        <w:tc>
          <w:tcPr>
            <w:tcW w:w="33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Adweek Purchaser, LLC - Unfunded Term Loan </w:t>
            </w:r>
            <w:r>
              <w:rPr>
                <w:rFonts w:ascii="Times New Roman" w:cs="Times New Roman" w:eastAsia="Times New Roman" w:hAnsi="Times New Roman"/>
                <w:sz w:val="12"/>
                <w:szCs w:val="12"/>
                <w:color w:val="auto"/>
                <w:vertAlign w:val="superscript"/>
              </w:rPr>
              <w:t>(8)</w:t>
            </w:r>
          </w:p>
        </w:tc>
        <w:tc>
          <w:tcPr>
            <w:tcW w:w="8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11/30/2025</w:t>
            </w:r>
          </w:p>
        </w:tc>
        <w:tc>
          <w:tcPr>
            <w:tcW w:w="2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Printing and Publishing</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400</w:t>
            </w:r>
          </w:p>
        </w:tc>
        <w:tc>
          <w:tcPr>
            <w:tcW w:w="220" w:type="dxa"/>
            <w:vAlign w:val="bottom"/>
          </w:tcPr>
          <w:p>
            <w:pPr>
              <w:spacing w:after="0"/>
              <w:rPr>
                <w:sz w:val="12"/>
                <w:szCs w:val="12"/>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r>
      <w:tr>
        <w:trPr>
          <w:trHeight w:val="120"/>
        </w:trPr>
        <w:tc>
          <w:tcPr>
            <w:tcW w:w="3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Aechelon Technology, Inc.</w:t>
            </w:r>
          </w:p>
        </w:tc>
        <w:tc>
          <w:tcPr>
            <w:tcW w:w="8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08/16/2029</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12.60 %</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SOFR+750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5,000</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4,951</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4,900</w:t>
            </w:r>
          </w:p>
        </w:tc>
      </w:tr>
      <w:tr>
        <w:trPr>
          <w:trHeight w:val="120"/>
        </w:trPr>
        <w:tc>
          <w:tcPr>
            <w:tcW w:w="33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Aechelon Technology, Inc. - Unfunded Revolver </w:t>
            </w:r>
            <w:r>
              <w:rPr>
                <w:rFonts w:ascii="Times New Roman" w:cs="Times New Roman" w:eastAsia="Times New Roman" w:hAnsi="Times New Roman"/>
                <w:sz w:val="12"/>
                <w:szCs w:val="12"/>
                <w:color w:val="auto"/>
                <w:vertAlign w:val="superscript"/>
              </w:rPr>
              <w:t>(8)</w:t>
            </w:r>
          </w:p>
        </w:tc>
        <w:tc>
          <w:tcPr>
            <w:tcW w:w="8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08/16/2029</w:t>
            </w:r>
          </w:p>
        </w:tc>
        <w:tc>
          <w:tcPr>
            <w:tcW w:w="2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1,109</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(22 )</w:t>
            </w:r>
          </w:p>
        </w:tc>
      </w:tr>
      <w:tr>
        <w:trPr>
          <w:trHeight w:val="120"/>
        </w:trPr>
        <w:tc>
          <w:tcPr>
            <w:tcW w:w="33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Aeronix, Inc. - Revolver </w:t>
            </w:r>
            <w:r>
              <w:rPr>
                <w:rFonts w:ascii="Times New Roman" w:cs="Times New Roman" w:eastAsia="Times New Roman" w:hAnsi="Times New Roman"/>
                <w:sz w:val="12"/>
                <w:szCs w:val="12"/>
                <w:color w:val="auto"/>
                <w:vertAlign w:val="superscript"/>
              </w:rPr>
              <w:t>(8)</w:t>
            </w:r>
          </w:p>
        </w:tc>
        <w:tc>
          <w:tcPr>
            <w:tcW w:w="8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12/12/2028</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2,489</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3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AFC Dell Holding Corp.</w:t>
            </w:r>
          </w:p>
        </w:tc>
        <w:tc>
          <w:tcPr>
            <w:tcW w:w="8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04/09/2027</w:t>
            </w:r>
          </w:p>
        </w:tc>
        <w:tc>
          <w:tcPr>
            <w:tcW w:w="2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10.48 %</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SOFR+550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9,781</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9,762</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9,683</w:t>
            </w:r>
          </w:p>
        </w:tc>
      </w:tr>
      <w:tr>
        <w:trPr>
          <w:trHeight w:val="120"/>
        </w:trPr>
        <w:tc>
          <w:tcPr>
            <w:tcW w:w="33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AFC Dell Holding Corp. - Unfunded Term Loan </w:t>
            </w:r>
            <w:r>
              <w:rPr>
                <w:rFonts w:ascii="Times New Roman" w:cs="Times New Roman" w:eastAsia="Times New Roman" w:hAnsi="Times New Roman"/>
                <w:sz w:val="12"/>
                <w:szCs w:val="12"/>
                <w:color w:val="auto"/>
                <w:vertAlign w:val="superscript"/>
              </w:rPr>
              <w:t>(8)</w:t>
            </w:r>
          </w:p>
        </w:tc>
        <w:tc>
          <w:tcPr>
            <w:tcW w:w="8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04/09/2027</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4,428</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(44 )</w:t>
            </w:r>
          </w:p>
        </w:tc>
      </w:tr>
      <w:tr>
        <w:trPr>
          <w:trHeight w:val="120"/>
        </w:trPr>
        <w:tc>
          <w:tcPr>
            <w:tcW w:w="33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Atlas Purchaser, Inc. - Third Out</w:t>
            </w:r>
          </w:p>
        </w:tc>
        <w:tc>
          <w:tcPr>
            <w:tcW w:w="8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05/06/2028</w:t>
            </w:r>
          </w:p>
        </w:tc>
        <w:tc>
          <w:tcPr>
            <w:tcW w:w="2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Telecommunications</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11.97 %</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SOFR+700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8,840</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7,499</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6,144</w:t>
            </w:r>
          </w:p>
        </w:tc>
      </w:tr>
      <w:tr>
        <w:trPr>
          <w:trHeight w:val="120"/>
        </w:trPr>
        <w:tc>
          <w:tcPr>
            <w:tcW w:w="3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Atlas Purchaser, Inc. - Fourth Out</w:t>
            </w:r>
          </w:p>
        </w:tc>
        <w:tc>
          <w:tcPr>
            <w:tcW w:w="8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05/06/2028</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Telecommunications</w:t>
            </w: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11.97 %</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SOFR+700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4,760</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674</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624</w:t>
            </w:r>
          </w:p>
        </w:tc>
      </w:tr>
      <w:tr>
        <w:trPr>
          <w:trHeight w:val="120"/>
        </w:trPr>
        <w:tc>
          <w:tcPr>
            <w:tcW w:w="33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Anteriad, LLC (f/k/a MeritDirect, LLC) - Revolver </w:t>
            </w:r>
            <w:r>
              <w:rPr>
                <w:rFonts w:ascii="Times New Roman" w:cs="Times New Roman" w:eastAsia="Times New Roman" w:hAnsi="Times New Roman"/>
                <w:sz w:val="12"/>
                <w:szCs w:val="12"/>
                <w:color w:val="auto"/>
                <w:vertAlign w:val="superscript"/>
              </w:rPr>
              <w:t>(8)</w:t>
            </w:r>
          </w:p>
        </w:tc>
        <w:tc>
          <w:tcPr>
            <w:tcW w:w="8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06/30/2026</w:t>
            </w:r>
          </w:p>
        </w:tc>
        <w:tc>
          <w:tcPr>
            <w:tcW w:w="22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1,612</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8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12/29/2026</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10.50 %</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SOFR+590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1,182</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1,174</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1,164</w:t>
            </w:r>
          </w:p>
        </w:tc>
      </w:tr>
      <w:tr>
        <w:trPr>
          <w:trHeight w:val="120"/>
        </w:trPr>
        <w:tc>
          <w:tcPr>
            <w:tcW w:w="33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Applied Technical Services, LLC - Unfunded Term Loan </w:t>
            </w:r>
            <w:r>
              <w:rPr>
                <w:rFonts w:ascii="Times New Roman" w:cs="Times New Roman" w:eastAsia="Times New Roman" w:hAnsi="Times New Roman"/>
                <w:sz w:val="12"/>
                <w:szCs w:val="12"/>
                <w:color w:val="auto"/>
                <w:vertAlign w:val="superscript"/>
              </w:rPr>
              <w:t>(8)</w:t>
            </w:r>
          </w:p>
        </w:tc>
        <w:tc>
          <w:tcPr>
            <w:tcW w:w="8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07/17/2025</w:t>
            </w:r>
          </w:p>
        </w:tc>
        <w:tc>
          <w:tcPr>
            <w:tcW w:w="2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2,637</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(13 )</w:t>
            </w:r>
          </w:p>
        </w:tc>
      </w:tr>
      <w:tr>
        <w:trPr>
          <w:trHeight w:val="120"/>
        </w:trPr>
        <w:tc>
          <w:tcPr>
            <w:tcW w:w="3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 - Revolver</w:t>
            </w:r>
          </w:p>
        </w:tc>
        <w:tc>
          <w:tcPr>
            <w:tcW w:w="8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12/29/2026</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13.25 %</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SOFR+475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1,133</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1,133</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1,116</w:t>
            </w:r>
          </w:p>
        </w:tc>
      </w:tr>
      <w:tr>
        <w:trPr>
          <w:trHeight w:val="120"/>
        </w:trPr>
        <w:tc>
          <w:tcPr>
            <w:tcW w:w="33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Applied Technical Services, LLC - Unfunded Revolver </w:t>
            </w:r>
            <w:r>
              <w:rPr>
                <w:rFonts w:ascii="Times New Roman" w:cs="Times New Roman" w:eastAsia="Times New Roman" w:hAnsi="Times New Roman"/>
                <w:sz w:val="12"/>
                <w:szCs w:val="12"/>
                <w:color w:val="auto"/>
                <w:vertAlign w:val="superscript"/>
              </w:rPr>
              <w:t>(8)</w:t>
            </w:r>
          </w:p>
        </w:tc>
        <w:tc>
          <w:tcPr>
            <w:tcW w:w="8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12/29/2026</w:t>
            </w:r>
          </w:p>
        </w:tc>
        <w:tc>
          <w:tcPr>
            <w:tcW w:w="2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669</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(10 )</w:t>
            </w:r>
          </w:p>
        </w:tc>
      </w:tr>
      <w:tr>
        <w:trPr>
          <w:trHeight w:val="120"/>
        </w:trPr>
        <w:tc>
          <w:tcPr>
            <w:tcW w:w="33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Arcfield Acquisition Corp. - Revolver </w:t>
            </w:r>
            <w:r>
              <w:rPr>
                <w:rFonts w:ascii="Times New Roman" w:cs="Times New Roman" w:eastAsia="Times New Roman" w:hAnsi="Times New Roman"/>
                <w:sz w:val="12"/>
                <w:szCs w:val="12"/>
                <w:color w:val="auto"/>
                <w:vertAlign w:val="superscript"/>
              </w:rPr>
              <w:t>(8)</w:t>
            </w:r>
          </w:p>
        </w:tc>
        <w:tc>
          <w:tcPr>
            <w:tcW w:w="8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08/04/2028</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3,521</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(18 )</w:t>
            </w:r>
          </w:p>
        </w:tc>
      </w:tr>
      <w:tr>
        <w:trPr>
          <w:trHeight w:val="120"/>
        </w:trPr>
        <w:tc>
          <w:tcPr>
            <w:tcW w:w="33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Archer Lewis, LLC</w:t>
            </w:r>
          </w:p>
        </w:tc>
        <w:tc>
          <w:tcPr>
            <w:tcW w:w="8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08/28/2029</w:t>
            </w:r>
          </w:p>
        </w:tc>
        <w:tc>
          <w:tcPr>
            <w:tcW w:w="2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10.83 %</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SOFR+575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8,700</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8,614</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8,526</w:t>
            </w:r>
          </w:p>
        </w:tc>
      </w:tr>
      <w:tr>
        <w:trPr>
          <w:trHeight w:val="120"/>
        </w:trPr>
        <w:tc>
          <w:tcPr>
            <w:tcW w:w="33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Archer Lewis, LLC - Unfunded Term Loan A </w:t>
            </w:r>
            <w:r>
              <w:rPr>
                <w:rFonts w:ascii="Times New Roman" w:cs="Times New Roman" w:eastAsia="Times New Roman" w:hAnsi="Times New Roman"/>
                <w:sz w:val="12"/>
                <w:szCs w:val="12"/>
                <w:color w:val="auto"/>
                <w:vertAlign w:val="superscript"/>
              </w:rPr>
              <w:t>(8)</w:t>
            </w:r>
          </w:p>
        </w:tc>
        <w:tc>
          <w:tcPr>
            <w:tcW w:w="8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08/28/2025</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5,324</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(53 )</w:t>
            </w:r>
          </w:p>
        </w:tc>
      </w:tr>
      <w:tr>
        <w:trPr>
          <w:trHeight w:val="120"/>
        </w:trPr>
        <w:tc>
          <w:tcPr>
            <w:tcW w:w="33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Archer Lewis, LLC - Unfunded Term Loan B </w:t>
            </w:r>
            <w:r>
              <w:rPr>
                <w:rFonts w:ascii="Times New Roman" w:cs="Times New Roman" w:eastAsia="Times New Roman" w:hAnsi="Times New Roman"/>
                <w:sz w:val="12"/>
                <w:szCs w:val="12"/>
                <w:color w:val="auto"/>
                <w:vertAlign w:val="superscript"/>
              </w:rPr>
              <w:t>(8)</w:t>
            </w:r>
          </w:p>
        </w:tc>
        <w:tc>
          <w:tcPr>
            <w:tcW w:w="8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08/28/2026</w:t>
            </w:r>
          </w:p>
        </w:tc>
        <w:tc>
          <w:tcPr>
            <w:tcW w:w="2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8,527</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(85 )</w:t>
            </w:r>
          </w:p>
        </w:tc>
      </w:tr>
      <w:tr>
        <w:trPr>
          <w:trHeight w:val="120"/>
        </w:trPr>
        <w:tc>
          <w:tcPr>
            <w:tcW w:w="33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Archer Lewis, LLC - Unfunded Revolver </w:t>
            </w:r>
            <w:r>
              <w:rPr>
                <w:rFonts w:ascii="Times New Roman" w:cs="Times New Roman" w:eastAsia="Times New Roman" w:hAnsi="Times New Roman"/>
                <w:sz w:val="12"/>
                <w:szCs w:val="12"/>
                <w:color w:val="auto"/>
                <w:vertAlign w:val="superscript"/>
              </w:rPr>
              <w:t>(8)</w:t>
            </w:r>
          </w:p>
        </w:tc>
        <w:tc>
          <w:tcPr>
            <w:tcW w:w="8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08/28/2029</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1,304</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(26 )</w:t>
            </w:r>
          </w:p>
        </w:tc>
      </w:tr>
      <w:tr>
        <w:trPr>
          <w:trHeight w:val="120"/>
        </w:trPr>
        <w:tc>
          <w:tcPr>
            <w:tcW w:w="33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Argano, LLC.</w:t>
            </w:r>
          </w:p>
        </w:tc>
        <w:tc>
          <w:tcPr>
            <w:tcW w:w="8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09/13/2029</w:t>
            </w:r>
          </w:p>
        </w:tc>
        <w:tc>
          <w:tcPr>
            <w:tcW w:w="2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10.85 %</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SOFR+575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15,000</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14,851</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14,850</w:t>
            </w:r>
          </w:p>
        </w:tc>
      </w:tr>
      <w:tr>
        <w:trPr>
          <w:trHeight w:val="120"/>
        </w:trPr>
        <w:tc>
          <w:tcPr>
            <w:tcW w:w="33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Argano, LLC. - Unfunded Term Loan </w:t>
            </w:r>
            <w:r>
              <w:rPr>
                <w:rFonts w:ascii="Times New Roman" w:cs="Times New Roman" w:eastAsia="Times New Roman" w:hAnsi="Times New Roman"/>
                <w:sz w:val="12"/>
                <w:szCs w:val="12"/>
                <w:color w:val="auto"/>
                <w:vertAlign w:val="superscript"/>
              </w:rPr>
              <w:t>(8)</w:t>
            </w:r>
          </w:p>
        </w:tc>
        <w:tc>
          <w:tcPr>
            <w:tcW w:w="8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03/13/2025</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4,981</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3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Argano, LLC. - Unfunded Revolver </w:t>
            </w:r>
            <w:r>
              <w:rPr>
                <w:rFonts w:ascii="Times New Roman" w:cs="Times New Roman" w:eastAsia="Times New Roman" w:hAnsi="Times New Roman"/>
                <w:sz w:val="12"/>
                <w:szCs w:val="12"/>
                <w:color w:val="auto"/>
                <w:vertAlign w:val="superscript"/>
              </w:rPr>
              <w:t>(8)</w:t>
            </w:r>
          </w:p>
        </w:tc>
        <w:tc>
          <w:tcPr>
            <w:tcW w:w="8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09/13/2029</w:t>
            </w:r>
          </w:p>
        </w:tc>
        <w:tc>
          <w:tcPr>
            <w:tcW w:w="2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794</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Beacon Behavioral Support Service, LLC</w:t>
            </w:r>
          </w:p>
        </w:tc>
        <w:tc>
          <w:tcPr>
            <w:tcW w:w="8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06/21/2029</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9.85 %</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SOFR+525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2,396</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2,372</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2,360</w:t>
            </w:r>
          </w:p>
        </w:tc>
      </w:tr>
      <w:tr>
        <w:trPr>
          <w:trHeight w:val="120"/>
        </w:trPr>
        <w:tc>
          <w:tcPr>
            <w:tcW w:w="33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Beacon Behavioral Support Service, LLC - Unfunded Term Loan </w:t>
            </w:r>
            <w:r>
              <w:rPr>
                <w:rFonts w:ascii="Times New Roman" w:cs="Times New Roman" w:eastAsia="Times New Roman" w:hAnsi="Times New Roman"/>
                <w:sz w:val="12"/>
                <w:szCs w:val="12"/>
                <w:color w:val="auto"/>
                <w:vertAlign w:val="superscript"/>
              </w:rPr>
              <w:t>(8)</w:t>
            </w:r>
          </w:p>
        </w:tc>
        <w:tc>
          <w:tcPr>
            <w:tcW w:w="8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12/21/2025</w:t>
            </w:r>
          </w:p>
        </w:tc>
        <w:tc>
          <w:tcPr>
            <w:tcW w:w="2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3,747</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(19 )</w:t>
            </w:r>
          </w:p>
        </w:tc>
      </w:tr>
      <w:tr>
        <w:trPr>
          <w:trHeight w:val="120"/>
        </w:trPr>
        <w:tc>
          <w:tcPr>
            <w:tcW w:w="33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Beacon Behavioral Support Service, LLC - Revolver </w:t>
            </w:r>
            <w:r>
              <w:rPr>
                <w:rFonts w:ascii="Times New Roman" w:cs="Times New Roman" w:eastAsia="Times New Roman" w:hAnsi="Times New Roman"/>
                <w:sz w:val="12"/>
                <w:szCs w:val="12"/>
                <w:color w:val="auto"/>
                <w:vertAlign w:val="superscript"/>
              </w:rPr>
              <w:t>(8)</w:t>
            </w:r>
          </w:p>
        </w:tc>
        <w:tc>
          <w:tcPr>
            <w:tcW w:w="8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06/21/2029</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1,206</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(18 )</w:t>
            </w:r>
          </w:p>
        </w:tc>
      </w:tr>
      <w:tr>
        <w:trPr>
          <w:trHeight w:val="120"/>
        </w:trPr>
        <w:tc>
          <w:tcPr>
            <w:tcW w:w="33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Berwick Industrial Park</w:t>
            </w:r>
          </w:p>
        </w:tc>
        <w:tc>
          <w:tcPr>
            <w:tcW w:w="8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05/02/2025</w:t>
            </w:r>
          </w:p>
        </w:tc>
        <w:tc>
          <w:tcPr>
            <w:tcW w:w="2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Buildings and Real Estate</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13.00 %</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4,000</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4,042</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3,988</w:t>
            </w:r>
          </w:p>
        </w:tc>
      </w:tr>
      <w:tr>
        <w:trPr>
          <w:trHeight w:val="120"/>
        </w:trPr>
        <w:tc>
          <w:tcPr>
            <w:tcW w:w="3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8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07/01/2029</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10.35 %</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SOFR+575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4,900</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4,832</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4,753</w:t>
            </w:r>
          </w:p>
        </w:tc>
      </w:tr>
      <w:tr>
        <w:trPr>
          <w:trHeight w:val="120"/>
        </w:trPr>
        <w:tc>
          <w:tcPr>
            <w:tcW w:w="33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Big Top Holdings, LLC - Unfunded Revolver </w:t>
            </w:r>
            <w:r>
              <w:rPr>
                <w:rFonts w:ascii="Times New Roman" w:cs="Times New Roman" w:eastAsia="Times New Roman" w:hAnsi="Times New Roman"/>
                <w:sz w:val="12"/>
                <w:szCs w:val="12"/>
                <w:color w:val="auto"/>
                <w:vertAlign w:val="superscript"/>
              </w:rPr>
              <w:t>(8)</w:t>
            </w:r>
          </w:p>
        </w:tc>
        <w:tc>
          <w:tcPr>
            <w:tcW w:w="8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02/07/2030</w:t>
            </w:r>
          </w:p>
        </w:tc>
        <w:tc>
          <w:tcPr>
            <w:tcW w:w="2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Manufacturing/Basic Industry</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1,155</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BioDerm, Inc. - Revolver</w:t>
            </w:r>
          </w:p>
        </w:tc>
        <w:tc>
          <w:tcPr>
            <w:tcW w:w="8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01/31/2028</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11.84 %</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SOFR+650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589</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589</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582</w:t>
            </w:r>
          </w:p>
        </w:tc>
      </w:tr>
      <w:tr>
        <w:trPr>
          <w:trHeight w:val="120"/>
        </w:trPr>
        <w:tc>
          <w:tcPr>
            <w:tcW w:w="33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BioDerm, Inc. - Revolver </w:t>
            </w:r>
            <w:r>
              <w:rPr>
                <w:rFonts w:ascii="Times New Roman" w:cs="Times New Roman" w:eastAsia="Times New Roman" w:hAnsi="Times New Roman"/>
                <w:sz w:val="12"/>
                <w:szCs w:val="12"/>
                <w:color w:val="auto"/>
                <w:vertAlign w:val="superscript"/>
              </w:rPr>
              <w:t>(8)</w:t>
            </w:r>
          </w:p>
        </w:tc>
        <w:tc>
          <w:tcPr>
            <w:tcW w:w="8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01/31/2028</w:t>
            </w:r>
          </w:p>
        </w:tc>
        <w:tc>
          <w:tcPr>
            <w:tcW w:w="2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482</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(6 )</w:t>
            </w:r>
          </w:p>
        </w:tc>
      </w:tr>
      <w:tr>
        <w:trPr>
          <w:trHeight w:val="120"/>
        </w:trPr>
        <w:tc>
          <w:tcPr>
            <w:tcW w:w="3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8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09/17/2026</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11.00 %</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SOFR+640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6,279</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6,239</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6,171</w:t>
            </w:r>
          </w:p>
        </w:tc>
      </w:tr>
      <w:tr>
        <w:trPr>
          <w:trHeight w:val="120"/>
        </w:trPr>
        <w:tc>
          <w:tcPr>
            <w:tcW w:w="33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Blackhawk Industrial Distribution, Inc. - Unfunded Term Loan </w:t>
            </w:r>
            <w:r>
              <w:rPr>
                <w:rFonts w:ascii="Times New Roman" w:cs="Times New Roman" w:eastAsia="Times New Roman" w:hAnsi="Times New Roman"/>
                <w:sz w:val="12"/>
                <w:szCs w:val="12"/>
                <w:color w:val="auto"/>
                <w:vertAlign w:val="superscript"/>
              </w:rPr>
              <w:t>(8)</w:t>
            </w:r>
          </w:p>
        </w:tc>
        <w:tc>
          <w:tcPr>
            <w:tcW w:w="8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09/17/2026</w:t>
            </w:r>
          </w:p>
        </w:tc>
        <w:tc>
          <w:tcPr>
            <w:tcW w:w="2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2,368</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(18 )</w:t>
            </w:r>
          </w:p>
        </w:tc>
      </w:tr>
      <w:tr>
        <w:trPr>
          <w:trHeight w:val="120"/>
        </w:trPr>
        <w:tc>
          <w:tcPr>
            <w:tcW w:w="3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 - Revolver</w:t>
            </w:r>
          </w:p>
        </w:tc>
        <w:tc>
          <w:tcPr>
            <w:tcW w:w="8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09/17/2026</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11.04 %</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SOFR+640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1,093</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1,093</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1,074</w:t>
            </w:r>
          </w:p>
        </w:tc>
      </w:tr>
      <w:tr>
        <w:trPr>
          <w:trHeight w:val="120"/>
        </w:trPr>
        <w:tc>
          <w:tcPr>
            <w:tcW w:w="33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Blackhawk Industrial Distribution, Inc. - Unfunded Revolver </w:t>
            </w:r>
            <w:r>
              <w:rPr>
                <w:rFonts w:ascii="Times New Roman" w:cs="Times New Roman" w:eastAsia="Times New Roman" w:hAnsi="Times New Roman"/>
                <w:sz w:val="12"/>
                <w:szCs w:val="12"/>
                <w:color w:val="auto"/>
                <w:vertAlign w:val="superscript"/>
              </w:rPr>
              <w:t>(8)</w:t>
            </w:r>
          </w:p>
        </w:tc>
        <w:tc>
          <w:tcPr>
            <w:tcW w:w="8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09/17/2026</w:t>
            </w:r>
          </w:p>
        </w:tc>
        <w:tc>
          <w:tcPr>
            <w:tcW w:w="2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3,764</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(64 )</w:t>
            </w:r>
          </w:p>
        </w:tc>
      </w:tr>
      <w:tr>
        <w:trPr>
          <w:trHeight w:val="120"/>
        </w:trPr>
        <w:tc>
          <w:tcPr>
            <w:tcW w:w="3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BlueHalo Financing Holdings, LLC</w:t>
            </w:r>
          </w:p>
        </w:tc>
        <w:tc>
          <w:tcPr>
            <w:tcW w:w="8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10/31/2025</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10.44 %</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SOFR+600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w:t>
            </w:r>
          </w:p>
        </w:tc>
      </w:tr>
      <w:tr>
        <w:trPr>
          <w:trHeight w:val="120"/>
        </w:trPr>
        <w:tc>
          <w:tcPr>
            <w:tcW w:w="33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8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12/04/2025</w:t>
            </w:r>
          </w:p>
        </w:tc>
        <w:tc>
          <w:tcPr>
            <w:tcW w:w="2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10.97 %</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SOFR+611</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9,524</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9,524</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9,524</w:t>
            </w:r>
          </w:p>
        </w:tc>
      </w:tr>
      <w:tr>
        <w:trPr>
          <w:trHeight w:val="120"/>
        </w:trPr>
        <w:tc>
          <w:tcPr>
            <w:tcW w:w="33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Carisk Buyer, Inc. - Unfunded Term Loan </w:t>
            </w:r>
            <w:r>
              <w:rPr>
                <w:rFonts w:ascii="Times New Roman" w:cs="Times New Roman" w:eastAsia="Times New Roman" w:hAnsi="Times New Roman"/>
                <w:sz w:val="12"/>
                <w:szCs w:val="12"/>
                <w:color w:val="auto"/>
                <w:vertAlign w:val="superscript"/>
              </w:rPr>
              <w:t>(8)</w:t>
            </w:r>
          </w:p>
        </w:tc>
        <w:tc>
          <w:tcPr>
            <w:tcW w:w="8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12/01/2029</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4,813</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(24 )</w:t>
            </w:r>
          </w:p>
        </w:tc>
      </w:tr>
      <w:tr>
        <w:trPr>
          <w:trHeight w:val="120"/>
        </w:trPr>
        <w:tc>
          <w:tcPr>
            <w:tcW w:w="33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Carisk Buyer, Inc. - Revolver </w:t>
            </w:r>
            <w:r>
              <w:rPr>
                <w:rFonts w:ascii="Times New Roman" w:cs="Times New Roman" w:eastAsia="Times New Roman" w:hAnsi="Times New Roman"/>
                <w:sz w:val="12"/>
                <w:szCs w:val="12"/>
                <w:color w:val="auto"/>
                <w:vertAlign w:val="superscript"/>
              </w:rPr>
              <w:t>(8)</w:t>
            </w:r>
          </w:p>
        </w:tc>
        <w:tc>
          <w:tcPr>
            <w:tcW w:w="8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12/01/2029</w:t>
            </w:r>
          </w:p>
        </w:tc>
        <w:tc>
          <w:tcPr>
            <w:tcW w:w="2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1,750</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(26 )</w:t>
            </w:r>
          </w:p>
        </w:tc>
      </w:tr>
      <w:tr>
        <w:trPr>
          <w:trHeight w:val="120"/>
        </w:trPr>
        <w:tc>
          <w:tcPr>
            <w:tcW w:w="3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Carnegie Dartlet, LLC</w:t>
            </w:r>
          </w:p>
        </w:tc>
        <w:tc>
          <w:tcPr>
            <w:tcW w:w="8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02/07/2030</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10.35 %</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SOFR+550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12,935</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12,745</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12,741</w:t>
            </w:r>
          </w:p>
        </w:tc>
      </w:tr>
      <w:tr>
        <w:trPr>
          <w:trHeight w:val="120"/>
        </w:trPr>
        <w:tc>
          <w:tcPr>
            <w:tcW w:w="33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Carnegie Dartlet, LLC - Unfunded Term Loan </w:t>
            </w:r>
            <w:r>
              <w:rPr>
                <w:rFonts w:ascii="Times New Roman" w:cs="Times New Roman" w:eastAsia="Times New Roman" w:hAnsi="Times New Roman"/>
                <w:sz w:val="12"/>
                <w:szCs w:val="12"/>
                <w:color w:val="auto"/>
                <w:vertAlign w:val="superscript"/>
              </w:rPr>
              <w:t>(8)</w:t>
            </w:r>
          </w:p>
        </w:tc>
        <w:tc>
          <w:tcPr>
            <w:tcW w:w="8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02/07/2026</w:t>
            </w:r>
          </w:p>
        </w:tc>
        <w:tc>
          <w:tcPr>
            <w:tcW w:w="2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10,017</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(50 )</w:t>
            </w:r>
          </w:p>
        </w:tc>
      </w:tr>
      <w:tr>
        <w:trPr>
          <w:trHeight w:val="120"/>
        </w:trPr>
        <w:tc>
          <w:tcPr>
            <w:tcW w:w="33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Carnegie Dartlet, LLC - Unfunded Revolver </w:t>
            </w:r>
            <w:r>
              <w:rPr>
                <w:rFonts w:ascii="Times New Roman" w:cs="Times New Roman" w:eastAsia="Times New Roman" w:hAnsi="Times New Roman"/>
                <w:sz w:val="12"/>
                <w:szCs w:val="12"/>
                <w:color w:val="auto"/>
                <w:vertAlign w:val="superscript"/>
              </w:rPr>
              <w:t>(8)</w:t>
            </w:r>
          </w:p>
        </w:tc>
        <w:tc>
          <w:tcPr>
            <w:tcW w:w="8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02/07/2030</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9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3,339</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(50 )</w:t>
            </w:r>
          </w:p>
        </w:tc>
      </w:tr>
      <w:tr>
        <w:trPr>
          <w:trHeight w:val="120"/>
        </w:trPr>
        <w:tc>
          <w:tcPr>
            <w:tcW w:w="33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8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06/14/2028</w:t>
            </w:r>
          </w:p>
        </w:tc>
        <w:tc>
          <w:tcPr>
            <w:tcW w:w="2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10.35 %</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SOFR+575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28,737</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28,334</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28,736</w:t>
            </w:r>
          </w:p>
        </w:tc>
      </w:tr>
      <w:tr>
        <w:trPr>
          <w:trHeight w:val="120"/>
        </w:trPr>
        <w:tc>
          <w:tcPr>
            <w:tcW w:w="3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Cartessa Aesthetics, LLC - Revolver</w:t>
            </w:r>
          </w:p>
        </w:tc>
        <w:tc>
          <w:tcPr>
            <w:tcW w:w="8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06/14/2028</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10.35 %</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SOFR+575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1,265</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1,265</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1,265</w:t>
            </w:r>
          </w:p>
        </w:tc>
      </w:tr>
      <w:tr>
        <w:trPr>
          <w:trHeight w:val="120"/>
        </w:trPr>
        <w:tc>
          <w:tcPr>
            <w:tcW w:w="33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Cartessa Aesthetics, LLC - Unfunded Revolver </w:t>
            </w:r>
            <w:r>
              <w:rPr>
                <w:rFonts w:ascii="Times New Roman" w:cs="Times New Roman" w:eastAsia="Times New Roman" w:hAnsi="Times New Roman"/>
                <w:sz w:val="12"/>
                <w:szCs w:val="12"/>
                <w:color w:val="auto"/>
                <w:vertAlign w:val="superscript"/>
              </w:rPr>
              <w:t>(8)</w:t>
            </w:r>
          </w:p>
        </w:tc>
        <w:tc>
          <w:tcPr>
            <w:tcW w:w="8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06/14/2028</w:t>
            </w:r>
          </w:p>
        </w:tc>
        <w:tc>
          <w:tcPr>
            <w:tcW w:w="22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2,297</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8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08/20/2026</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11.05 %</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SOFR+619</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6,525</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6,475</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6,427</w:t>
            </w:r>
          </w:p>
        </w:tc>
      </w:tr>
      <w:tr>
        <w:trPr>
          <w:trHeight w:val="120"/>
        </w:trPr>
        <w:tc>
          <w:tcPr>
            <w:tcW w:w="33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CF512, Inc. - Revolver </w:t>
            </w:r>
            <w:r>
              <w:rPr>
                <w:rFonts w:ascii="Times New Roman" w:cs="Times New Roman" w:eastAsia="Times New Roman" w:hAnsi="Times New Roman"/>
                <w:sz w:val="12"/>
                <w:szCs w:val="12"/>
                <w:color w:val="auto"/>
                <w:vertAlign w:val="superscript"/>
              </w:rPr>
              <w:t>(8)</w:t>
            </w:r>
          </w:p>
        </w:tc>
        <w:tc>
          <w:tcPr>
            <w:tcW w:w="86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08/20/2026</w:t>
            </w:r>
          </w:p>
        </w:tc>
        <w:tc>
          <w:tcPr>
            <w:tcW w:w="22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909</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(14 )</w:t>
            </w:r>
          </w:p>
        </w:tc>
      </w:tr>
      <w:tr>
        <w:trPr>
          <w:trHeight w:val="120"/>
        </w:trPr>
        <w:tc>
          <w:tcPr>
            <w:tcW w:w="3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Compex Legal Services, Inc.</w:t>
            </w:r>
          </w:p>
        </w:tc>
        <w:tc>
          <w:tcPr>
            <w:tcW w:w="86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6"/>
              </w:rPr>
              <w:t>02/09/2026</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10.31 %</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SOFR+555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939</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933</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939</w:t>
            </w:r>
          </w:p>
        </w:tc>
      </w:tr>
    </w:tbl>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2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40" w:type="dxa"/>
            <w:vAlign w:val="bottom"/>
            <w:vMerge w:val="restart"/>
          </w:tcPr>
          <w:p>
            <w:pPr>
              <w:jc w:val="center"/>
              <w:ind w:left="72"/>
              <w:spacing w:after="0"/>
              <w:rPr>
                <w:sz w:val="20"/>
                <w:szCs w:val="20"/>
                <w:color w:val="auto"/>
              </w:rPr>
            </w:pPr>
            <w:r>
              <w:rPr>
                <w:rFonts w:ascii="Times New Roman" w:cs="Times New Roman" w:eastAsia="Times New Roman" w:hAnsi="Times New Roman"/>
                <w:sz w:val="10"/>
                <w:szCs w:val="10"/>
                <w:b w:val="1"/>
                <w:bCs w:val="1"/>
                <w:color w:val="auto"/>
                <w:w w:val="92"/>
              </w:rPr>
              <w:t>Maturity</w:t>
            </w:r>
          </w:p>
        </w:tc>
        <w:tc>
          <w:tcPr>
            <w:tcW w:w="23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86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6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76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20" w:type="dxa"/>
            <w:vAlign w:val="bottom"/>
          </w:tcPr>
          <w:p>
            <w:pPr>
              <w:spacing w:after="0"/>
              <w:rPr>
                <w:sz w:val="11"/>
                <w:szCs w:val="11"/>
                <w:color w:val="auto"/>
              </w:rPr>
            </w:pPr>
          </w:p>
        </w:tc>
        <w:tc>
          <w:tcPr>
            <w:tcW w:w="500" w:type="dxa"/>
            <w:vAlign w:val="bottom"/>
            <w:vMerge w:val="restart"/>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4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0" w:type="dxa"/>
            <w:vAlign w:val="bottom"/>
          </w:tcPr>
          <w:p>
            <w:pPr>
              <w:spacing w:after="0"/>
              <w:rPr>
                <w:sz w:val="1"/>
                <w:szCs w:val="1"/>
                <w:color w:val="auto"/>
              </w:rPr>
            </w:pPr>
          </w:p>
        </w:tc>
      </w:tr>
      <w:tr>
        <w:trPr>
          <w:trHeight w:val="113"/>
        </w:trPr>
        <w:tc>
          <w:tcPr>
            <w:tcW w:w="32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2360" w:type="dxa"/>
            <w:vAlign w:val="bottom"/>
            <w:vMerge w:val="continue"/>
          </w:tcPr>
          <w:p>
            <w:pPr>
              <w:spacing w:after="0"/>
              <w:rPr>
                <w:sz w:val="9"/>
                <w:szCs w:val="9"/>
                <w:color w:val="auto"/>
              </w:rPr>
            </w:pPr>
          </w:p>
        </w:tc>
        <w:tc>
          <w:tcPr>
            <w:tcW w:w="860" w:type="dxa"/>
            <w:vAlign w:val="bottom"/>
          </w:tcPr>
          <w:p>
            <w:pPr>
              <w:ind w:left="180"/>
              <w:spacing w:after="0" w:line="114" w:lineRule="exact"/>
              <w:rPr>
                <w:sz w:val="20"/>
                <w:szCs w:val="20"/>
                <w:color w:val="auto"/>
              </w:rPr>
            </w:pPr>
            <w:r>
              <w:rPr>
                <w:rFonts w:ascii="Times New Roman" w:cs="Times New Roman" w:eastAsia="Times New Roman" w:hAnsi="Times New Roman"/>
                <w:sz w:val="10"/>
                <w:szCs w:val="10"/>
                <w:b w:val="1"/>
                <w:bCs w:val="1"/>
                <w:color w:val="auto"/>
              </w:rPr>
              <w:t>Coupon</w:t>
            </w:r>
          </w:p>
        </w:tc>
        <w:tc>
          <w:tcPr>
            <w:tcW w:w="860" w:type="dxa"/>
            <w:vAlign w:val="bottom"/>
          </w:tcPr>
          <w:p>
            <w:pPr>
              <w:jc w:val="center"/>
              <w:ind w:right="32"/>
              <w:spacing w:after="0" w:line="114"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7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jc w:val="right"/>
              <w:ind w:right="292"/>
              <w:spacing w:after="0"/>
              <w:rPr>
                <w:sz w:val="20"/>
                <w:szCs w:val="20"/>
                <w:color w:val="auto"/>
              </w:rPr>
            </w:pPr>
            <w:r>
              <w:rPr>
                <w:rFonts w:ascii="Times New Roman" w:cs="Times New Roman" w:eastAsia="Times New Roman" w:hAnsi="Times New Roman"/>
                <w:sz w:val="6"/>
                <w:szCs w:val="6"/>
                <w:b w:val="1"/>
                <w:bCs w:val="1"/>
                <w:color w:val="auto"/>
              </w:rPr>
              <w:t>(3)</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Compex Legal Services, Inc. - Revolver</w:t>
            </w:r>
          </w:p>
        </w:tc>
        <w:tc>
          <w:tcPr>
            <w:tcW w:w="8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02/07/2025</w:t>
            </w: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10.80 %</w:t>
            </w:r>
          </w:p>
        </w:tc>
        <w:tc>
          <w:tcPr>
            <w:tcW w:w="8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SOFR+555</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328</w:t>
            </w:r>
          </w:p>
        </w:tc>
        <w:tc>
          <w:tcPr>
            <w:tcW w:w="2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328</w:t>
            </w:r>
          </w:p>
        </w:tc>
        <w:tc>
          <w:tcPr>
            <w:tcW w:w="2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328</w:t>
            </w:r>
          </w:p>
        </w:tc>
        <w:tc>
          <w:tcPr>
            <w:tcW w:w="0" w:type="dxa"/>
            <w:vAlign w:val="bottom"/>
          </w:tcPr>
          <w:p>
            <w:pPr>
              <w:spacing w:after="0"/>
              <w:rPr>
                <w:sz w:val="1"/>
                <w:szCs w:val="1"/>
                <w:color w:val="auto"/>
              </w:rPr>
            </w:pPr>
          </w:p>
        </w:tc>
      </w:tr>
      <w:tr>
        <w:trPr>
          <w:trHeight w:val="120"/>
        </w:trPr>
        <w:tc>
          <w:tcPr>
            <w:tcW w:w="32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Compex Legal Services, Inc. - Unfunded Revolver </w:t>
            </w:r>
            <w:r>
              <w:rPr>
                <w:rFonts w:ascii="Times New Roman" w:cs="Times New Roman" w:eastAsia="Times New Roman" w:hAnsi="Times New Roman"/>
                <w:sz w:val="12"/>
                <w:szCs w:val="12"/>
                <w:color w:val="auto"/>
                <w:vertAlign w:val="superscript"/>
              </w:rPr>
              <w:t>(8)</w:t>
            </w:r>
          </w:p>
        </w:tc>
        <w:tc>
          <w:tcPr>
            <w:tcW w:w="8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02/07/2025</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328</w:t>
            </w:r>
          </w:p>
        </w:tc>
        <w:tc>
          <w:tcPr>
            <w:tcW w:w="22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Confluent Health, LLC</w:t>
            </w:r>
          </w:p>
        </w:tc>
        <w:tc>
          <w:tcPr>
            <w:tcW w:w="8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11/30/2028</w:t>
            </w: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12.35 %</w:t>
            </w:r>
          </w:p>
        </w:tc>
        <w:tc>
          <w:tcPr>
            <w:tcW w:w="8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SOFR+750</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1,970</w:t>
            </w:r>
          </w:p>
        </w:tc>
        <w:tc>
          <w:tcPr>
            <w:tcW w:w="2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1,854</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1,970</w:t>
            </w:r>
          </w:p>
        </w:tc>
        <w:tc>
          <w:tcPr>
            <w:tcW w:w="0" w:type="dxa"/>
            <w:vAlign w:val="bottom"/>
          </w:tcPr>
          <w:p>
            <w:pPr>
              <w:spacing w:after="0"/>
              <w:rPr>
                <w:sz w:val="1"/>
                <w:szCs w:val="1"/>
                <w:color w:val="auto"/>
              </w:rPr>
            </w:pPr>
          </w:p>
        </w:tc>
      </w:tr>
      <w:tr>
        <w:trPr>
          <w:trHeight w:val="120"/>
        </w:trPr>
        <w:tc>
          <w:tcPr>
            <w:tcW w:w="3200" w:type="dxa"/>
            <w:vAlign w:val="bottom"/>
          </w:tcPr>
          <w:p>
            <w:pPr>
              <w:spacing w:after="0"/>
              <w:rPr>
                <w:sz w:val="20"/>
                <w:szCs w:val="20"/>
                <w:color w:val="auto"/>
              </w:rPr>
            </w:pPr>
            <w:r>
              <w:rPr>
                <w:rFonts w:ascii="Times New Roman" w:cs="Times New Roman" w:eastAsia="Times New Roman" w:hAnsi="Times New Roman"/>
                <w:sz w:val="10"/>
                <w:szCs w:val="10"/>
                <w:color w:val="auto"/>
              </w:rPr>
              <w:t>Connatix Buyer, Inc. - Funded Revolver</w:t>
            </w:r>
          </w:p>
        </w:tc>
        <w:tc>
          <w:tcPr>
            <w:tcW w:w="8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07/13/2027</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10.58 %</w:t>
            </w: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SOFR+576</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424</w:t>
            </w:r>
          </w:p>
        </w:tc>
        <w:tc>
          <w:tcPr>
            <w:tcW w:w="22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424</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424</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Connatix Buyer, Inc. - Revolver </w:t>
            </w:r>
            <w:r>
              <w:rPr>
                <w:rFonts w:ascii="Times New Roman" w:cs="Times New Roman" w:eastAsia="Times New Roman" w:hAnsi="Times New Roman"/>
                <w:sz w:val="12"/>
                <w:szCs w:val="12"/>
                <w:color w:val="auto"/>
                <w:vertAlign w:val="superscript"/>
              </w:rPr>
              <w:t>(8)</w:t>
            </w:r>
          </w:p>
        </w:tc>
        <w:tc>
          <w:tcPr>
            <w:tcW w:w="8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07/13/2027</w:t>
            </w: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1,451</w:t>
            </w:r>
          </w:p>
        </w:tc>
        <w:tc>
          <w:tcPr>
            <w:tcW w:w="2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00" w:type="dxa"/>
            <w:vAlign w:val="bottom"/>
          </w:tcPr>
          <w:p>
            <w:pPr>
              <w:spacing w:after="0"/>
              <w:rPr>
                <w:sz w:val="20"/>
                <w:szCs w:val="20"/>
                <w:color w:val="auto"/>
              </w:rPr>
            </w:pPr>
            <w:r>
              <w:rPr>
                <w:rFonts w:ascii="Times New Roman" w:cs="Times New Roman" w:eastAsia="Times New Roman" w:hAnsi="Times New Roman"/>
                <w:sz w:val="10"/>
                <w:szCs w:val="10"/>
                <w:color w:val="auto"/>
              </w:rPr>
              <w:t>Crane 1 Services, Inc.</w:t>
            </w:r>
          </w:p>
        </w:tc>
        <w:tc>
          <w:tcPr>
            <w:tcW w:w="8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08/16/2027</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9.40 %</w:t>
            </w: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SOFR+586</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1,777</w:t>
            </w:r>
          </w:p>
        </w:tc>
        <w:tc>
          <w:tcPr>
            <w:tcW w:w="22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1,751</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1,763</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Crane 1 Services, Inc. - Revolver </w:t>
            </w:r>
            <w:r>
              <w:rPr>
                <w:rFonts w:ascii="Times New Roman" w:cs="Times New Roman" w:eastAsia="Times New Roman" w:hAnsi="Times New Roman"/>
                <w:sz w:val="12"/>
                <w:szCs w:val="12"/>
                <w:color w:val="auto"/>
                <w:vertAlign w:val="superscript"/>
              </w:rPr>
              <w:t>(8)</w:t>
            </w:r>
          </w:p>
        </w:tc>
        <w:tc>
          <w:tcPr>
            <w:tcW w:w="8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08/16/2027</w:t>
            </w: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8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435</w:t>
            </w:r>
          </w:p>
        </w:tc>
        <w:tc>
          <w:tcPr>
            <w:tcW w:w="2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20"/>
        </w:trPr>
        <w:tc>
          <w:tcPr>
            <w:tcW w:w="3200" w:type="dxa"/>
            <w:vAlign w:val="bottom"/>
          </w:tcPr>
          <w:p>
            <w:pPr>
              <w:spacing w:after="0"/>
              <w:rPr>
                <w:sz w:val="20"/>
                <w:szCs w:val="20"/>
                <w:color w:val="auto"/>
              </w:rPr>
            </w:pPr>
            <w:r>
              <w:rPr>
                <w:rFonts w:ascii="Times New Roman" w:cs="Times New Roman" w:eastAsia="Times New Roman" w:hAnsi="Times New Roman"/>
                <w:sz w:val="10"/>
                <w:szCs w:val="10"/>
                <w:color w:val="auto"/>
              </w:rPr>
              <w:t>C5MI Acquisition, LLC</w:t>
            </w:r>
          </w:p>
        </w:tc>
        <w:tc>
          <w:tcPr>
            <w:tcW w:w="8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07/31/2030</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10.60 %</w:t>
            </w: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SOFR+600</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15,000</w:t>
            </w:r>
          </w:p>
        </w:tc>
        <w:tc>
          <w:tcPr>
            <w:tcW w:w="22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14,778</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14,700</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C5MI Acquisition, LLC - Funded Revolver</w:t>
            </w:r>
          </w:p>
        </w:tc>
        <w:tc>
          <w:tcPr>
            <w:tcW w:w="8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07/31/2030</w:t>
            </w: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10.60 %</w:t>
            </w:r>
          </w:p>
        </w:tc>
        <w:tc>
          <w:tcPr>
            <w:tcW w:w="8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SOFR+600</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276</w:t>
            </w:r>
          </w:p>
        </w:tc>
        <w:tc>
          <w:tcPr>
            <w:tcW w:w="2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276</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270</w:t>
            </w:r>
          </w:p>
        </w:tc>
        <w:tc>
          <w:tcPr>
            <w:tcW w:w="0" w:type="dxa"/>
            <w:vAlign w:val="bottom"/>
          </w:tcPr>
          <w:p>
            <w:pPr>
              <w:spacing w:after="0"/>
              <w:rPr>
                <w:sz w:val="1"/>
                <w:szCs w:val="1"/>
                <w:color w:val="auto"/>
              </w:rPr>
            </w:pPr>
          </w:p>
        </w:tc>
      </w:tr>
      <w:tr>
        <w:trPr>
          <w:trHeight w:val="120"/>
        </w:trPr>
        <w:tc>
          <w:tcPr>
            <w:tcW w:w="32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C5MI Acquisition, LLC - Unfunded Revolver </w:t>
            </w:r>
            <w:r>
              <w:rPr>
                <w:rFonts w:ascii="Times New Roman" w:cs="Times New Roman" w:eastAsia="Times New Roman" w:hAnsi="Times New Roman"/>
                <w:sz w:val="12"/>
                <w:szCs w:val="12"/>
                <w:color w:val="auto"/>
                <w:vertAlign w:val="superscript"/>
              </w:rPr>
              <w:t>(8)</w:t>
            </w:r>
          </w:p>
        </w:tc>
        <w:tc>
          <w:tcPr>
            <w:tcW w:w="8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07/31/2030</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3,858</w:t>
            </w:r>
          </w:p>
        </w:tc>
        <w:tc>
          <w:tcPr>
            <w:tcW w:w="22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(77 )</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Dr. Squatch, LLC</w:t>
            </w:r>
          </w:p>
        </w:tc>
        <w:tc>
          <w:tcPr>
            <w:tcW w:w="8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08/31/2027</w:t>
            </w: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and Non-Durable Consumer Products</w:t>
            </w:r>
          </w:p>
        </w:tc>
        <w:tc>
          <w:tcPr>
            <w:tcW w:w="8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9.95 %</w:t>
            </w:r>
          </w:p>
        </w:tc>
        <w:tc>
          <w:tcPr>
            <w:tcW w:w="8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SOFR+535</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8,116</w:t>
            </w:r>
          </w:p>
        </w:tc>
        <w:tc>
          <w:tcPr>
            <w:tcW w:w="2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8,058</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8,116</w:t>
            </w:r>
          </w:p>
        </w:tc>
        <w:tc>
          <w:tcPr>
            <w:tcW w:w="0" w:type="dxa"/>
            <w:vAlign w:val="bottom"/>
          </w:tcPr>
          <w:p>
            <w:pPr>
              <w:spacing w:after="0"/>
              <w:rPr>
                <w:sz w:val="1"/>
                <w:szCs w:val="1"/>
                <w:color w:val="auto"/>
              </w:rPr>
            </w:pPr>
          </w:p>
        </w:tc>
      </w:tr>
      <w:tr>
        <w:trPr>
          <w:trHeight w:val="120"/>
        </w:trPr>
        <w:tc>
          <w:tcPr>
            <w:tcW w:w="32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Dr. Squatch, LLC - Unfunded Revolver </w:t>
            </w:r>
            <w:r>
              <w:rPr>
                <w:rFonts w:ascii="Times New Roman" w:cs="Times New Roman" w:eastAsia="Times New Roman" w:hAnsi="Times New Roman"/>
                <w:sz w:val="12"/>
                <w:szCs w:val="12"/>
                <w:color w:val="auto"/>
                <w:vertAlign w:val="superscript"/>
              </w:rPr>
              <w:t>(8)</w:t>
            </w:r>
          </w:p>
        </w:tc>
        <w:tc>
          <w:tcPr>
            <w:tcW w:w="8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08/31/2027</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2,326</w:t>
            </w:r>
          </w:p>
        </w:tc>
        <w:tc>
          <w:tcPr>
            <w:tcW w:w="22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DRS Holdings III, Inc.</w:t>
            </w:r>
          </w:p>
        </w:tc>
        <w:tc>
          <w:tcPr>
            <w:tcW w:w="8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11/03/2025</w:t>
            </w: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8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11.20 %</w:t>
            </w:r>
          </w:p>
        </w:tc>
        <w:tc>
          <w:tcPr>
            <w:tcW w:w="8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SOFR+635</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c>
          <w:tcPr>
            <w:tcW w:w="2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c>
          <w:tcPr>
            <w:tcW w:w="0" w:type="dxa"/>
            <w:vAlign w:val="bottom"/>
          </w:tcPr>
          <w:p>
            <w:pPr>
              <w:spacing w:after="0"/>
              <w:rPr>
                <w:sz w:val="1"/>
                <w:szCs w:val="1"/>
                <w:color w:val="auto"/>
              </w:rPr>
            </w:pPr>
          </w:p>
        </w:tc>
      </w:tr>
      <w:tr>
        <w:trPr>
          <w:trHeight w:val="120"/>
        </w:trPr>
        <w:tc>
          <w:tcPr>
            <w:tcW w:w="32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DRS Holdings III, Inc. - Revolver </w:t>
            </w:r>
            <w:r>
              <w:rPr>
                <w:rFonts w:ascii="Times New Roman" w:cs="Times New Roman" w:eastAsia="Times New Roman" w:hAnsi="Times New Roman"/>
                <w:sz w:val="12"/>
                <w:szCs w:val="12"/>
                <w:color w:val="auto"/>
                <w:vertAlign w:val="superscript"/>
              </w:rPr>
              <w:t>(8)</w:t>
            </w:r>
          </w:p>
        </w:tc>
        <w:tc>
          <w:tcPr>
            <w:tcW w:w="8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11/03/2025</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1,783</w:t>
            </w:r>
          </w:p>
        </w:tc>
        <w:tc>
          <w:tcPr>
            <w:tcW w:w="22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(14 )</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Duggal Acquisition, LLC</w:t>
            </w:r>
          </w:p>
        </w:tc>
        <w:tc>
          <w:tcPr>
            <w:tcW w:w="8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09/30/2030</w:t>
            </w: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Marketing Services</w:t>
            </w:r>
          </w:p>
        </w:tc>
        <w:tc>
          <w:tcPr>
            <w:tcW w:w="8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9.60 %</w:t>
            </w:r>
          </w:p>
        </w:tc>
        <w:tc>
          <w:tcPr>
            <w:tcW w:w="8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SOFR+500</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7,000</w:t>
            </w:r>
          </w:p>
        </w:tc>
        <w:tc>
          <w:tcPr>
            <w:tcW w:w="2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6,930</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6,930</w:t>
            </w:r>
          </w:p>
        </w:tc>
        <w:tc>
          <w:tcPr>
            <w:tcW w:w="0" w:type="dxa"/>
            <w:vAlign w:val="bottom"/>
          </w:tcPr>
          <w:p>
            <w:pPr>
              <w:spacing w:after="0"/>
              <w:rPr>
                <w:sz w:val="1"/>
                <w:szCs w:val="1"/>
                <w:color w:val="auto"/>
              </w:rPr>
            </w:pPr>
          </w:p>
        </w:tc>
      </w:tr>
      <w:tr>
        <w:trPr>
          <w:trHeight w:val="120"/>
        </w:trPr>
        <w:tc>
          <w:tcPr>
            <w:tcW w:w="32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Duggal Acquisition, LLC - Unfunded Term Loan </w:t>
            </w:r>
            <w:r>
              <w:rPr>
                <w:rFonts w:ascii="Times New Roman" w:cs="Times New Roman" w:eastAsia="Times New Roman" w:hAnsi="Times New Roman"/>
                <w:sz w:val="12"/>
                <w:szCs w:val="12"/>
                <w:color w:val="auto"/>
                <w:vertAlign w:val="superscript"/>
              </w:rPr>
              <w:t>(8)</w:t>
            </w:r>
          </w:p>
        </w:tc>
        <w:tc>
          <w:tcPr>
            <w:tcW w:w="8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09/30/2026</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Marketing Services</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2,042</w:t>
            </w:r>
          </w:p>
        </w:tc>
        <w:tc>
          <w:tcPr>
            <w:tcW w:w="22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Duggal Acquisition, LLC - Unfunded Revolver </w:t>
            </w:r>
            <w:r>
              <w:rPr>
                <w:rFonts w:ascii="Times New Roman" w:cs="Times New Roman" w:eastAsia="Times New Roman" w:hAnsi="Times New Roman"/>
                <w:sz w:val="12"/>
                <w:szCs w:val="12"/>
                <w:color w:val="auto"/>
                <w:vertAlign w:val="superscript"/>
              </w:rPr>
              <w:t>(8)</w:t>
            </w:r>
          </w:p>
        </w:tc>
        <w:tc>
          <w:tcPr>
            <w:tcW w:w="8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09/30/2030</w:t>
            </w: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Marketing Services</w:t>
            </w:r>
          </w:p>
        </w:tc>
        <w:tc>
          <w:tcPr>
            <w:tcW w:w="8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2,561</w:t>
            </w:r>
          </w:p>
        </w:tc>
        <w:tc>
          <w:tcPr>
            <w:tcW w:w="2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00" w:type="dxa"/>
            <w:vAlign w:val="bottom"/>
          </w:tcPr>
          <w:p>
            <w:pPr>
              <w:spacing w:after="0"/>
              <w:rPr>
                <w:sz w:val="20"/>
                <w:szCs w:val="20"/>
                <w:color w:val="auto"/>
              </w:rPr>
            </w:pPr>
            <w:r>
              <w:rPr>
                <w:rFonts w:ascii="Times New Roman" w:cs="Times New Roman" w:eastAsia="Times New Roman" w:hAnsi="Times New Roman"/>
                <w:sz w:val="10"/>
                <w:szCs w:val="10"/>
                <w:color w:val="auto"/>
              </w:rPr>
              <w:t>Dynata, LLC - Last-Out Term Loan</w:t>
            </w:r>
          </w:p>
        </w:tc>
        <w:tc>
          <w:tcPr>
            <w:tcW w:w="8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07/15/2028</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10.88 %</w:t>
            </w: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SOFR+576</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w:t>
            </w:r>
          </w:p>
        </w:tc>
        <w:tc>
          <w:tcPr>
            <w:tcW w:w="22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84</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77</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EDS Buyer, LLC</w:t>
            </w:r>
          </w:p>
        </w:tc>
        <w:tc>
          <w:tcPr>
            <w:tcW w:w="8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12/22/2028</w:t>
            </w: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10.35 %</w:t>
            </w:r>
          </w:p>
        </w:tc>
        <w:tc>
          <w:tcPr>
            <w:tcW w:w="8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SOFR+575</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12,261</w:t>
            </w:r>
          </w:p>
        </w:tc>
        <w:tc>
          <w:tcPr>
            <w:tcW w:w="2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12,106</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12,077</w:t>
            </w:r>
          </w:p>
        </w:tc>
        <w:tc>
          <w:tcPr>
            <w:tcW w:w="0" w:type="dxa"/>
            <w:vAlign w:val="bottom"/>
          </w:tcPr>
          <w:p>
            <w:pPr>
              <w:spacing w:after="0"/>
              <w:rPr>
                <w:sz w:val="1"/>
                <w:szCs w:val="1"/>
                <w:color w:val="auto"/>
              </w:rPr>
            </w:pPr>
          </w:p>
        </w:tc>
      </w:tr>
      <w:tr>
        <w:trPr>
          <w:trHeight w:val="120"/>
        </w:trPr>
        <w:tc>
          <w:tcPr>
            <w:tcW w:w="32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EDS Buyer, LLC - Revolver </w:t>
            </w:r>
            <w:r>
              <w:rPr>
                <w:rFonts w:ascii="Times New Roman" w:cs="Times New Roman" w:eastAsia="Times New Roman" w:hAnsi="Times New Roman"/>
                <w:sz w:val="12"/>
                <w:szCs w:val="12"/>
                <w:color w:val="auto"/>
                <w:vertAlign w:val="superscript"/>
              </w:rPr>
              <w:t>(8)</w:t>
            </w:r>
          </w:p>
        </w:tc>
        <w:tc>
          <w:tcPr>
            <w:tcW w:w="8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12/22/2028</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1,915</w:t>
            </w:r>
          </w:p>
        </w:tc>
        <w:tc>
          <w:tcPr>
            <w:tcW w:w="22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(29 )</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ENC Parent Corporation</w:t>
            </w:r>
          </w:p>
        </w:tc>
        <w:tc>
          <w:tcPr>
            <w:tcW w:w="8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08/20/2029</w:t>
            </w: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9.12 %</w:t>
            </w:r>
          </w:p>
        </w:tc>
        <w:tc>
          <w:tcPr>
            <w:tcW w:w="8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SOFR+451</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3,391</w:t>
            </w:r>
          </w:p>
        </w:tc>
        <w:tc>
          <w:tcPr>
            <w:tcW w:w="2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2,995</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2,865</w:t>
            </w:r>
          </w:p>
        </w:tc>
        <w:tc>
          <w:tcPr>
            <w:tcW w:w="0" w:type="dxa"/>
            <w:vAlign w:val="bottom"/>
          </w:tcPr>
          <w:p>
            <w:pPr>
              <w:spacing w:after="0"/>
              <w:rPr>
                <w:sz w:val="1"/>
                <w:szCs w:val="1"/>
                <w:color w:val="auto"/>
              </w:rPr>
            </w:pPr>
          </w:p>
        </w:tc>
      </w:tr>
      <w:tr>
        <w:trPr>
          <w:trHeight w:val="120"/>
        </w:trPr>
        <w:tc>
          <w:tcPr>
            <w:tcW w:w="3200" w:type="dxa"/>
            <w:vAlign w:val="bottom"/>
          </w:tcPr>
          <w:p>
            <w:pPr>
              <w:spacing w:after="0"/>
              <w:rPr>
                <w:sz w:val="20"/>
                <w:szCs w:val="20"/>
                <w:color w:val="auto"/>
              </w:rPr>
            </w:pPr>
            <w:r>
              <w:rPr>
                <w:rFonts w:ascii="Times New Roman" w:cs="Times New Roman" w:eastAsia="Times New Roman" w:hAnsi="Times New Roman"/>
                <w:sz w:val="10"/>
                <w:szCs w:val="10"/>
                <w:color w:val="auto"/>
              </w:rPr>
              <w:t>ETE Intermediate II, LLC - Funded Revolver</w:t>
            </w:r>
          </w:p>
        </w:tc>
        <w:tc>
          <w:tcPr>
            <w:tcW w:w="8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05/25/2029</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11.10 %</w:t>
            </w: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SOFR+650</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1,215</w:t>
            </w:r>
          </w:p>
        </w:tc>
        <w:tc>
          <w:tcPr>
            <w:tcW w:w="22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1,215</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1,215</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ETE Intermediate II, LLC - Revolver </w:t>
            </w:r>
            <w:r>
              <w:rPr>
                <w:rFonts w:ascii="Times New Roman" w:cs="Times New Roman" w:eastAsia="Times New Roman" w:hAnsi="Times New Roman"/>
                <w:sz w:val="12"/>
                <w:szCs w:val="12"/>
                <w:color w:val="auto"/>
                <w:vertAlign w:val="superscript"/>
              </w:rPr>
              <w:t>(8)</w:t>
            </w:r>
          </w:p>
        </w:tc>
        <w:tc>
          <w:tcPr>
            <w:tcW w:w="8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05/25/2029</w:t>
            </w: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8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1,215</w:t>
            </w:r>
          </w:p>
        </w:tc>
        <w:tc>
          <w:tcPr>
            <w:tcW w:w="2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Eval Home Health Solutions Intermediate, LLC - Revolver </w:t>
            </w:r>
            <w:r>
              <w:rPr>
                <w:rFonts w:ascii="Times New Roman" w:cs="Times New Roman" w:eastAsia="Times New Roman" w:hAnsi="Times New Roman"/>
                <w:sz w:val="12"/>
                <w:szCs w:val="12"/>
                <w:color w:val="auto"/>
                <w:vertAlign w:val="superscript"/>
              </w:rPr>
              <w:t>(8)</w:t>
            </w:r>
          </w:p>
        </w:tc>
        <w:tc>
          <w:tcPr>
            <w:tcW w:w="8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05/10/2030</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822</w:t>
            </w:r>
          </w:p>
        </w:tc>
        <w:tc>
          <w:tcPr>
            <w:tcW w:w="22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(8 )</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Exigo Intermediate II, LLC</w:t>
            </w:r>
          </w:p>
        </w:tc>
        <w:tc>
          <w:tcPr>
            <w:tcW w:w="8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03/15/2027</w:t>
            </w: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11.20 %</w:t>
            </w:r>
          </w:p>
        </w:tc>
        <w:tc>
          <w:tcPr>
            <w:tcW w:w="8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SOFR+635</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24,128</w:t>
            </w:r>
          </w:p>
        </w:tc>
        <w:tc>
          <w:tcPr>
            <w:tcW w:w="2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23,911</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24,007</w:t>
            </w:r>
          </w:p>
        </w:tc>
        <w:tc>
          <w:tcPr>
            <w:tcW w:w="0" w:type="dxa"/>
            <w:vAlign w:val="bottom"/>
          </w:tcPr>
          <w:p>
            <w:pPr>
              <w:spacing w:after="0"/>
              <w:rPr>
                <w:sz w:val="1"/>
                <w:szCs w:val="1"/>
                <w:color w:val="auto"/>
              </w:rPr>
            </w:pPr>
          </w:p>
        </w:tc>
      </w:tr>
      <w:tr>
        <w:trPr>
          <w:trHeight w:val="120"/>
        </w:trPr>
        <w:tc>
          <w:tcPr>
            <w:tcW w:w="32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Exigo Intermediate II, LLC - Revolver </w:t>
            </w:r>
            <w:r>
              <w:rPr>
                <w:rFonts w:ascii="Times New Roman" w:cs="Times New Roman" w:eastAsia="Times New Roman" w:hAnsi="Times New Roman"/>
                <w:sz w:val="12"/>
                <w:szCs w:val="12"/>
                <w:color w:val="auto"/>
                <w:vertAlign w:val="superscript"/>
              </w:rPr>
              <w:t>(8)</w:t>
            </w:r>
          </w:p>
        </w:tc>
        <w:tc>
          <w:tcPr>
            <w:tcW w:w="8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03/15/2027</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1,856</w:t>
            </w:r>
          </w:p>
        </w:tc>
        <w:tc>
          <w:tcPr>
            <w:tcW w:w="22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(9 )</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Five Star Buyer, Inc.</w:t>
            </w:r>
          </w:p>
        </w:tc>
        <w:tc>
          <w:tcPr>
            <w:tcW w:w="8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02/23/2028</w:t>
            </w: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Leisure, Amusement, Motion Pictures, Entertainment</w:t>
            </w:r>
          </w:p>
        </w:tc>
        <w:tc>
          <w:tcPr>
            <w:tcW w:w="8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12.21 %</w:t>
            </w:r>
          </w:p>
        </w:tc>
        <w:tc>
          <w:tcPr>
            <w:tcW w:w="8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SOFR+715</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196</w:t>
            </w:r>
          </w:p>
        </w:tc>
        <w:tc>
          <w:tcPr>
            <w:tcW w:w="2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196</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196</w:t>
            </w:r>
          </w:p>
        </w:tc>
        <w:tc>
          <w:tcPr>
            <w:tcW w:w="0" w:type="dxa"/>
            <w:vAlign w:val="bottom"/>
          </w:tcPr>
          <w:p>
            <w:pPr>
              <w:spacing w:after="0"/>
              <w:rPr>
                <w:sz w:val="1"/>
                <w:szCs w:val="1"/>
                <w:color w:val="auto"/>
              </w:rPr>
            </w:pPr>
          </w:p>
        </w:tc>
      </w:tr>
      <w:tr>
        <w:trPr>
          <w:trHeight w:val="120"/>
        </w:trPr>
        <w:tc>
          <w:tcPr>
            <w:tcW w:w="32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Five Star Buyer, Inc. - Revolver </w:t>
            </w:r>
            <w:r>
              <w:rPr>
                <w:rFonts w:ascii="Times New Roman" w:cs="Times New Roman" w:eastAsia="Times New Roman" w:hAnsi="Times New Roman"/>
                <w:sz w:val="12"/>
                <w:szCs w:val="12"/>
                <w:color w:val="auto"/>
                <w:vertAlign w:val="superscript"/>
              </w:rPr>
              <w:t>(8)</w:t>
            </w:r>
          </w:p>
        </w:tc>
        <w:tc>
          <w:tcPr>
            <w:tcW w:w="8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02/23/2028</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Leisure, Amusement, Motion Pictures, Entertainment</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741</w:t>
            </w:r>
          </w:p>
        </w:tc>
        <w:tc>
          <w:tcPr>
            <w:tcW w:w="22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Gauge ETE Blocker, LLC - Promissory Note</w:t>
            </w:r>
          </w:p>
        </w:tc>
        <w:tc>
          <w:tcPr>
            <w:tcW w:w="8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05/19/2029</w:t>
            </w: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8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12.56 %</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215</w:t>
            </w:r>
          </w:p>
        </w:tc>
        <w:tc>
          <w:tcPr>
            <w:tcW w:w="2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215</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215</w:t>
            </w: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840" w:type="dxa"/>
            <w:vAlign w:val="bottom"/>
            <w:vMerge w:val="restart"/>
          </w:tcPr>
          <w:p>
            <w:pPr>
              <w:jc w:val="center"/>
              <w:ind w:left="72"/>
              <w:spacing w:after="0"/>
              <w:rPr>
                <w:sz w:val="20"/>
                <w:szCs w:val="20"/>
                <w:color w:val="auto"/>
              </w:rPr>
            </w:pPr>
            <w:r>
              <w:rPr>
                <w:rFonts w:ascii="Times New Roman" w:cs="Times New Roman" w:eastAsia="Times New Roman" w:hAnsi="Times New Roman"/>
                <w:sz w:val="10"/>
                <w:szCs w:val="10"/>
                <w:color w:val="auto"/>
                <w:w w:val="96"/>
              </w:rPr>
              <w:t>09/27/2030</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Home and Office Furnishings, Housewares and</w:t>
            </w:r>
          </w:p>
        </w:tc>
        <w:tc>
          <w:tcPr>
            <w:tcW w:w="860" w:type="dxa"/>
            <w:vAlign w:val="bottom"/>
          </w:tcPr>
          <w:p>
            <w:pPr>
              <w:spacing w:after="0"/>
              <w:rPr>
                <w:sz w:val="10"/>
                <w:szCs w:val="10"/>
                <w:color w:val="auto"/>
              </w:rPr>
            </w:pPr>
          </w:p>
        </w:tc>
        <w:tc>
          <w:tcPr>
            <w:tcW w:w="860" w:type="dxa"/>
            <w:vAlign w:val="bottom"/>
            <w:vMerge w:val="restart"/>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SOFR+500</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320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GGG MIDCO, LLC</w:t>
            </w:r>
          </w:p>
        </w:tc>
        <w:tc>
          <w:tcPr>
            <w:tcW w:w="840" w:type="dxa"/>
            <w:vAlign w:val="bottom"/>
            <w:vMerge w:val="continue"/>
          </w:tcPr>
          <w:p>
            <w:pPr>
              <w:spacing w:after="0"/>
              <w:rPr>
                <w:sz w:val="3"/>
                <w:szCs w:val="3"/>
                <w:color w:val="auto"/>
              </w:rPr>
            </w:pPr>
          </w:p>
        </w:tc>
        <w:tc>
          <w:tcPr>
            <w:tcW w:w="23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7"/>
              </w:rPr>
              <w:t>Durable Consumer Products</w:t>
            </w:r>
          </w:p>
        </w:tc>
        <w:tc>
          <w:tcPr>
            <w:tcW w:w="86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9.64 %</w:t>
            </w:r>
          </w:p>
        </w:tc>
        <w:tc>
          <w:tcPr>
            <w:tcW w:w="860" w:type="dxa"/>
            <w:vAlign w:val="bottom"/>
            <w:vMerge w:val="continue"/>
          </w:tcPr>
          <w:p>
            <w:pPr>
              <w:spacing w:after="0"/>
              <w:rPr>
                <w:sz w:val="3"/>
                <w:szCs w:val="3"/>
                <w:color w:val="auto"/>
              </w:rPr>
            </w:pPr>
          </w:p>
        </w:tc>
        <w:tc>
          <w:tcPr>
            <w:tcW w:w="7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8,525</w:t>
            </w:r>
          </w:p>
        </w:tc>
        <w:tc>
          <w:tcPr>
            <w:tcW w:w="220" w:type="dxa"/>
            <w:vAlign w:val="bottom"/>
          </w:tcPr>
          <w:p>
            <w:pPr>
              <w:spacing w:after="0"/>
              <w:rPr>
                <w:sz w:val="3"/>
                <w:szCs w:val="3"/>
                <w:color w:val="auto"/>
              </w:rPr>
            </w:pPr>
          </w:p>
        </w:tc>
        <w:tc>
          <w:tcPr>
            <w:tcW w:w="50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8,440</w:t>
            </w:r>
          </w:p>
        </w:tc>
        <w:tc>
          <w:tcPr>
            <w:tcW w:w="240" w:type="dxa"/>
            <w:vAlign w:val="bottom"/>
          </w:tcPr>
          <w:p>
            <w:pPr>
              <w:spacing w:after="0"/>
              <w:rPr>
                <w:sz w:val="3"/>
                <w:szCs w:val="3"/>
                <w:color w:val="auto"/>
              </w:rPr>
            </w:pPr>
          </w:p>
        </w:tc>
        <w:tc>
          <w:tcPr>
            <w:tcW w:w="50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8,440</w:t>
            </w:r>
          </w:p>
        </w:tc>
        <w:tc>
          <w:tcPr>
            <w:tcW w:w="0" w:type="dxa"/>
            <w:vAlign w:val="bottom"/>
          </w:tcPr>
          <w:p>
            <w:pPr>
              <w:spacing w:after="0" w:line="20" w:lineRule="exact"/>
              <w:rPr>
                <w:sz w:val="1"/>
                <w:szCs w:val="1"/>
                <w:color w:val="auto"/>
              </w:rPr>
            </w:pPr>
          </w:p>
        </w:tc>
      </w:tr>
      <w:tr>
        <w:trPr>
          <w:trHeight w:val="80"/>
        </w:trPr>
        <w:tc>
          <w:tcPr>
            <w:tcW w:w="320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23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320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Home and Office Furnishings, Housewares and</w:t>
            </w:r>
          </w:p>
        </w:tc>
        <w:tc>
          <w:tcPr>
            <w:tcW w:w="86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GGG MIDCO, LLC - Unfunded Term Loan </w:t>
            </w:r>
            <w:r>
              <w:rPr>
                <w:rFonts w:ascii="Times New Roman" w:cs="Times New Roman" w:eastAsia="Times New Roman" w:hAnsi="Times New Roman"/>
                <w:sz w:val="12"/>
                <w:szCs w:val="12"/>
                <w:color w:val="auto"/>
                <w:vertAlign w:val="superscript"/>
              </w:rPr>
              <w:t>(8)</w:t>
            </w:r>
          </w:p>
        </w:tc>
        <w:tc>
          <w:tcPr>
            <w:tcW w:w="8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03/27/2026</w:t>
            </w: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Durable Consumer Products</w:t>
            </w:r>
          </w:p>
        </w:tc>
        <w:tc>
          <w:tcPr>
            <w:tcW w:w="8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13,728</w:t>
            </w:r>
          </w:p>
        </w:tc>
        <w:tc>
          <w:tcPr>
            <w:tcW w:w="2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Home and Office Furnishings, Housewares and</w:t>
            </w:r>
          </w:p>
        </w:tc>
        <w:tc>
          <w:tcPr>
            <w:tcW w:w="860" w:type="dxa"/>
            <w:vAlign w:val="bottom"/>
            <w:vMerge w:val="restart"/>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vMerge w:val="restart"/>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50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GGG MIDCO, LLC - Unfunded Revolver </w:t>
            </w:r>
            <w:r>
              <w:rPr>
                <w:rFonts w:ascii="Times New Roman" w:cs="Times New Roman" w:eastAsia="Times New Roman" w:hAnsi="Times New Roman"/>
                <w:sz w:val="12"/>
                <w:szCs w:val="12"/>
                <w:color w:val="auto"/>
                <w:vertAlign w:val="superscript"/>
              </w:rPr>
              <w:t>(8)</w:t>
            </w:r>
          </w:p>
        </w:tc>
        <w:tc>
          <w:tcPr>
            <w:tcW w:w="8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09/27/2030</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Durable Consumer Products</w:t>
            </w:r>
          </w:p>
        </w:tc>
        <w:tc>
          <w:tcPr>
            <w:tcW w:w="86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581</w:t>
            </w:r>
          </w:p>
        </w:tc>
        <w:tc>
          <w:tcPr>
            <w:tcW w:w="2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Graffiti Buyer, Inc.</w:t>
            </w:r>
          </w:p>
        </w:tc>
        <w:tc>
          <w:tcPr>
            <w:tcW w:w="8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08/10/2027</w:t>
            </w: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10.20 %</w:t>
            </w:r>
          </w:p>
        </w:tc>
        <w:tc>
          <w:tcPr>
            <w:tcW w:w="8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SOFR+560</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1,132</w:t>
            </w:r>
          </w:p>
        </w:tc>
        <w:tc>
          <w:tcPr>
            <w:tcW w:w="2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1,123</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1,121</w:t>
            </w:r>
          </w:p>
        </w:tc>
        <w:tc>
          <w:tcPr>
            <w:tcW w:w="0" w:type="dxa"/>
            <w:vAlign w:val="bottom"/>
          </w:tcPr>
          <w:p>
            <w:pPr>
              <w:spacing w:after="0"/>
              <w:rPr>
                <w:sz w:val="1"/>
                <w:szCs w:val="1"/>
                <w:color w:val="auto"/>
              </w:rPr>
            </w:pPr>
          </w:p>
        </w:tc>
      </w:tr>
      <w:tr>
        <w:trPr>
          <w:trHeight w:val="120"/>
        </w:trPr>
        <w:tc>
          <w:tcPr>
            <w:tcW w:w="32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Graffiti Buyer, Inc. - Unfunded Term Loan </w:t>
            </w:r>
            <w:r>
              <w:rPr>
                <w:rFonts w:ascii="Times New Roman" w:cs="Times New Roman" w:eastAsia="Times New Roman" w:hAnsi="Times New Roman"/>
                <w:sz w:val="12"/>
                <w:szCs w:val="12"/>
                <w:color w:val="auto"/>
                <w:vertAlign w:val="superscript"/>
              </w:rPr>
              <w:t>(8)</w:t>
            </w:r>
          </w:p>
        </w:tc>
        <w:tc>
          <w:tcPr>
            <w:tcW w:w="8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08/10/2027</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831</w:t>
            </w:r>
          </w:p>
        </w:tc>
        <w:tc>
          <w:tcPr>
            <w:tcW w:w="22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(2 )</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Graffiti Buyer, Inc. - Funded Revolver</w:t>
            </w:r>
          </w:p>
        </w:tc>
        <w:tc>
          <w:tcPr>
            <w:tcW w:w="8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08/10/2027</w:t>
            </w: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10.62 %</w:t>
            </w:r>
          </w:p>
        </w:tc>
        <w:tc>
          <w:tcPr>
            <w:tcW w:w="8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SOFR+560</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384</w:t>
            </w:r>
          </w:p>
        </w:tc>
        <w:tc>
          <w:tcPr>
            <w:tcW w:w="2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384</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380</w:t>
            </w:r>
          </w:p>
        </w:tc>
        <w:tc>
          <w:tcPr>
            <w:tcW w:w="0" w:type="dxa"/>
            <w:vAlign w:val="bottom"/>
          </w:tcPr>
          <w:p>
            <w:pPr>
              <w:spacing w:after="0"/>
              <w:rPr>
                <w:sz w:val="1"/>
                <w:szCs w:val="1"/>
                <w:color w:val="auto"/>
              </w:rPr>
            </w:pPr>
          </w:p>
        </w:tc>
      </w:tr>
      <w:tr>
        <w:trPr>
          <w:trHeight w:val="120"/>
        </w:trPr>
        <w:tc>
          <w:tcPr>
            <w:tcW w:w="32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Graffiti Buyer, Inc. - Revolver </w:t>
            </w:r>
            <w:r>
              <w:rPr>
                <w:rFonts w:ascii="Times New Roman" w:cs="Times New Roman" w:eastAsia="Times New Roman" w:hAnsi="Times New Roman"/>
                <w:sz w:val="12"/>
                <w:szCs w:val="12"/>
                <w:color w:val="auto"/>
                <w:vertAlign w:val="superscript"/>
              </w:rPr>
              <w:t>(8)</w:t>
            </w:r>
          </w:p>
        </w:tc>
        <w:tc>
          <w:tcPr>
            <w:tcW w:w="8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08/10/2027</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385</w:t>
            </w:r>
          </w:p>
        </w:tc>
        <w:tc>
          <w:tcPr>
            <w:tcW w:w="22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(4 )</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Halo Buyer, Inc.</w:t>
            </w:r>
          </w:p>
        </w:tc>
        <w:tc>
          <w:tcPr>
            <w:tcW w:w="8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06/30/2025</w:t>
            </w: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8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9.45 %</w:t>
            </w:r>
          </w:p>
        </w:tc>
        <w:tc>
          <w:tcPr>
            <w:tcW w:w="8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SOFR+460</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4,712</w:t>
            </w:r>
          </w:p>
        </w:tc>
        <w:tc>
          <w:tcPr>
            <w:tcW w:w="2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4,382</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4,285</w:t>
            </w:r>
          </w:p>
        </w:tc>
        <w:tc>
          <w:tcPr>
            <w:tcW w:w="0" w:type="dxa"/>
            <w:vAlign w:val="bottom"/>
          </w:tcPr>
          <w:p>
            <w:pPr>
              <w:spacing w:after="0"/>
              <w:rPr>
                <w:sz w:val="1"/>
                <w:szCs w:val="1"/>
                <w:color w:val="auto"/>
              </w:rPr>
            </w:pPr>
          </w:p>
        </w:tc>
      </w:tr>
      <w:tr>
        <w:trPr>
          <w:trHeight w:val="120"/>
        </w:trPr>
        <w:tc>
          <w:tcPr>
            <w:tcW w:w="3200" w:type="dxa"/>
            <w:vAlign w:val="bottom"/>
          </w:tcPr>
          <w:p>
            <w:pPr>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8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12/31/2026</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10.45 %</w:t>
            </w: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1M SOFR+560</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680</w:t>
            </w:r>
          </w:p>
        </w:tc>
        <w:tc>
          <w:tcPr>
            <w:tcW w:w="22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680</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666</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Hancock Roofing and Construction L.L.C. - Revolver </w:t>
            </w:r>
            <w:r>
              <w:rPr>
                <w:rFonts w:ascii="Times New Roman" w:cs="Times New Roman" w:eastAsia="Times New Roman" w:hAnsi="Times New Roman"/>
                <w:sz w:val="12"/>
                <w:szCs w:val="12"/>
                <w:color w:val="auto"/>
                <w:vertAlign w:val="superscript"/>
              </w:rPr>
              <w:t>(8)</w:t>
            </w:r>
          </w:p>
        </w:tc>
        <w:tc>
          <w:tcPr>
            <w:tcW w:w="8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12/31/2026</w:t>
            </w: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8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w:t>
            </w:r>
          </w:p>
        </w:tc>
        <w:tc>
          <w:tcPr>
            <w:tcW w:w="2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20"/>
        </w:trPr>
        <w:tc>
          <w:tcPr>
            <w:tcW w:w="3200" w:type="dxa"/>
            <w:vAlign w:val="bottom"/>
          </w:tcPr>
          <w:p>
            <w:pPr>
              <w:spacing w:after="0"/>
              <w:rPr>
                <w:sz w:val="20"/>
                <w:szCs w:val="20"/>
                <w:color w:val="auto"/>
              </w:rPr>
            </w:pPr>
            <w:r>
              <w:rPr>
                <w:rFonts w:ascii="Times New Roman" w:cs="Times New Roman" w:eastAsia="Times New Roman" w:hAnsi="Times New Roman"/>
                <w:sz w:val="10"/>
                <w:szCs w:val="10"/>
                <w:color w:val="auto"/>
              </w:rPr>
              <w:t>Harris &amp; Co. LLC</w:t>
            </w:r>
          </w:p>
        </w:tc>
        <w:tc>
          <w:tcPr>
            <w:tcW w:w="8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08/09/2030</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9.85 %</w:t>
            </w: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SOFR+500</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5,593</w:t>
            </w:r>
          </w:p>
        </w:tc>
        <w:tc>
          <w:tcPr>
            <w:tcW w:w="22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5,545</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5,495</w:t>
            </w:r>
          </w:p>
        </w:tc>
        <w:tc>
          <w:tcPr>
            <w:tcW w:w="0" w:type="dxa"/>
            <w:vAlign w:val="bottom"/>
          </w:tcPr>
          <w:p>
            <w:pPr>
              <w:spacing w:after="0"/>
              <w:rPr>
                <w:sz w:val="1"/>
                <w:szCs w:val="1"/>
                <w:color w:val="auto"/>
              </w:rPr>
            </w:pPr>
          </w:p>
        </w:tc>
      </w:tr>
      <w:tr>
        <w:trPr>
          <w:trHeight w:val="204"/>
        </w:trPr>
        <w:tc>
          <w:tcPr>
            <w:tcW w:w="3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Harris &amp; Co. LLC - Unfunded Term Loan A </w:t>
            </w:r>
            <w:r>
              <w:rPr>
                <w:rFonts w:ascii="Times New Roman" w:cs="Times New Roman" w:eastAsia="Times New Roman" w:hAnsi="Times New Roman"/>
                <w:sz w:val="12"/>
                <w:szCs w:val="12"/>
                <w:color w:val="auto"/>
                <w:vertAlign w:val="superscript"/>
              </w:rPr>
              <w:t>(8)</w:t>
            </w:r>
          </w:p>
        </w:tc>
        <w:tc>
          <w:tcPr>
            <w:tcW w:w="8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02/09/2025</w:t>
            </w: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8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13,051</w:t>
            </w:r>
          </w:p>
        </w:tc>
        <w:tc>
          <w:tcPr>
            <w:tcW w:w="220" w:type="dxa"/>
            <w:vAlign w:val="bottom"/>
            <w:shd w:val="clear" w:color="auto" w:fill="CCECFF"/>
          </w:tcPr>
          <w:p>
            <w:pPr>
              <w:spacing w:after="0"/>
              <w:rPr>
                <w:sz w:val="17"/>
                <w:szCs w:val="17"/>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7"/>
                <w:szCs w:val="17"/>
                <w:color w:val="auto"/>
              </w:rPr>
            </w:pPr>
          </w:p>
        </w:tc>
        <w:tc>
          <w:tcPr>
            <w:tcW w:w="500" w:type="dxa"/>
            <w:vAlign w:val="bottom"/>
            <w:shd w:val="clear" w:color="auto" w:fill="CCECFF"/>
          </w:tcPr>
          <w:p>
            <w:pPr>
              <w:jc w:val="right"/>
              <w:ind w:right="12"/>
              <w:spacing w:after="0" w:line="204" w:lineRule="exact"/>
              <w:rPr>
                <w:sz w:val="20"/>
                <w:szCs w:val="20"/>
                <w:color w:val="auto"/>
              </w:rPr>
            </w:pPr>
            <w:r>
              <w:rPr>
                <w:rFonts w:ascii="Times New Roman" w:cs="Times New Roman" w:eastAsia="Times New Roman" w:hAnsi="Times New Roman"/>
                <w:sz w:val="10"/>
                <w:szCs w:val="10"/>
                <w:color w:val="auto"/>
              </w:rPr>
              <w:t xml:space="preserve">(114 </w:t>
            </w:r>
            <w:r>
              <w:rPr>
                <w:rFonts w:ascii="Times New Roman" w:cs="Times New Roman" w:eastAsia="Times New Roman" w:hAnsi="Times New Roman"/>
                <w:sz w:val="19"/>
                <w:szCs w:val="19"/>
                <w:color w:val="auto"/>
                <w:vertAlign w:val="subscript"/>
              </w:rPr>
              <w:t>)</w:t>
            </w:r>
          </w:p>
        </w:tc>
        <w:tc>
          <w:tcPr>
            <w:tcW w:w="0" w:type="dxa"/>
            <w:vAlign w:val="bottom"/>
          </w:tcPr>
          <w:p>
            <w:pPr>
              <w:spacing w:after="0"/>
              <w:rPr>
                <w:sz w:val="1"/>
                <w:szCs w:val="1"/>
                <w:color w:val="auto"/>
              </w:rPr>
            </w:pPr>
          </w:p>
        </w:tc>
      </w:tr>
      <w:tr>
        <w:trPr>
          <w:trHeight w:val="120"/>
        </w:trPr>
        <w:tc>
          <w:tcPr>
            <w:tcW w:w="32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Harris &amp; Co. LLC - Unfunded Term Loan B </w:t>
            </w:r>
            <w:r>
              <w:rPr>
                <w:rFonts w:ascii="Times New Roman" w:cs="Times New Roman" w:eastAsia="Times New Roman" w:hAnsi="Times New Roman"/>
                <w:sz w:val="12"/>
                <w:szCs w:val="12"/>
                <w:color w:val="auto"/>
                <w:vertAlign w:val="superscript"/>
              </w:rPr>
              <w:t>(8)</w:t>
            </w:r>
          </w:p>
        </w:tc>
        <w:tc>
          <w:tcPr>
            <w:tcW w:w="8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02/09/2026</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16,654</w:t>
            </w:r>
          </w:p>
        </w:tc>
        <w:tc>
          <w:tcPr>
            <w:tcW w:w="22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(146 )</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Harris &amp; Co. LLC - Unfunded Revolver </w:t>
            </w:r>
            <w:r>
              <w:rPr>
                <w:rFonts w:ascii="Times New Roman" w:cs="Times New Roman" w:eastAsia="Times New Roman" w:hAnsi="Times New Roman"/>
                <w:sz w:val="12"/>
                <w:szCs w:val="12"/>
                <w:color w:val="auto"/>
                <w:vertAlign w:val="superscript"/>
              </w:rPr>
              <w:t>(8)</w:t>
            </w:r>
          </w:p>
        </w:tc>
        <w:tc>
          <w:tcPr>
            <w:tcW w:w="8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08/09/2030</w:t>
            </w: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8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2,451</w:t>
            </w:r>
          </w:p>
        </w:tc>
        <w:tc>
          <w:tcPr>
            <w:tcW w:w="2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(43 )</w:t>
            </w:r>
          </w:p>
        </w:tc>
        <w:tc>
          <w:tcPr>
            <w:tcW w:w="0" w:type="dxa"/>
            <w:vAlign w:val="bottom"/>
          </w:tcPr>
          <w:p>
            <w:pPr>
              <w:spacing w:after="0"/>
              <w:rPr>
                <w:sz w:val="1"/>
                <w:szCs w:val="1"/>
                <w:color w:val="auto"/>
              </w:rPr>
            </w:pPr>
          </w:p>
        </w:tc>
      </w:tr>
      <w:tr>
        <w:trPr>
          <w:trHeight w:val="120"/>
        </w:trPr>
        <w:tc>
          <w:tcPr>
            <w:tcW w:w="32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Hills Distribution, Inc. - Unfunded Term Loan </w:t>
            </w:r>
            <w:r>
              <w:rPr>
                <w:rFonts w:ascii="Times New Roman" w:cs="Times New Roman" w:eastAsia="Times New Roman" w:hAnsi="Times New Roman"/>
                <w:sz w:val="12"/>
                <w:szCs w:val="12"/>
                <w:color w:val="auto"/>
                <w:vertAlign w:val="superscript"/>
              </w:rPr>
              <w:t>(8)</w:t>
            </w:r>
          </w:p>
        </w:tc>
        <w:tc>
          <w:tcPr>
            <w:tcW w:w="8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11/07/2025</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9,144</w:t>
            </w:r>
          </w:p>
        </w:tc>
        <w:tc>
          <w:tcPr>
            <w:tcW w:w="22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HV Watterson Holdings, LLC </w:t>
            </w:r>
            <w:r>
              <w:rPr>
                <w:rFonts w:ascii="Times New Roman" w:cs="Times New Roman" w:eastAsia="Times New Roman" w:hAnsi="Times New Roman"/>
                <w:sz w:val="12"/>
                <w:szCs w:val="12"/>
                <w:color w:val="auto"/>
                <w:vertAlign w:val="superscript"/>
              </w:rPr>
              <w:t>(7)</w:t>
            </w:r>
          </w:p>
        </w:tc>
        <w:tc>
          <w:tcPr>
            <w:tcW w:w="8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12/17/2026</w:t>
            </w: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11.73 %</w:t>
            </w:r>
          </w:p>
        </w:tc>
        <w:tc>
          <w:tcPr>
            <w:tcW w:w="8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1M SOFR+640</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279</w:t>
            </w:r>
          </w:p>
        </w:tc>
        <w:tc>
          <w:tcPr>
            <w:tcW w:w="2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278</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256</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2360" w:type="dxa"/>
            <w:vAlign w:val="bottom"/>
            <w:shd w:val="clear" w:color="auto" w:fill="CCECFF"/>
          </w:tcPr>
          <w:p>
            <w:pPr>
              <w:spacing w:after="0"/>
              <w:rPr>
                <w:sz w:val="10"/>
                <w:szCs w:val="10"/>
                <w:color w:val="auto"/>
              </w:rPr>
            </w:pPr>
          </w:p>
        </w:tc>
        <w:tc>
          <w:tcPr>
            <w:tcW w:w="8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0"/>
                <w:szCs w:val="10"/>
                <w:color w:val="auto"/>
              </w:rPr>
              <w:t>(PIK 4.00%)</w:t>
            </w:r>
          </w:p>
        </w:tc>
        <w:tc>
          <w:tcPr>
            <w:tcW w:w="86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0" w:type="dxa"/>
            <w:vAlign w:val="bottom"/>
          </w:tcPr>
          <w:p>
            <w:pPr>
              <w:spacing w:after="0" w:line="121" w:lineRule="exact"/>
              <w:rPr>
                <w:sz w:val="20"/>
                <w:szCs w:val="20"/>
                <w:color w:val="auto"/>
              </w:rPr>
            </w:pPr>
            <w:r>
              <w:rPr>
                <w:rFonts w:ascii="Times New Roman" w:cs="Times New Roman" w:eastAsia="Times New Roman" w:hAnsi="Times New Roman"/>
                <w:sz w:val="10"/>
                <w:szCs w:val="10"/>
                <w:color w:val="auto"/>
              </w:rPr>
              <w:t xml:space="preserve">HV Watterson Holdings, LLC - Revolver </w:t>
            </w:r>
            <w:r>
              <w:rPr>
                <w:rFonts w:ascii="Times New Roman" w:cs="Times New Roman" w:eastAsia="Times New Roman" w:hAnsi="Times New Roman"/>
                <w:sz w:val="12"/>
                <w:szCs w:val="12"/>
                <w:color w:val="auto"/>
                <w:vertAlign w:val="superscript"/>
              </w:rPr>
              <w:t>(7)</w:t>
            </w:r>
          </w:p>
        </w:tc>
        <w:tc>
          <w:tcPr>
            <w:tcW w:w="8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12/17/2026</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11.73 %</w:t>
            </w: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1M SOFR+640</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1,213</w:t>
            </w:r>
          </w:p>
        </w:tc>
        <w:tc>
          <w:tcPr>
            <w:tcW w:w="22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1,213</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1,112</w:t>
            </w:r>
          </w:p>
        </w:tc>
        <w:tc>
          <w:tcPr>
            <w:tcW w:w="0" w:type="dxa"/>
            <w:vAlign w:val="bottom"/>
          </w:tcPr>
          <w:p>
            <w:pPr>
              <w:spacing w:after="0"/>
              <w:rPr>
                <w:sz w:val="1"/>
                <w:szCs w:val="1"/>
                <w:color w:val="auto"/>
              </w:rPr>
            </w:pPr>
          </w:p>
        </w:tc>
      </w:tr>
      <w:tr>
        <w:trPr>
          <w:trHeight w:val="120"/>
        </w:trPr>
        <w:tc>
          <w:tcPr>
            <w:tcW w:w="3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(PIK 4.00%)</w:t>
            </w: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HV Watterson Holdings, LLC - Unfunded Revolver </w:t>
            </w:r>
            <w:r>
              <w:rPr>
                <w:rFonts w:ascii="Times New Roman" w:cs="Times New Roman" w:eastAsia="Times New Roman" w:hAnsi="Times New Roman"/>
                <w:sz w:val="12"/>
                <w:szCs w:val="12"/>
                <w:color w:val="auto"/>
                <w:vertAlign w:val="superscript"/>
              </w:rPr>
              <w:t>(8)</w:t>
            </w:r>
          </w:p>
        </w:tc>
        <w:tc>
          <w:tcPr>
            <w:tcW w:w="8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12/17/2026</w:t>
            </w: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w:t>
            </w:r>
          </w:p>
        </w:tc>
        <w:tc>
          <w:tcPr>
            <w:tcW w:w="2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20"/>
        </w:trPr>
        <w:tc>
          <w:tcPr>
            <w:tcW w:w="3200" w:type="dxa"/>
            <w:vAlign w:val="bottom"/>
          </w:tcPr>
          <w:p>
            <w:pPr>
              <w:spacing w:after="0"/>
              <w:rPr>
                <w:sz w:val="20"/>
                <w:szCs w:val="20"/>
                <w:color w:val="auto"/>
              </w:rPr>
            </w:pPr>
            <w:r>
              <w:rPr>
                <w:rFonts w:ascii="Times New Roman" w:cs="Times New Roman" w:eastAsia="Times New Roman" w:hAnsi="Times New Roman"/>
                <w:sz w:val="10"/>
                <w:szCs w:val="10"/>
                <w:color w:val="auto"/>
              </w:rPr>
              <w:t>HW Holdco, LLC</w:t>
            </w:r>
          </w:p>
        </w:tc>
        <w:tc>
          <w:tcPr>
            <w:tcW w:w="8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05/10/2026</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11.20 %</w:t>
            </w: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SOFR+590</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11,124</w:t>
            </w:r>
          </w:p>
        </w:tc>
        <w:tc>
          <w:tcPr>
            <w:tcW w:w="22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11,112</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11,124</w:t>
            </w:r>
          </w:p>
        </w:tc>
        <w:tc>
          <w:tcPr>
            <w:tcW w:w="0" w:type="dxa"/>
            <w:vAlign w:val="bottom"/>
          </w:tcPr>
          <w:p>
            <w:pPr>
              <w:spacing w:after="0"/>
              <w:rPr>
                <w:sz w:val="1"/>
                <w:szCs w:val="1"/>
                <w:color w:val="auto"/>
              </w:rPr>
            </w:pPr>
          </w:p>
        </w:tc>
      </w:tr>
      <w:tr>
        <w:trPr>
          <w:trHeight w:val="124"/>
        </w:trPr>
        <w:tc>
          <w:tcPr>
            <w:tcW w:w="320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HW Holdco, LLC - Revolver </w:t>
            </w:r>
            <w:r>
              <w:rPr>
                <w:rFonts w:ascii="Times New Roman" w:cs="Times New Roman" w:eastAsia="Times New Roman" w:hAnsi="Times New Roman"/>
                <w:sz w:val="12"/>
                <w:szCs w:val="12"/>
                <w:color w:val="auto"/>
                <w:vertAlign w:val="superscript"/>
              </w:rPr>
              <w:t>(8)</w:t>
            </w:r>
          </w:p>
        </w:tc>
        <w:tc>
          <w:tcPr>
            <w:tcW w:w="840" w:type="dxa"/>
            <w:vAlign w:val="bottom"/>
            <w:vMerge w:val="restart"/>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05/10/2026</w:t>
            </w: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60" w:type="dxa"/>
            <w:vAlign w:val="bottom"/>
            <w:vMerge w:val="restart"/>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vMerge w:val="restart"/>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3,387</w:t>
            </w:r>
          </w:p>
        </w:tc>
        <w:tc>
          <w:tcPr>
            <w:tcW w:w="220" w:type="dxa"/>
            <w:vAlign w:val="bottom"/>
            <w:shd w:val="clear" w:color="auto" w:fill="CCECFF"/>
          </w:tcPr>
          <w:p>
            <w:pPr>
              <w:spacing w:after="0"/>
              <w:rPr>
                <w:sz w:val="10"/>
                <w:szCs w:val="10"/>
                <w:color w:val="auto"/>
              </w:rPr>
            </w:pPr>
          </w:p>
        </w:tc>
        <w:tc>
          <w:tcPr>
            <w:tcW w:w="500" w:type="dxa"/>
            <w:vAlign w:val="bottom"/>
            <w:vMerge w:val="restart"/>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50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68"/>
        </w:trPr>
        <w:tc>
          <w:tcPr>
            <w:tcW w:w="3200" w:type="dxa"/>
            <w:vAlign w:val="bottom"/>
            <w:vMerge w:val="continue"/>
            <w:shd w:val="clear" w:color="auto" w:fill="CCECFF"/>
          </w:tcPr>
          <w:p>
            <w:pPr>
              <w:spacing w:after="0"/>
              <w:rPr>
                <w:sz w:val="5"/>
                <w:szCs w:val="5"/>
                <w:color w:val="auto"/>
              </w:rPr>
            </w:pPr>
          </w:p>
        </w:tc>
        <w:tc>
          <w:tcPr>
            <w:tcW w:w="840" w:type="dxa"/>
            <w:vAlign w:val="bottom"/>
            <w:vMerge w:val="continue"/>
            <w:shd w:val="clear" w:color="auto" w:fill="CCECFF"/>
          </w:tcPr>
          <w:p>
            <w:pPr>
              <w:spacing w:after="0"/>
              <w:rPr>
                <w:sz w:val="5"/>
                <w:szCs w:val="5"/>
                <w:color w:val="auto"/>
              </w:rPr>
            </w:pPr>
          </w:p>
        </w:tc>
        <w:tc>
          <w:tcPr>
            <w:tcW w:w="2360" w:type="dxa"/>
            <w:vAlign w:val="bottom"/>
            <w:shd w:val="clear" w:color="auto" w:fill="CCECFF"/>
          </w:tcPr>
          <w:p>
            <w:pPr>
              <w:spacing w:after="0"/>
              <w:rPr>
                <w:sz w:val="5"/>
                <w:szCs w:val="5"/>
                <w:color w:val="auto"/>
              </w:rPr>
            </w:pPr>
          </w:p>
        </w:tc>
        <w:tc>
          <w:tcPr>
            <w:tcW w:w="860" w:type="dxa"/>
            <w:vAlign w:val="bottom"/>
            <w:vMerge w:val="continue"/>
            <w:shd w:val="clear" w:color="auto" w:fill="CCECFF"/>
          </w:tcPr>
          <w:p>
            <w:pPr>
              <w:spacing w:after="0"/>
              <w:rPr>
                <w:sz w:val="5"/>
                <w:szCs w:val="5"/>
                <w:color w:val="auto"/>
              </w:rPr>
            </w:pPr>
          </w:p>
        </w:tc>
        <w:tc>
          <w:tcPr>
            <w:tcW w:w="860" w:type="dxa"/>
            <w:vAlign w:val="bottom"/>
            <w:vMerge w:val="continue"/>
            <w:shd w:val="clear" w:color="auto" w:fill="CCECFF"/>
          </w:tcPr>
          <w:p>
            <w:pPr>
              <w:spacing w:after="0"/>
              <w:rPr>
                <w:sz w:val="5"/>
                <w:szCs w:val="5"/>
                <w:color w:val="auto"/>
              </w:rPr>
            </w:pPr>
          </w:p>
        </w:tc>
        <w:tc>
          <w:tcPr>
            <w:tcW w:w="760" w:type="dxa"/>
            <w:vAlign w:val="bottom"/>
            <w:shd w:val="clear" w:color="auto" w:fill="CCECFF"/>
          </w:tcPr>
          <w:p>
            <w:pPr>
              <w:spacing w:after="0"/>
              <w:rPr>
                <w:sz w:val="5"/>
                <w:szCs w:val="5"/>
                <w:color w:val="auto"/>
              </w:rPr>
            </w:pPr>
          </w:p>
        </w:tc>
        <w:tc>
          <w:tcPr>
            <w:tcW w:w="220" w:type="dxa"/>
            <w:vAlign w:val="bottom"/>
            <w:shd w:val="clear" w:color="auto" w:fill="CCECFF"/>
          </w:tcPr>
          <w:p>
            <w:pPr>
              <w:spacing w:after="0"/>
              <w:rPr>
                <w:sz w:val="5"/>
                <w:szCs w:val="5"/>
                <w:color w:val="auto"/>
              </w:rPr>
            </w:pPr>
          </w:p>
        </w:tc>
        <w:tc>
          <w:tcPr>
            <w:tcW w:w="500" w:type="dxa"/>
            <w:vAlign w:val="bottom"/>
            <w:vMerge w:val="continue"/>
            <w:shd w:val="clear" w:color="auto" w:fill="CCECFF"/>
          </w:tcPr>
          <w:p>
            <w:pPr>
              <w:spacing w:after="0"/>
              <w:rPr>
                <w:sz w:val="5"/>
                <w:szCs w:val="5"/>
                <w:color w:val="auto"/>
              </w:rPr>
            </w:pPr>
          </w:p>
        </w:tc>
        <w:tc>
          <w:tcPr>
            <w:tcW w:w="240" w:type="dxa"/>
            <w:vAlign w:val="bottom"/>
            <w:shd w:val="clear" w:color="auto" w:fill="CCECFF"/>
          </w:tcPr>
          <w:p>
            <w:pPr>
              <w:spacing w:after="0"/>
              <w:rPr>
                <w:sz w:val="5"/>
                <w:szCs w:val="5"/>
                <w:color w:val="auto"/>
              </w:rPr>
            </w:pPr>
          </w:p>
        </w:tc>
        <w:tc>
          <w:tcPr>
            <w:tcW w:w="500" w:type="dxa"/>
            <w:vAlign w:val="bottom"/>
            <w:vMerge w:val="continue"/>
            <w:shd w:val="clear" w:color="auto" w:fill="CCECFF"/>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200" w:type="dxa"/>
            <w:vAlign w:val="bottom"/>
          </w:tcPr>
          <w:p>
            <w:pPr>
              <w:spacing w:after="0"/>
              <w:rPr>
                <w:sz w:val="20"/>
                <w:szCs w:val="20"/>
                <w:color w:val="auto"/>
              </w:rPr>
            </w:pPr>
            <w:r>
              <w:rPr>
                <w:rFonts w:ascii="Times New Roman" w:cs="Times New Roman" w:eastAsia="Times New Roman" w:hAnsi="Times New Roman"/>
                <w:sz w:val="10"/>
                <w:szCs w:val="10"/>
                <w:color w:val="auto"/>
              </w:rPr>
              <w:t>IG Investment Holdings LLC</w:t>
            </w:r>
          </w:p>
        </w:tc>
        <w:tc>
          <w:tcPr>
            <w:tcW w:w="8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09/22/2028</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11.25 %</w:t>
            </w: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3M SOFR+610</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105</w:t>
            </w:r>
          </w:p>
        </w:tc>
        <w:tc>
          <w:tcPr>
            <w:tcW w:w="220" w:type="dxa"/>
            <w:vAlign w:val="bottom"/>
          </w:tcPr>
          <w:p>
            <w:pPr>
              <w:spacing w:after="0"/>
              <w:rPr>
                <w:sz w:val="10"/>
                <w:szCs w:val="10"/>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104</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104</w:t>
            </w:r>
          </w:p>
        </w:tc>
        <w:tc>
          <w:tcPr>
            <w:tcW w:w="0" w:type="dxa"/>
            <w:vAlign w:val="bottom"/>
          </w:tcPr>
          <w:p>
            <w:pPr>
              <w:spacing w:after="0"/>
              <w:rPr>
                <w:sz w:val="1"/>
                <w:szCs w:val="1"/>
                <w:color w:val="auto"/>
              </w:rPr>
            </w:pPr>
          </w:p>
        </w:tc>
      </w:tr>
      <w:tr>
        <w:trPr>
          <w:trHeight w:val="120"/>
        </w:trPr>
        <w:tc>
          <w:tcPr>
            <w:tcW w:w="32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IG Investments Holdings, LLC - Revolver </w:t>
            </w:r>
            <w:r>
              <w:rPr>
                <w:rFonts w:ascii="Times New Roman" w:cs="Times New Roman" w:eastAsia="Times New Roman" w:hAnsi="Times New Roman"/>
                <w:sz w:val="12"/>
                <w:szCs w:val="12"/>
                <w:color w:val="auto"/>
                <w:vertAlign w:val="superscript"/>
              </w:rPr>
              <w:t>(8)</w:t>
            </w:r>
          </w:p>
        </w:tc>
        <w:tc>
          <w:tcPr>
            <w:tcW w:w="8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09/22/2027</w:t>
            </w:r>
          </w:p>
        </w:tc>
        <w:tc>
          <w:tcPr>
            <w:tcW w:w="2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722</w:t>
            </w:r>
          </w:p>
        </w:tc>
        <w:tc>
          <w:tcPr>
            <w:tcW w:w="22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(7 )</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425450</wp:posOffset>
            </wp:positionV>
            <wp:extent cx="673290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40"/>
          </w:cols>
          <w:pgMar w:left="780" w:top="1156" w:right="780"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3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88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2"/>
        </w:trPr>
        <w:tc>
          <w:tcPr>
            <w:tcW w:w="32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60" w:type="dxa"/>
            <w:vAlign w:val="bottom"/>
          </w:tcPr>
          <w:p>
            <w:pPr>
              <w:jc w:val="center"/>
              <w:ind w:left="52"/>
              <w:spacing w:after="0"/>
              <w:rPr>
                <w:sz w:val="20"/>
                <w:szCs w:val="20"/>
                <w:color w:val="auto"/>
              </w:rPr>
            </w:pPr>
            <w:r>
              <w:rPr>
                <w:rFonts w:ascii="Times New Roman" w:cs="Times New Roman" w:eastAsia="Times New Roman" w:hAnsi="Times New Roman"/>
                <w:sz w:val="10"/>
                <w:szCs w:val="10"/>
                <w:b w:val="1"/>
                <w:bCs w:val="1"/>
                <w:color w:val="auto"/>
                <w:w w:val="92"/>
              </w:rPr>
              <w:t>Maturity</w:t>
            </w:r>
          </w:p>
        </w:tc>
        <w:tc>
          <w:tcPr>
            <w:tcW w:w="238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88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40" w:type="dxa"/>
            <w:vAlign w:val="bottom"/>
          </w:tcPr>
          <w:p>
            <w:pPr>
              <w:jc w:val="center"/>
              <w:ind w:right="32"/>
              <w:spacing w:after="0" w:line="122"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(4)</w:t>
            </w: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68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4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(3)</w:t>
            </w:r>
          </w:p>
        </w:tc>
      </w:tr>
      <w:tr>
        <w:trPr>
          <w:trHeight w:val="120"/>
        </w:trPr>
        <w:tc>
          <w:tcPr>
            <w:tcW w:w="32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Imagine Acquisitionco, LLC </w:t>
            </w:r>
            <w:r>
              <w:rPr>
                <w:rFonts w:ascii="Times New Roman" w:cs="Times New Roman" w:eastAsia="Times New Roman" w:hAnsi="Times New Roman"/>
                <w:sz w:val="12"/>
                <w:szCs w:val="12"/>
                <w:color w:val="auto"/>
                <w:vertAlign w:val="superscript"/>
              </w:rPr>
              <w:t>(8)</w:t>
            </w:r>
          </w:p>
        </w:tc>
        <w:tc>
          <w:tcPr>
            <w:tcW w:w="86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11/15/2027</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1,685</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(8 )</w:t>
            </w:r>
          </w:p>
        </w:tc>
      </w:tr>
      <w:tr>
        <w:trPr>
          <w:trHeight w:val="120"/>
        </w:trPr>
        <w:tc>
          <w:tcPr>
            <w:tcW w:w="3240" w:type="dxa"/>
            <w:vAlign w:val="bottom"/>
          </w:tcPr>
          <w:p>
            <w:pPr>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86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12/28/2028</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11.39 %</w:t>
            </w:r>
          </w:p>
        </w:tc>
        <w:tc>
          <w:tcPr>
            <w:tcW w:w="8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SOFR+685</w:t>
            </w: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2,458</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2,429</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2,458</w:t>
            </w:r>
          </w:p>
        </w:tc>
      </w:tr>
      <w:tr>
        <w:trPr>
          <w:trHeight w:val="120"/>
        </w:trPr>
        <w:tc>
          <w:tcPr>
            <w:tcW w:w="32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Infinity Home Services Holdco, Inc. (CAD) </w:t>
            </w:r>
            <w:r>
              <w:rPr>
                <w:rFonts w:ascii="Times New Roman" w:cs="Times New Roman" w:eastAsia="Times New Roman" w:hAnsi="Times New Roman"/>
                <w:sz w:val="12"/>
                <w:szCs w:val="12"/>
                <w:color w:val="auto"/>
                <w:vertAlign w:val="superscript"/>
              </w:rPr>
              <w:t>(11)</w:t>
            </w:r>
          </w:p>
        </w:tc>
        <w:tc>
          <w:tcPr>
            <w:tcW w:w="86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12/28/2028</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10.35 %</w:t>
            </w:r>
          </w:p>
        </w:tc>
        <w:tc>
          <w:tcPr>
            <w:tcW w:w="8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SOFR+600</w:t>
            </w:r>
          </w:p>
        </w:tc>
        <w:tc>
          <w:tcPr>
            <w:tcW w:w="8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2,562</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1,846</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1,897</w:t>
            </w:r>
          </w:p>
        </w:tc>
      </w:tr>
      <w:tr>
        <w:trPr>
          <w:trHeight w:val="120"/>
        </w:trPr>
        <w:tc>
          <w:tcPr>
            <w:tcW w:w="32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Infinity Home Services Holdco, Inc. - 1st Amendment Unfunded Term Loan </w:t>
            </w:r>
            <w:r>
              <w:rPr>
                <w:rFonts w:ascii="Times New Roman" w:cs="Times New Roman" w:eastAsia="Times New Roman" w:hAnsi="Times New Roman"/>
                <w:sz w:val="12"/>
                <w:szCs w:val="12"/>
                <w:color w:val="auto"/>
                <w:vertAlign w:val="superscript"/>
              </w:rPr>
              <w:t>(8)</w:t>
            </w:r>
          </w:p>
        </w:tc>
        <w:tc>
          <w:tcPr>
            <w:tcW w:w="86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11/17/2025</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6,573</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82</w:t>
            </w:r>
          </w:p>
        </w:tc>
      </w:tr>
      <w:tr>
        <w:trPr>
          <w:trHeight w:val="120"/>
        </w:trPr>
        <w:tc>
          <w:tcPr>
            <w:tcW w:w="3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Infinity Home Services Holdco, Inc. - Funded Revolver</w:t>
            </w:r>
          </w:p>
        </w:tc>
        <w:tc>
          <w:tcPr>
            <w:tcW w:w="86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12/28/2028</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13.75 %</w:t>
            </w:r>
          </w:p>
        </w:tc>
        <w:tc>
          <w:tcPr>
            <w:tcW w:w="8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SOFR+575</w:t>
            </w:r>
          </w:p>
        </w:tc>
        <w:tc>
          <w:tcPr>
            <w:tcW w:w="8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194</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194</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194</w:t>
            </w:r>
          </w:p>
        </w:tc>
      </w:tr>
      <w:tr>
        <w:trPr>
          <w:trHeight w:val="120"/>
        </w:trPr>
        <w:tc>
          <w:tcPr>
            <w:tcW w:w="32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Infinity Home Services Holdco, Inc. - Revolver </w:t>
            </w:r>
            <w:r>
              <w:rPr>
                <w:rFonts w:ascii="Times New Roman" w:cs="Times New Roman" w:eastAsia="Times New Roman" w:hAnsi="Times New Roman"/>
                <w:sz w:val="12"/>
                <w:szCs w:val="12"/>
                <w:color w:val="auto"/>
                <w:vertAlign w:val="superscript"/>
              </w:rPr>
              <w:t>(8)</w:t>
            </w:r>
          </w:p>
        </w:tc>
        <w:tc>
          <w:tcPr>
            <w:tcW w:w="86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12/28/2028</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1,098</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Infolinks Media Buyco, LLC</w:t>
            </w:r>
          </w:p>
        </w:tc>
        <w:tc>
          <w:tcPr>
            <w:tcW w:w="86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11/01/2026</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10.10 %</w:t>
            </w:r>
          </w:p>
        </w:tc>
        <w:tc>
          <w:tcPr>
            <w:tcW w:w="8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SOFR+550</w:t>
            </w:r>
          </w:p>
        </w:tc>
        <w:tc>
          <w:tcPr>
            <w:tcW w:w="8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1,281</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1,270</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1,272</w:t>
            </w:r>
          </w:p>
        </w:tc>
      </w:tr>
      <w:tr>
        <w:trPr>
          <w:trHeight w:val="120"/>
        </w:trPr>
        <w:tc>
          <w:tcPr>
            <w:tcW w:w="32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Inventus Power, Inc. - Revolver </w:t>
            </w:r>
            <w:r>
              <w:rPr>
                <w:rFonts w:ascii="Times New Roman" w:cs="Times New Roman" w:eastAsia="Times New Roman" w:hAnsi="Times New Roman"/>
                <w:sz w:val="12"/>
                <w:szCs w:val="12"/>
                <w:color w:val="auto"/>
                <w:vertAlign w:val="superscript"/>
              </w:rPr>
              <w:t>(8)</w:t>
            </w:r>
          </w:p>
        </w:tc>
        <w:tc>
          <w:tcPr>
            <w:tcW w:w="86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06/30/2025</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1,729</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(26 )</w:t>
            </w:r>
          </w:p>
        </w:tc>
      </w:tr>
      <w:tr>
        <w:trPr>
          <w:trHeight w:val="120"/>
        </w:trPr>
        <w:tc>
          <w:tcPr>
            <w:tcW w:w="3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ITI Holdings, Inc.</w:t>
            </w:r>
          </w:p>
        </w:tc>
        <w:tc>
          <w:tcPr>
            <w:tcW w:w="86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03/03/2028</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10.58 %</w:t>
            </w:r>
          </w:p>
        </w:tc>
        <w:tc>
          <w:tcPr>
            <w:tcW w:w="8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SOFR+565</w:t>
            </w:r>
          </w:p>
        </w:tc>
        <w:tc>
          <w:tcPr>
            <w:tcW w:w="8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8,748</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8,647</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8,748</w:t>
            </w:r>
          </w:p>
        </w:tc>
      </w:tr>
      <w:tr>
        <w:trPr>
          <w:trHeight w:val="120"/>
        </w:trPr>
        <w:tc>
          <w:tcPr>
            <w:tcW w:w="3240" w:type="dxa"/>
            <w:vAlign w:val="bottom"/>
          </w:tcPr>
          <w:p>
            <w:pPr>
              <w:spacing w:after="0"/>
              <w:rPr>
                <w:sz w:val="20"/>
                <w:szCs w:val="20"/>
                <w:color w:val="auto"/>
              </w:rPr>
            </w:pPr>
            <w:r>
              <w:rPr>
                <w:rFonts w:ascii="Times New Roman" w:cs="Times New Roman" w:eastAsia="Times New Roman" w:hAnsi="Times New Roman"/>
                <w:sz w:val="10"/>
                <w:szCs w:val="10"/>
                <w:color w:val="auto"/>
              </w:rPr>
              <w:t>ITI Holdings, Inc. - Revolver</w:t>
            </w:r>
          </w:p>
        </w:tc>
        <w:tc>
          <w:tcPr>
            <w:tcW w:w="86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03/03/2028</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12.50 %</w:t>
            </w:r>
          </w:p>
        </w:tc>
        <w:tc>
          <w:tcPr>
            <w:tcW w:w="8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SOFR+450</w:t>
            </w: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1,121</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1,121</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1,121</w:t>
            </w:r>
          </w:p>
        </w:tc>
      </w:tr>
      <w:tr>
        <w:trPr>
          <w:trHeight w:val="120"/>
        </w:trPr>
        <w:tc>
          <w:tcPr>
            <w:tcW w:w="32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ITI Holdings, Inc. - Unfunded Revolver </w:t>
            </w:r>
            <w:r>
              <w:rPr>
                <w:rFonts w:ascii="Times New Roman" w:cs="Times New Roman" w:eastAsia="Times New Roman" w:hAnsi="Times New Roman"/>
                <w:sz w:val="12"/>
                <w:szCs w:val="12"/>
                <w:color w:val="auto"/>
                <w:vertAlign w:val="superscript"/>
              </w:rPr>
              <w:t>(8)</w:t>
            </w:r>
          </w:p>
        </w:tc>
        <w:tc>
          <w:tcPr>
            <w:tcW w:w="86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03/03/2028</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370</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40" w:type="dxa"/>
            <w:vAlign w:val="bottom"/>
          </w:tcPr>
          <w:p>
            <w:pPr>
              <w:spacing w:after="0"/>
              <w:rPr>
                <w:sz w:val="20"/>
                <w:szCs w:val="20"/>
                <w:color w:val="auto"/>
              </w:rPr>
            </w:pPr>
            <w:r>
              <w:rPr>
                <w:rFonts w:ascii="Times New Roman" w:cs="Times New Roman" w:eastAsia="Times New Roman" w:hAnsi="Times New Roman"/>
                <w:sz w:val="10"/>
                <w:szCs w:val="10"/>
                <w:color w:val="auto"/>
              </w:rPr>
              <w:t>Kinetic Purchaser, LLC</w:t>
            </w:r>
          </w:p>
        </w:tc>
        <w:tc>
          <w:tcPr>
            <w:tcW w:w="86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11/10/2027</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10.75 %</w:t>
            </w:r>
          </w:p>
        </w:tc>
        <w:tc>
          <w:tcPr>
            <w:tcW w:w="8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SOFR+615</w:t>
            </w: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3,099</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3,023</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3,099</w:t>
            </w:r>
          </w:p>
        </w:tc>
      </w:tr>
      <w:tr>
        <w:trPr>
          <w:trHeight w:val="120"/>
        </w:trPr>
        <w:tc>
          <w:tcPr>
            <w:tcW w:w="32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Kinetic Purchaser, LLC - Revolver </w:t>
            </w:r>
            <w:r>
              <w:rPr>
                <w:rFonts w:ascii="Times New Roman" w:cs="Times New Roman" w:eastAsia="Times New Roman" w:hAnsi="Times New Roman"/>
                <w:sz w:val="12"/>
                <w:szCs w:val="12"/>
                <w:color w:val="auto"/>
                <w:vertAlign w:val="superscript"/>
              </w:rPr>
              <w:t>(8)</w:t>
            </w:r>
          </w:p>
        </w:tc>
        <w:tc>
          <w:tcPr>
            <w:tcW w:w="86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11/10/2026</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4,854</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32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Lash OpCo, LLC </w:t>
            </w:r>
            <w:r>
              <w:rPr>
                <w:rFonts w:ascii="Times New Roman" w:cs="Times New Roman" w:eastAsia="Times New Roman" w:hAnsi="Times New Roman"/>
                <w:sz w:val="12"/>
                <w:szCs w:val="12"/>
                <w:color w:val="auto"/>
                <w:vertAlign w:val="superscript"/>
              </w:rPr>
              <w:t>(7)</w:t>
            </w:r>
          </w:p>
        </w:tc>
        <w:tc>
          <w:tcPr>
            <w:tcW w:w="86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02/18/2027</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12.94 %</w:t>
            </w:r>
          </w:p>
        </w:tc>
        <w:tc>
          <w:tcPr>
            <w:tcW w:w="8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1M SOFR+785</w:t>
            </w:r>
          </w:p>
        </w:tc>
        <w:tc>
          <w:tcPr>
            <w:tcW w:w="8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2,902</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2,871</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2,873</w:t>
            </w:r>
          </w:p>
        </w:tc>
      </w:tr>
      <w:tr>
        <w:trPr>
          <w:trHeight w:val="120"/>
        </w:trPr>
        <w:tc>
          <w:tcPr>
            <w:tcW w:w="324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2380" w:type="dxa"/>
            <w:vAlign w:val="bottom"/>
            <w:shd w:val="clear" w:color="auto" w:fill="CCECFF"/>
          </w:tcPr>
          <w:p>
            <w:pPr>
              <w:spacing w:after="0"/>
              <w:rPr>
                <w:sz w:val="10"/>
                <w:szCs w:val="10"/>
                <w:color w:val="auto"/>
              </w:rPr>
            </w:pPr>
          </w:p>
        </w:tc>
        <w:tc>
          <w:tcPr>
            <w:tcW w:w="8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0"/>
                <w:szCs w:val="10"/>
                <w:color w:val="auto"/>
              </w:rPr>
              <w:t>(PIK 5.10%)</w:t>
            </w:r>
          </w:p>
        </w:tc>
        <w:tc>
          <w:tcPr>
            <w:tcW w:w="8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1"/>
        </w:trPr>
        <w:tc>
          <w:tcPr>
            <w:tcW w:w="3240" w:type="dxa"/>
            <w:vAlign w:val="bottom"/>
          </w:tcPr>
          <w:p>
            <w:pPr>
              <w:spacing w:after="0" w:line="121" w:lineRule="exact"/>
              <w:rPr>
                <w:sz w:val="20"/>
                <w:szCs w:val="20"/>
                <w:color w:val="auto"/>
              </w:rPr>
            </w:pPr>
            <w:r>
              <w:rPr>
                <w:rFonts w:ascii="Times New Roman" w:cs="Times New Roman" w:eastAsia="Times New Roman" w:hAnsi="Times New Roman"/>
                <w:sz w:val="10"/>
                <w:szCs w:val="10"/>
                <w:color w:val="auto"/>
              </w:rPr>
              <w:t xml:space="preserve">Lash OpCo, LLC - Revolver </w:t>
            </w:r>
            <w:r>
              <w:rPr>
                <w:rFonts w:ascii="Times New Roman" w:cs="Times New Roman" w:eastAsia="Times New Roman" w:hAnsi="Times New Roman"/>
                <w:sz w:val="12"/>
                <w:szCs w:val="12"/>
                <w:color w:val="auto"/>
                <w:vertAlign w:val="superscript"/>
              </w:rPr>
              <w:t>(7)</w:t>
            </w:r>
          </w:p>
        </w:tc>
        <w:tc>
          <w:tcPr>
            <w:tcW w:w="86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08/16/2026</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13.18 %</w:t>
            </w:r>
          </w:p>
        </w:tc>
        <w:tc>
          <w:tcPr>
            <w:tcW w:w="8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1M SOFR+785</w:t>
            </w: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2,685</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2,685</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2,658</w:t>
            </w:r>
          </w:p>
        </w:tc>
      </w:tr>
      <w:tr>
        <w:trPr>
          <w:trHeight w:val="120"/>
        </w:trPr>
        <w:tc>
          <w:tcPr>
            <w:tcW w:w="3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8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(PIK 5.10%)</w:t>
            </w: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32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Lash OpCo, LLC - Unfunded Revolver </w:t>
            </w:r>
            <w:r>
              <w:rPr>
                <w:rFonts w:ascii="Times New Roman" w:cs="Times New Roman" w:eastAsia="Times New Roman" w:hAnsi="Times New Roman"/>
                <w:sz w:val="12"/>
                <w:szCs w:val="12"/>
                <w:color w:val="auto"/>
                <w:vertAlign w:val="superscript"/>
              </w:rPr>
              <w:t>(8)</w:t>
            </w:r>
          </w:p>
        </w:tc>
        <w:tc>
          <w:tcPr>
            <w:tcW w:w="86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08/16/2026</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317</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(3 )</w:t>
            </w:r>
          </w:p>
        </w:tc>
      </w:tr>
      <w:tr>
        <w:trPr>
          <w:trHeight w:val="120"/>
        </w:trPr>
        <w:tc>
          <w:tcPr>
            <w:tcW w:w="3240" w:type="dxa"/>
            <w:vAlign w:val="bottom"/>
          </w:tcPr>
          <w:p>
            <w:pPr>
              <w:spacing w:after="0"/>
              <w:rPr>
                <w:sz w:val="20"/>
                <w:szCs w:val="20"/>
                <w:color w:val="auto"/>
              </w:rPr>
            </w:pPr>
            <w:r>
              <w:rPr>
                <w:rFonts w:ascii="Times New Roman" w:cs="Times New Roman" w:eastAsia="Times New Roman" w:hAnsi="Times New Roman"/>
                <w:sz w:val="10"/>
                <w:szCs w:val="10"/>
                <w:color w:val="auto"/>
              </w:rPr>
              <w:t>LAV Gear Holdings, Inc.</w:t>
            </w:r>
          </w:p>
        </w:tc>
        <w:tc>
          <w:tcPr>
            <w:tcW w:w="86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10/31/2025</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Leisure, Amusement, Motion Pictures, Entertainment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11.50 %</w:t>
            </w:r>
          </w:p>
        </w:tc>
        <w:tc>
          <w:tcPr>
            <w:tcW w:w="8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1M SOFR+643</w:t>
            </w: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2,032</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2,032</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1,996</w:t>
            </w:r>
          </w:p>
        </w:tc>
      </w:tr>
      <w:tr>
        <w:trPr>
          <w:trHeight w:val="120"/>
        </w:trPr>
        <w:tc>
          <w:tcPr>
            <w:tcW w:w="324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23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1"/>
        </w:trPr>
        <w:tc>
          <w:tcPr>
            <w:tcW w:w="3240" w:type="dxa"/>
            <w:vAlign w:val="bottom"/>
          </w:tcPr>
          <w:p>
            <w:pPr>
              <w:spacing w:after="0" w:line="121" w:lineRule="exact"/>
              <w:rPr>
                <w:sz w:val="20"/>
                <w:szCs w:val="20"/>
                <w:color w:val="auto"/>
              </w:rPr>
            </w:pPr>
            <w:r>
              <w:rPr>
                <w:rFonts w:ascii="Times New Roman" w:cs="Times New Roman" w:eastAsia="Times New Roman" w:hAnsi="Times New Roman"/>
                <w:sz w:val="10"/>
                <w:szCs w:val="10"/>
                <w:color w:val="auto"/>
              </w:rPr>
              <w:t xml:space="preserve">Ledge Lounger, Inc. </w:t>
            </w:r>
            <w:r>
              <w:rPr>
                <w:rFonts w:ascii="Times New Roman" w:cs="Times New Roman" w:eastAsia="Times New Roman" w:hAnsi="Times New Roman"/>
                <w:sz w:val="12"/>
                <w:szCs w:val="12"/>
                <w:color w:val="auto"/>
                <w:vertAlign w:val="superscript"/>
              </w:rPr>
              <w:t>(7)</w:t>
            </w:r>
          </w:p>
        </w:tc>
        <w:tc>
          <w:tcPr>
            <w:tcW w:w="86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11/09/2026</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12.24 %</w:t>
            </w:r>
          </w:p>
        </w:tc>
        <w:tc>
          <w:tcPr>
            <w:tcW w:w="8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SOFR+765</w:t>
            </w: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8,999</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8,911</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8,549</w:t>
            </w:r>
          </w:p>
        </w:tc>
      </w:tr>
      <w:tr>
        <w:trPr>
          <w:trHeight w:val="120"/>
        </w:trPr>
        <w:tc>
          <w:tcPr>
            <w:tcW w:w="3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8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(PIK 1.00%)</w:t>
            </w: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3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Ledge Lounger, Inc. - Revolver</w:t>
            </w:r>
          </w:p>
        </w:tc>
        <w:tc>
          <w:tcPr>
            <w:tcW w:w="86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11/09/2026</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12.25 %</w:t>
            </w:r>
          </w:p>
        </w:tc>
        <w:tc>
          <w:tcPr>
            <w:tcW w:w="8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SOFR+765</w:t>
            </w:r>
          </w:p>
        </w:tc>
        <w:tc>
          <w:tcPr>
            <w:tcW w:w="8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644</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644</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612</w:t>
            </w:r>
          </w:p>
        </w:tc>
      </w:tr>
      <w:tr>
        <w:trPr>
          <w:trHeight w:val="120"/>
        </w:trPr>
        <w:tc>
          <w:tcPr>
            <w:tcW w:w="32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Ledge Lounger, Inc. - Unfunded Revolver </w:t>
            </w:r>
            <w:r>
              <w:rPr>
                <w:rFonts w:ascii="Times New Roman" w:cs="Times New Roman" w:eastAsia="Times New Roman" w:hAnsi="Times New Roman"/>
                <w:sz w:val="12"/>
                <w:szCs w:val="12"/>
                <w:color w:val="auto"/>
                <w:vertAlign w:val="superscript"/>
              </w:rPr>
              <w:t>(8)</w:t>
            </w:r>
          </w:p>
        </w:tc>
        <w:tc>
          <w:tcPr>
            <w:tcW w:w="86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11/09/2026</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966</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(48 )</w:t>
            </w:r>
          </w:p>
        </w:tc>
      </w:tr>
      <w:tr>
        <w:trPr>
          <w:trHeight w:val="120"/>
        </w:trPr>
        <w:tc>
          <w:tcPr>
            <w:tcW w:w="324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23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0"/>
        </w:trPr>
        <w:tc>
          <w:tcPr>
            <w:tcW w:w="32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Lightspeed Buyer Inc. - Revolver </w:t>
            </w:r>
            <w:r>
              <w:rPr>
                <w:rFonts w:ascii="Times New Roman" w:cs="Times New Roman" w:eastAsia="Times New Roman" w:hAnsi="Times New Roman"/>
                <w:sz w:val="12"/>
                <w:szCs w:val="12"/>
                <w:color w:val="auto"/>
                <w:vertAlign w:val="superscript"/>
              </w:rPr>
              <w:t>(8)</w:t>
            </w:r>
          </w:p>
        </w:tc>
        <w:tc>
          <w:tcPr>
            <w:tcW w:w="86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02/03/2026</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1,166</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LJ Avalon Holdings, LLC</w:t>
            </w:r>
          </w:p>
        </w:tc>
        <w:tc>
          <w:tcPr>
            <w:tcW w:w="86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01/31/2030</w:t>
            </w:r>
          </w:p>
        </w:tc>
        <w:tc>
          <w:tcPr>
            <w:tcW w:w="23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10.10 %</w:t>
            </w:r>
          </w:p>
        </w:tc>
        <w:tc>
          <w:tcPr>
            <w:tcW w:w="8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1M SOFR+525</w:t>
            </w:r>
          </w:p>
        </w:tc>
        <w:tc>
          <w:tcPr>
            <w:tcW w:w="8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1,459</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1,438</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1,459</w:t>
            </w:r>
          </w:p>
        </w:tc>
      </w:tr>
      <w:tr>
        <w:trPr>
          <w:trHeight w:val="120"/>
        </w:trPr>
        <w:tc>
          <w:tcPr>
            <w:tcW w:w="32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LJ Avalon Holdings, LLC - Unfunded Term Loan </w:t>
            </w:r>
            <w:r>
              <w:rPr>
                <w:rFonts w:ascii="Times New Roman" w:cs="Times New Roman" w:eastAsia="Times New Roman" w:hAnsi="Times New Roman"/>
                <w:sz w:val="12"/>
                <w:szCs w:val="12"/>
                <w:color w:val="auto"/>
                <w:vertAlign w:val="superscript"/>
              </w:rPr>
              <w:t>(8)</w:t>
            </w:r>
          </w:p>
        </w:tc>
        <w:tc>
          <w:tcPr>
            <w:tcW w:w="86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10/01/2024</w:t>
            </w:r>
          </w:p>
        </w:tc>
        <w:tc>
          <w:tcPr>
            <w:tcW w:w="23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2,419</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w:t>
            </w:r>
          </w:p>
        </w:tc>
      </w:tr>
      <w:tr>
        <w:trPr>
          <w:trHeight w:val="120"/>
        </w:trPr>
        <w:tc>
          <w:tcPr>
            <w:tcW w:w="32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LJ Avalon Holdings, LLC - Revolver </w:t>
            </w:r>
            <w:r>
              <w:rPr>
                <w:rFonts w:ascii="Times New Roman" w:cs="Times New Roman" w:eastAsia="Times New Roman" w:hAnsi="Times New Roman"/>
                <w:sz w:val="12"/>
                <w:szCs w:val="12"/>
                <w:color w:val="auto"/>
                <w:vertAlign w:val="superscript"/>
              </w:rPr>
              <w:t>(8)</w:t>
            </w:r>
          </w:p>
        </w:tc>
        <w:tc>
          <w:tcPr>
            <w:tcW w:w="86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01/31/2030</w:t>
            </w:r>
          </w:p>
        </w:tc>
        <w:tc>
          <w:tcPr>
            <w:tcW w:w="23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587</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40" w:type="dxa"/>
            <w:vAlign w:val="bottom"/>
          </w:tcPr>
          <w:p>
            <w:pPr>
              <w:spacing w:after="0"/>
              <w:rPr>
                <w:sz w:val="20"/>
                <w:szCs w:val="20"/>
                <w:color w:val="auto"/>
              </w:rPr>
            </w:pPr>
            <w:r>
              <w:rPr>
                <w:rFonts w:ascii="Times New Roman" w:cs="Times New Roman" w:eastAsia="Times New Roman" w:hAnsi="Times New Roman"/>
                <w:sz w:val="10"/>
                <w:szCs w:val="10"/>
                <w:color w:val="auto"/>
              </w:rPr>
              <w:t>Loving Tan Intermediate II, Inc.</w:t>
            </w:r>
          </w:p>
        </w:tc>
        <w:tc>
          <w:tcPr>
            <w:tcW w:w="86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05/31/2028</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11.10 %</w:t>
            </w:r>
          </w:p>
        </w:tc>
        <w:tc>
          <w:tcPr>
            <w:tcW w:w="8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SOFR+650</w:t>
            </w: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9,784</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9,633</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9,637</w:t>
            </w:r>
          </w:p>
        </w:tc>
      </w:tr>
      <w:tr>
        <w:trPr>
          <w:trHeight w:val="120"/>
        </w:trPr>
        <w:tc>
          <w:tcPr>
            <w:tcW w:w="3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Loving Tan Intermediate II, Inc. - Revolver</w:t>
            </w:r>
          </w:p>
        </w:tc>
        <w:tc>
          <w:tcPr>
            <w:tcW w:w="86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05/31/2028</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11.60 %</w:t>
            </w:r>
          </w:p>
        </w:tc>
        <w:tc>
          <w:tcPr>
            <w:tcW w:w="8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SOFR+700</w:t>
            </w:r>
          </w:p>
        </w:tc>
        <w:tc>
          <w:tcPr>
            <w:tcW w:w="8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332</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332</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327</w:t>
            </w:r>
          </w:p>
        </w:tc>
      </w:tr>
      <w:tr>
        <w:trPr>
          <w:trHeight w:val="120"/>
        </w:trPr>
        <w:tc>
          <w:tcPr>
            <w:tcW w:w="32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Loving Tan Intermediate II, Inc. - Unfunded Revolver </w:t>
            </w:r>
            <w:r>
              <w:rPr>
                <w:rFonts w:ascii="Times New Roman" w:cs="Times New Roman" w:eastAsia="Times New Roman" w:hAnsi="Times New Roman"/>
                <w:sz w:val="12"/>
                <w:szCs w:val="12"/>
                <w:color w:val="auto"/>
                <w:vertAlign w:val="superscript"/>
              </w:rPr>
              <w:t>(8)</w:t>
            </w:r>
          </w:p>
        </w:tc>
        <w:tc>
          <w:tcPr>
            <w:tcW w:w="86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05/31/2028</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664</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(10 )</w:t>
            </w:r>
          </w:p>
        </w:tc>
      </w:tr>
      <w:tr>
        <w:trPr>
          <w:trHeight w:val="120"/>
        </w:trPr>
        <w:tc>
          <w:tcPr>
            <w:tcW w:w="32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Loving Tan Intermediate II, Inc. - Unfunded Term Loan </w:t>
            </w:r>
            <w:r>
              <w:rPr>
                <w:rFonts w:ascii="Times New Roman" w:cs="Times New Roman" w:eastAsia="Times New Roman" w:hAnsi="Times New Roman"/>
                <w:sz w:val="12"/>
                <w:szCs w:val="12"/>
                <w:color w:val="auto"/>
                <w:vertAlign w:val="superscript"/>
              </w:rPr>
              <w:t>(8)</w:t>
            </w:r>
          </w:p>
        </w:tc>
        <w:tc>
          <w:tcPr>
            <w:tcW w:w="86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07/12/2025</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4,376</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(22 )</w:t>
            </w:r>
          </w:p>
        </w:tc>
      </w:tr>
      <w:tr>
        <w:trPr>
          <w:trHeight w:val="120"/>
        </w:trPr>
        <w:tc>
          <w:tcPr>
            <w:tcW w:w="3240" w:type="dxa"/>
            <w:vAlign w:val="bottom"/>
          </w:tcPr>
          <w:p>
            <w:pPr>
              <w:spacing w:after="0"/>
              <w:rPr>
                <w:sz w:val="20"/>
                <w:szCs w:val="20"/>
                <w:color w:val="auto"/>
              </w:rPr>
            </w:pPr>
            <w:r>
              <w:rPr>
                <w:rFonts w:ascii="Times New Roman" w:cs="Times New Roman" w:eastAsia="Times New Roman" w:hAnsi="Times New Roman"/>
                <w:sz w:val="10"/>
                <w:szCs w:val="10"/>
                <w:color w:val="auto"/>
              </w:rPr>
              <w:t>MBS Holdings, Inc. - Funded Revolver</w:t>
            </w:r>
          </w:p>
        </w:tc>
        <w:tc>
          <w:tcPr>
            <w:tcW w:w="86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04/16/2027</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Telecommunications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10.95 %</w:t>
            </w:r>
          </w:p>
        </w:tc>
        <w:tc>
          <w:tcPr>
            <w:tcW w:w="8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SOFR+585</w:t>
            </w: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83</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83</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83</w:t>
            </w:r>
          </w:p>
        </w:tc>
      </w:tr>
      <w:tr>
        <w:trPr>
          <w:trHeight w:val="120"/>
        </w:trPr>
        <w:tc>
          <w:tcPr>
            <w:tcW w:w="32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MBS Holdings, Inc. - Revolver </w:t>
            </w:r>
            <w:r>
              <w:rPr>
                <w:rFonts w:ascii="Times New Roman" w:cs="Times New Roman" w:eastAsia="Times New Roman" w:hAnsi="Times New Roman"/>
                <w:sz w:val="12"/>
                <w:szCs w:val="12"/>
                <w:color w:val="auto"/>
                <w:vertAlign w:val="superscript"/>
              </w:rPr>
              <w:t>(8)</w:t>
            </w:r>
          </w:p>
        </w:tc>
        <w:tc>
          <w:tcPr>
            <w:tcW w:w="86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04/16/2027</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Telecommunications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611</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40" w:type="dxa"/>
            <w:vAlign w:val="bottom"/>
          </w:tcPr>
          <w:p>
            <w:pPr>
              <w:spacing w:after="0"/>
              <w:rPr>
                <w:sz w:val="20"/>
                <w:szCs w:val="20"/>
                <w:color w:val="auto"/>
              </w:rPr>
            </w:pPr>
            <w:r>
              <w:rPr>
                <w:rFonts w:ascii="Times New Roman" w:cs="Times New Roman" w:eastAsia="Times New Roman" w:hAnsi="Times New Roman"/>
                <w:sz w:val="10"/>
                <w:szCs w:val="10"/>
                <w:color w:val="auto"/>
              </w:rPr>
              <w:t>MDI Buyer, Inc.</w:t>
            </w:r>
          </w:p>
        </w:tc>
        <w:tc>
          <w:tcPr>
            <w:tcW w:w="86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07/25/2028</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10.71 %</w:t>
            </w:r>
          </w:p>
        </w:tc>
        <w:tc>
          <w:tcPr>
            <w:tcW w:w="8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SOFR+575</w:t>
            </w: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19,931</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19,679</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19,736</w:t>
            </w:r>
          </w:p>
        </w:tc>
      </w:tr>
      <w:tr>
        <w:trPr>
          <w:trHeight w:val="120"/>
        </w:trPr>
        <w:tc>
          <w:tcPr>
            <w:tcW w:w="3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MDI Buyer, Inc. - Revolver</w:t>
            </w:r>
          </w:p>
        </w:tc>
        <w:tc>
          <w:tcPr>
            <w:tcW w:w="86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07/25/2028</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11.19 %</w:t>
            </w:r>
          </w:p>
        </w:tc>
        <w:tc>
          <w:tcPr>
            <w:tcW w:w="8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SOFR+575</w:t>
            </w:r>
          </w:p>
        </w:tc>
        <w:tc>
          <w:tcPr>
            <w:tcW w:w="8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1,529</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1,529</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1,514</w:t>
            </w:r>
          </w:p>
        </w:tc>
      </w:tr>
      <w:tr>
        <w:trPr>
          <w:trHeight w:val="120"/>
        </w:trPr>
        <w:tc>
          <w:tcPr>
            <w:tcW w:w="32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MDI Buyer, Inc. - Unfunded Revolver </w:t>
            </w:r>
            <w:r>
              <w:rPr>
                <w:rFonts w:ascii="Times New Roman" w:cs="Times New Roman" w:eastAsia="Times New Roman" w:hAnsi="Times New Roman"/>
                <w:sz w:val="12"/>
                <w:szCs w:val="12"/>
                <w:color w:val="auto"/>
                <w:vertAlign w:val="superscript"/>
              </w:rPr>
              <w:t>(8)</w:t>
            </w:r>
          </w:p>
        </w:tc>
        <w:tc>
          <w:tcPr>
            <w:tcW w:w="86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07/25/2028</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698</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Meadowlark Acquirer, LLC</w:t>
            </w:r>
          </w:p>
        </w:tc>
        <w:tc>
          <w:tcPr>
            <w:tcW w:w="86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12/10/2027</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10.50 %</w:t>
            </w:r>
          </w:p>
        </w:tc>
        <w:tc>
          <w:tcPr>
            <w:tcW w:w="8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SOFR+590</w:t>
            </w:r>
          </w:p>
        </w:tc>
        <w:tc>
          <w:tcPr>
            <w:tcW w:w="8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1,923</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1,908</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1,874</w:t>
            </w:r>
          </w:p>
        </w:tc>
      </w:tr>
      <w:tr>
        <w:trPr>
          <w:trHeight w:val="120"/>
        </w:trPr>
        <w:tc>
          <w:tcPr>
            <w:tcW w:w="32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Meadowlark Acquirer, LLC- Unfunded Revolver </w:t>
            </w:r>
            <w:r>
              <w:rPr>
                <w:rFonts w:ascii="Times New Roman" w:cs="Times New Roman" w:eastAsia="Times New Roman" w:hAnsi="Times New Roman"/>
                <w:sz w:val="12"/>
                <w:szCs w:val="12"/>
                <w:color w:val="auto"/>
                <w:vertAlign w:val="superscript"/>
              </w:rPr>
              <w:t>(8)</w:t>
            </w:r>
          </w:p>
        </w:tc>
        <w:tc>
          <w:tcPr>
            <w:tcW w:w="86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12/10/2027</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1,685</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(42 )</w:t>
            </w:r>
          </w:p>
        </w:tc>
      </w:tr>
      <w:tr>
        <w:trPr>
          <w:trHeight w:val="120"/>
        </w:trPr>
        <w:tc>
          <w:tcPr>
            <w:tcW w:w="3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Medina Health, LLC</w:t>
            </w:r>
          </w:p>
        </w:tc>
        <w:tc>
          <w:tcPr>
            <w:tcW w:w="86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10/20/2028</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10.85 %</w:t>
            </w:r>
          </w:p>
        </w:tc>
        <w:tc>
          <w:tcPr>
            <w:tcW w:w="8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SOFR+625</w:t>
            </w:r>
          </w:p>
        </w:tc>
        <w:tc>
          <w:tcPr>
            <w:tcW w:w="8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4,887</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4,813</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4,887</w:t>
            </w:r>
          </w:p>
        </w:tc>
      </w:tr>
      <w:tr>
        <w:trPr>
          <w:trHeight w:val="120"/>
        </w:trPr>
        <w:tc>
          <w:tcPr>
            <w:tcW w:w="32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Medina Health, LLC - Revolver </w:t>
            </w:r>
            <w:r>
              <w:rPr>
                <w:rFonts w:ascii="Times New Roman" w:cs="Times New Roman" w:eastAsia="Times New Roman" w:hAnsi="Times New Roman"/>
                <w:sz w:val="12"/>
                <w:szCs w:val="12"/>
                <w:color w:val="auto"/>
                <w:vertAlign w:val="superscript"/>
              </w:rPr>
              <w:t>(8)</w:t>
            </w:r>
          </w:p>
        </w:tc>
        <w:tc>
          <w:tcPr>
            <w:tcW w:w="86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10/20/2028</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2,774</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Megawatt Acquisitionco, Inc. - Funded Revolver</w:t>
            </w:r>
          </w:p>
        </w:tc>
        <w:tc>
          <w:tcPr>
            <w:tcW w:w="86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03/01/2030</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10.11 %</w:t>
            </w:r>
          </w:p>
        </w:tc>
        <w:tc>
          <w:tcPr>
            <w:tcW w:w="8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SOFR+525</w:t>
            </w:r>
          </w:p>
        </w:tc>
        <w:tc>
          <w:tcPr>
            <w:tcW w:w="8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204</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204</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193</w:t>
            </w:r>
          </w:p>
        </w:tc>
      </w:tr>
      <w:tr>
        <w:trPr>
          <w:trHeight w:val="120"/>
        </w:trPr>
        <w:tc>
          <w:tcPr>
            <w:tcW w:w="32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Megawatt Acquisitionco, Inc. - Unfunded Revolver </w:t>
            </w:r>
            <w:r>
              <w:rPr>
                <w:rFonts w:ascii="Times New Roman" w:cs="Times New Roman" w:eastAsia="Times New Roman" w:hAnsi="Times New Roman"/>
                <w:sz w:val="12"/>
                <w:szCs w:val="12"/>
                <w:color w:val="auto"/>
                <w:vertAlign w:val="superscript"/>
              </w:rPr>
              <w:t>(8)</w:t>
            </w:r>
          </w:p>
        </w:tc>
        <w:tc>
          <w:tcPr>
            <w:tcW w:w="86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03/01/2030</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1,653</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(93 )</w:t>
            </w:r>
          </w:p>
        </w:tc>
      </w:tr>
      <w:tr>
        <w:trPr>
          <w:trHeight w:val="120"/>
        </w:trPr>
        <w:tc>
          <w:tcPr>
            <w:tcW w:w="3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Mineola 212, LLC</w:t>
            </w:r>
          </w:p>
        </w:tc>
        <w:tc>
          <w:tcPr>
            <w:tcW w:w="86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06/24/2025</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Buildings and Real Estate</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13.00 %</w:t>
            </w:r>
          </w:p>
        </w:tc>
        <w:tc>
          <w:tcPr>
            <w:tcW w:w="84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3,500</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3,489</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3,479</w:t>
            </w:r>
          </w:p>
        </w:tc>
      </w:tr>
      <w:tr>
        <w:trPr>
          <w:trHeight w:val="120"/>
        </w:trPr>
        <w:tc>
          <w:tcPr>
            <w:tcW w:w="3240" w:type="dxa"/>
            <w:vAlign w:val="bottom"/>
          </w:tcPr>
          <w:p>
            <w:pPr>
              <w:spacing w:after="0"/>
              <w:rPr>
                <w:sz w:val="20"/>
                <w:szCs w:val="20"/>
                <w:color w:val="auto"/>
              </w:rPr>
            </w:pPr>
            <w:r>
              <w:rPr>
                <w:rFonts w:ascii="Times New Roman" w:cs="Times New Roman" w:eastAsia="Times New Roman" w:hAnsi="Times New Roman"/>
                <w:sz w:val="10"/>
                <w:szCs w:val="10"/>
                <w:color w:val="auto"/>
              </w:rPr>
              <w:t>MOREGroup Holdings, Inc.</w:t>
            </w:r>
          </w:p>
        </w:tc>
        <w:tc>
          <w:tcPr>
            <w:tcW w:w="86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01/16/2030</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10.35 %</w:t>
            </w:r>
          </w:p>
        </w:tc>
        <w:tc>
          <w:tcPr>
            <w:tcW w:w="8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SOFR+575</w:t>
            </w: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7,450</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7,348</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7,338</w:t>
            </w:r>
          </w:p>
        </w:tc>
      </w:tr>
      <w:tr>
        <w:trPr>
          <w:trHeight w:val="120"/>
        </w:trPr>
        <w:tc>
          <w:tcPr>
            <w:tcW w:w="32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MOREGroup Holdings, Inc. - Unfunded Term Loan </w:t>
            </w:r>
            <w:r>
              <w:rPr>
                <w:rFonts w:ascii="Times New Roman" w:cs="Times New Roman" w:eastAsia="Times New Roman" w:hAnsi="Times New Roman"/>
                <w:sz w:val="12"/>
                <w:szCs w:val="12"/>
                <w:color w:val="auto"/>
                <w:vertAlign w:val="superscript"/>
              </w:rPr>
              <w:t>(8)</w:t>
            </w:r>
          </w:p>
        </w:tc>
        <w:tc>
          <w:tcPr>
            <w:tcW w:w="86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01/16/2026</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6,124</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(31 )</w:t>
            </w:r>
          </w:p>
        </w:tc>
      </w:tr>
      <w:tr>
        <w:trPr>
          <w:trHeight w:val="120"/>
        </w:trPr>
        <w:tc>
          <w:tcPr>
            <w:tcW w:w="32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MOREGroup Holdings, Inc. - Unfunded Revolver </w:t>
            </w:r>
            <w:r>
              <w:rPr>
                <w:rFonts w:ascii="Times New Roman" w:cs="Times New Roman" w:eastAsia="Times New Roman" w:hAnsi="Times New Roman"/>
                <w:sz w:val="12"/>
                <w:szCs w:val="12"/>
                <w:color w:val="auto"/>
                <w:vertAlign w:val="superscript"/>
              </w:rPr>
              <w:t>(8)</w:t>
            </w:r>
          </w:p>
        </w:tc>
        <w:tc>
          <w:tcPr>
            <w:tcW w:w="86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01/16/2030</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3,675</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(55 )</w:t>
            </w:r>
          </w:p>
        </w:tc>
      </w:tr>
      <w:tr>
        <w:trPr>
          <w:trHeight w:val="120"/>
        </w:trPr>
        <w:tc>
          <w:tcPr>
            <w:tcW w:w="32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86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09/28/2027</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9.77 %</w:t>
            </w:r>
          </w:p>
        </w:tc>
        <w:tc>
          <w:tcPr>
            <w:tcW w:w="8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SOFR+515</w:t>
            </w:r>
          </w:p>
        </w:tc>
        <w:tc>
          <w:tcPr>
            <w:tcW w:w="8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2,792</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2,792</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2,792</w:t>
            </w:r>
          </w:p>
        </w:tc>
      </w:tr>
      <w:tr>
        <w:trPr>
          <w:trHeight w:val="120"/>
        </w:trPr>
        <w:tc>
          <w:tcPr>
            <w:tcW w:w="32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Municipal Emergency Services, Inc. - Unfunded Term Loan B </w:t>
            </w:r>
            <w:r>
              <w:rPr>
                <w:rFonts w:ascii="Times New Roman" w:cs="Times New Roman" w:eastAsia="Times New Roman" w:hAnsi="Times New Roman"/>
                <w:sz w:val="12"/>
                <w:szCs w:val="12"/>
                <w:color w:val="auto"/>
                <w:vertAlign w:val="superscript"/>
              </w:rPr>
              <w:t>(8)</w:t>
            </w:r>
          </w:p>
        </w:tc>
        <w:tc>
          <w:tcPr>
            <w:tcW w:w="86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12/16/2024</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966</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Municipal Emergency Services, Inc. - Unfunded Term Loan 3rd Amendment </w:t>
            </w:r>
            <w:r>
              <w:rPr>
                <w:rFonts w:ascii="Times New Roman" w:cs="Times New Roman" w:eastAsia="Times New Roman" w:hAnsi="Times New Roman"/>
                <w:sz w:val="12"/>
                <w:szCs w:val="12"/>
                <w:color w:val="auto"/>
                <w:vertAlign w:val="superscript"/>
              </w:rPr>
              <w:t>(8)</w:t>
            </w:r>
          </w:p>
        </w:tc>
        <w:tc>
          <w:tcPr>
            <w:tcW w:w="86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09/28/2027</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500</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w:t>
            </w:r>
          </w:p>
        </w:tc>
      </w:tr>
      <w:tr>
        <w:trPr>
          <w:trHeight w:val="120"/>
        </w:trPr>
        <w:tc>
          <w:tcPr>
            <w:tcW w:w="32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Municipal Emergency Services, Inc. - Revolver </w:t>
            </w:r>
            <w:r>
              <w:rPr>
                <w:rFonts w:ascii="Times New Roman" w:cs="Times New Roman" w:eastAsia="Times New Roman" w:hAnsi="Times New Roman"/>
                <w:sz w:val="12"/>
                <w:szCs w:val="12"/>
                <w:color w:val="auto"/>
                <w:vertAlign w:val="superscript"/>
              </w:rPr>
              <w:t>(8)</w:t>
            </w:r>
          </w:p>
        </w:tc>
        <w:tc>
          <w:tcPr>
            <w:tcW w:w="86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09/28/2027</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1,880</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NBH Group LLC - Revolver </w:t>
            </w:r>
            <w:r>
              <w:rPr>
                <w:rFonts w:ascii="Times New Roman" w:cs="Times New Roman" w:eastAsia="Times New Roman" w:hAnsi="Times New Roman"/>
                <w:sz w:val="12"/>
                <w:szCs w:val="12"/>
                <w:color w:val="auto"/>
                <w:vertAlign w:val="superscript"/>
              </w:rPr>
              <w:t>(8)</w:t>
            </w:r>
          </w:p>
        </w:tc>
        <w:tc>
          <w:tcPr>
            <w:tcW w:w="86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08/19/2026</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1,163</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(35 )</w:t>
            </w:r>
          </w:p>
        </w:tc>
      </w:tr>
      <w:tr>
        <w:trPr>
          <w:trHeight w:val="180"/>
        </w:trPr>
        <w:tc>
          <w:tcPr>
            <w:tcW w:w="3240" w:type="dxa"/>
            <w:vAlign w:val="bottom"/>
          </w:tcPr>
          <w:p>
            <w:pPr>
              <w:spacing w:after="0"/>
              <w:rPr>
                <w:sz w:val="20"/>
                <w:szCs w:val="20"/>
                <w:color w:val="auto"/>
              </w:rPr>
            </w:pPr>
            <w:r>
              <w:rPr>
                <w:rFonts w:ascii="Times New Roman" w:cs="Times New Roman" w:eastAsia="Times New Roman" w:hAnsi="Times New Roman"/>
                <w:sz w:val="10"/>
                <w:szCs w:val="10"/>
                <w:color w:val="auto"/>
              </w:rPr>
              <w:t>NFS - CFP Holdings LLC</w:t>
            </w:r>
          </w:p>
        </w:tc>
        <w:tc>
          <w:tcPr>
            <w:tcW w:w="86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09/13/2030</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80" w:type="dxa"/>
            <w:vAlign w:val="bottom"/>
          </w:tcPr>
          <w:p>
            <w:pPr>
              <w:jc w:val="right"/>
              <w:ind w:right="52"/>
              <w:spacing w:after="0" w:line="180" w:lineRule="exact"/>
              <w:rPr>
                <w:sz w:val="20"/>
                <w:szCs w:val="20"/>
                <w:color w:val="auto"/>
              </w:rPr>
            </w:pPr>
            <w:r>
              <w:rPr>
                <w:rFonts w:ascii="Times New Roman" w:cs="Times New Roman" w:eastAsia="Times New Roman" w:hAnsi="Times New Roman"/>
                <w:sz w:val="10"/>
                <w:szCs w:val="10"/>
                <w:color w:val="auto"/>
              </w:rPr>
              <w:t xml:space="preserve">9.56 </w:t>
            </w:r>
            <w:r>
              <w:rPr>
                <w:rFonts w:ascii="Times New Roman" w:cs="Times New Roman" w:eastAsia="Times New Roman" w:hAnsi="Times New Roman"/>
                <w:sz w:val="19"/>
                <w:szCs w:val="19"/>
                <w:color w:val="auto"/>
                <w:vertAlign w:val="subscript"/>
              </w:rPr>
              <w:t>%</w:t>
            </w:r>
          </w:p>
        </w:tc>
        <w:tc>
          <w:tcPr>
            <w:tcW w:w="8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SOFR+475</w:t>
            </w: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18,000</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17,866</w:t>
            </w:r>
          </w:p>
        </w:tc>
        <w:tc>
          <w:tcPr>
            <w:tcW w:w="260" w:type="dxa"/>
            <w:vAlign w:val="bottom"/>
          </w:tcPr>
          <w:p>
            <w:pPr>
              <w:spacing w:after="0"/>
              <w:rPr>
                <w:sz w:val="15"/>
                <w:szCs w:val="15"/>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17,865</w:t>
            </w:r>
          </w:p>
        </w:tc>
      </w:tr>
      <w:tr>
        <w:trPr>
          <w:trHeight w:val="120"/>
        </w:trPr>
        <w:tc>
          <w:tcPr>
            <w:tcW w:w="32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NFS - CFP Holdings LLC - Unfunded Term Loan </w:t>
            </w:r>
            <w:r>
              <w:rPr>
                <w:rFonts w:ascii="Times New Roman" w:cs="Times New Roman" w:eastAsia="Times New Roman" w:hAnsi="Times New Roman"/>
                <w:sz w:val="12"/>
                <w:szCs w:val="12"/>
                <w:color w:val="auto"/>
                <w:vertAlign w:val="superscript"/>
              </w:rPr>
              <w:t>(8)</w:t>
            </w:r>
          </w:p>
        </w:tc>
        <w:tc>
          <w:tcPr>
            <w:tcW w:w="86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6"/>
              </w:rPr>
              <w:t>09/13/2026</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6,630</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58"/>
        </w:trPr>
        <w:tc>
          <w:tcPr>
            <w:tcW w:w="324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NFS - CFP Holdings LLC - Unfunded Revolver </w:t>
            </w:r>
            <w:r>
              <w:rPr>
                <w:rFonts w:ascii="Times New Roman" w:cs="Times New Roman" w:eastAsia="Times New Roman" w:hAnsi="Times New Roman"/>
                <w:sz w:val="12"/>
                <w:szCs w:val="12"/>
                <w:color w:val="auto"/>
                <w:vertAlign w:val="superscript"/>
              </w:rPr>
              <w:t>(8)</w:t>
            </w:r>
          </w:p>
        </w:tc>
        <w:tc>
          <w:tcPr>
            <w:tcW w:w="86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6"/>
              </w:rPr>
              <w:t>09/13/2030</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2,486</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3"/>
                <w:szCs w:val="13"/>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bl>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425450</wp:posOffset>
            </wp:positionV>
            <wp:extent cx="673290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40"/>
          </w:cols>
          <w:pgMar w:left="720" w:top="1156" w:right="740"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3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6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2"/>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2"/>
              </w:rPr>
              <w:t>Maturity</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06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80" w:type="dxa"/>
            <w:vAlign w:val="bottom"/>
          </w:tcPr>
          <w:p>
            <w:pPr>
              <w:jc w:val="center"/>
              <w:ind w:right="5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20" w:type="dxa"/>
            <w:vAlign w:val="bottom"/>
          </w:tcPr>
          <w:p>
            <w:pPr>
              <w:spacing w:after="0"/>
              <w:rPr>
                <w:sz w:val="10"/>
                <w:szCs w:val="10"/>
                <w:color w:val="auto"/>
              </w:rPr>
            </w:pPr>
          </w:p>
        </w:tc>
        <w:tc>
          <w:tcPr>
            <w:tcW w:w="52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4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(3)</w:t>
            </w: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NORA Acquisition, LLC</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08/31/2029</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10.95 %</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SOFR+635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5,445</w:t>
            </w:r>
          </w:p>
        </w:tc>
        <w:tc>
          <w:tcPr>
            <w:tcW w:w="2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5,348</w:t>
            </w:r>
          </w:p>
        </w:tc>
        <w:tc>
          <w:tcPr>
            <w:tcW w:w="2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5,445</w:t>
            </w: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NORA Acquisition, LLC - Revolver </w:t>
            </w:r>
            <w:r>
              <w:rPr>
                <w:rFonts w:ascii="Times New Roman" w:cs="Times New Roman" w:eastAsia="Times New Roman" w:hAnsi="Times New Roman"/>
                <w:sz w:val="12"/>
                <w:szCs w:val="12"/>
                <w:color w:val="auto"/>
                <w:vertAlign w:val="superscript"/>
              </w:rPr>
              <w:t>(8)</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08/31/2029</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2,707</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NP Riverhead Industrial, LLC</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05/24/2025</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Buildings and Real Estate</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14.50 %</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5,000</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4,984</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4,975</w:t>
            </w: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Omnia Exterior Solutions, LLC</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12/29/2029</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Conglomerate Service</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10.10 %</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SOFR+550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4,888</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4,840</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4,814</w:t>
            </w: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Omnia Exterior Solutions, LLC - Unfunded Term Loan 1 </w:t>
            </w:r>
            <w:r>
              <w:rPr>
                <w:rFonts w:ascii="Times New Roman" w:cs="Times New Roman" w:eastAsia="Times New Roman" w:hAnsi="Times New Roman"/>
                <w:sz w:val="12"/>
                <w:szCs w:val="12"/>
                <w:color w:val="auto"/>
                <w:vertAlign w:val="superscript"/>
              </w:rPr>
              <w:t>(8)</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12/30/2024</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Conglomerate Service</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3,499</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(22 )</w:t>
            </w: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Omnia Exterior Solutions, LLC - Unfunded Term Loan 2 </w:t>
            </w:r>
            <w:r>
              <w:rPr>
                <w:rFonts w:ascii="Times New Roman" w:cs="Times New Roman" w:eastAsia="Times New Roman" w:hAnsi="Times New Roman"/>
                <w:sz w:val="12"/>
                <w:szCs w:val="12"/>
                <w:color w:val="auto"/>
                <w:vertAlign w:val="superscript"/>
              </w:rPr>
              <w:t>(8)</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09/30/2026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Conglomerate Service</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5,598</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(35 )</w:t>
            </w: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Omnia Exterior Solutions, LLC - Revolver </w:t>
            </w:r>
            <w:r>
              <w:rPr>
                <w:rFonts w:ascii="Times New Roman" w:cs="Times New Roman" w:eastAsia="Times New Roman" w:hAnsi="Times New Roman"/>
                <w:sz w:val="12"/>
                <w:szCs w:val="12"/>
                <w:color w:val="auto"/>
                <w:vertAlign w:val="superscript"/>
              </w:rPr>
              <w:t>(8)</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12/29/2029</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Conglomerate Service</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2,100</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(31 )</w:t>
            </w:r>
          </w:p>
        </w:tc>
      </w:tr>
      <w:tr>
        <w:trPr>
          <w:trHeight w:val="121"/>
        </w:trPr>
        <w:tc>
          <w:tcPr>
            <w:tcW w:w="3280" w:type="dxa"/>
            <w:vAlign w:val="bottom"/>
          </w:tcPr>
          <w:p>
            <w:pPr>
              <w:ind w:left="20"/>
              <w:spacing w:after="0" w:line="121" w:lineRule="exact"/>
              <w:rPr>
                <w:sz w:val="20"/>
                <w:szCs w:val="20"/>
                <w:color w:val="auto"/>
              </w:rPr>
            </w:pPr>
            <w:r>
              <w:rPr>
                <w:rFonts w:ascii="Times New Roman" w:cs="Times New Roman" w:eastAsia="Times New Roman" w:hAnsi="Times New Roman"/>
                <w:sz w:val="10"/>
                <w:szCs w:val="10"/>
                <w:color w:val="auto"/>
              </w:rPr>
              <w:t xml:space="preserve">ORL Acquisition, Inc. </w:t>
            </w:r>
            <w:r>
              <w:rPr>
                <w:rFonts w:ascii="Times New Roman" w:cs="Times New Roman" w:eastAsia="Times New Roman" w:hAnsi="Times New Roman"/>
                <w:sz w:val="12"/>
                <w:szCs w:val="12"/>
                <w:color w:val="auto"/>
                <w:vertAlign w:val="superscript"/>
              </w:rPr>
              <w:t>(7)</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09/03/2027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14.00 %</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SOFR+940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4,245</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4,198</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3,608</w:t>
            </w:r>
          </w:p>
        </w:tc>
      </w:tr>
      <w:tr>
        <w:trPr>
          <w:trHeight w:val="120"/>
        </w:trPr>
        <w:tc>
          <w:tcPr>
            <w:tcW w:w="3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(PIK 7.50%)</w:t>
            </w:r>
          </w:p>
        </w:tc>
        <w:tc>
          <w:tcPr>
            <w:tcW w:w="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ORL Acquisition, Inc. - Revolver </w:t>
            </w:r>
            <w:r>
              <w:rPr>
                <w:rFonts w:ascii="Times New Roman" w:cs="Times New Roman" w:eastAsia="Times New Roman" w:hAnsi="Times New Roman"/>
                <w:sz w:val="12"/>
                <w:szCs w:val="12"/>
                <w:color w:val="auto"/>
                <w:vertAlign w:val="superscript"/>
              </w:rPr>
              <w:t>(8)</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09/03/2027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149</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(22 )</w:t>
            </w: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OSP Embedded Purchaser, LLC</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12/15/2029</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10.70 %</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SOFR+610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6,451</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6,345</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6,264</w:t>
            </w: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OSP Embedded Purchaser, LLC - Revolver </w:t>
            </w:r>
            <w:r>
              <w:rPr>
                <w:rFonts w:ascii="Times New Roman" w:cs="Times New Roman" w:eastAsia="Times New Roman" w:hAnsi="Times New Roman"/>
                <w:sz w:val="12"/>
                <w:szCs w:val="12"/>
                <w:color w:val="auto"/>
                <w:vertAlign w:val="superscript"/>
              </w:rPr>
              <w:t>(8)</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12/15/2029</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1,477</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(43 )</w:t>
            </w: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Ox Two, LLC</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05/18/2026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Building Materials</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11.12 %</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SOFR+651</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8,460</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8,403</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8,460</w:t>
            </w: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Ox Two, LLC - Revolver </w:t>
            </w:r>
            <w:r>
              <w:rPr>
                <w:rFonts w:ascii="Times New Roman" w:cs="Times New Roman" w:eastAsia="Times New Roman" w:hAnsi="Times New Roman"/>
                <w:sz w:val="12"/>
                <w:szCs w:val="12"/>
                <w:color w:val="auto"/>
                <w:vertAlign w:val="superscript"/>
              </w:rPr>
              <w:t>(8)</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05/18/2026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Building Materials</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2,419</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Pacific Purchaser, LLC - Unfunded Term Loan </w:t>
            </w:r>
            <w:r>
              <w:rPr>
                <w:rFonts w:ascii="Times New Roman" w:cs="Times New Roman" w:eastAsia="Times New Roman" w:hAnsi="Times New Roman"/>
                <w:sz w:val="12"/>
                <w:szCs w:val="12"/>
                <w:color w:val="auto"/>
                <w:vertAlign w:val="superscript"/>
              </w:rPr>
              <w:t>(8)</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09/30/2028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2,747</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w:t>
            </w: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Pacific Purchaser, LLC - Revolver </w:t>
            </w:r>
            <w:r>
              <w:rPr>
                <w:rFonts w:ascii="Times New Roman" w:cs="Times New Roman" w:eastAsia="Times New Roman" w:hAnsi="Times New Roman"/>
                <w:sz w:val="12"/>
                <w:szCs w:val="12"/>
                <w:color w:val="auto"/>
                <w:vertAlign w:val="superscript"/>
              </w:rPr>
              <w:t>(8)</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09/30/2028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1,373</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(3 )</w:t>
            </w: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PAR Excellence Holdings, Inc.</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09/03/2030</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9.77 %</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SOFR+475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10,000</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9,901</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9,900</w:t>
            </w: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PAR Excellence Holdings, Inc. - Unfunded Revolver </w:t>
            </w:r>
            <w:r>
              <w:rPr>
                <w:rFonts w:ascii="Times New Roman" w:cs="Times New Roman" w:eastAsia="Times New Roman" w:hAnsi="Times New Roman"/>
                <w:sz w:val="12"/>
                <w:szCs w:val="12"/>
                <w:color w:val="auto"/>
                <w:vertAlign w:val="superscript"/>
              </w:rPr>
              <w:t>(8)</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09/03/2030</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2,681</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PCS MIDCO INC</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03/01/2030</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10.81 %</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1M SOFR+575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467</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462</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467</w:t>
            </w: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PCS MIDCO INC - Unfunded Term Loan </w:t>
            </w:r>
            <w:r>
              <w:rPr>
                <w:rFonts w:ascii="Times New Roman" w:cs="Times New Roman" w:eastAsia="Times New Roman" w:hAnsi="Times New Roman"/>
                <w:sz w:val="12"/>
                <w:szCs w:val="12"/>
                <w:color w:val="auto"/>
                <w:vertAlign w:val="superscript"/>
              </w:rPr>
              <w:t>(8)</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03/01/2026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3,955</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w:t>
            </w: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PCS MIDCO INC - Funded Revolver</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03/01/2030</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10.81 %</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1M SOFR+575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308</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308</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308</w:t>
            </w: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PCS MIDCO INC - Unfunded Revolver </w:t>
            </w:r>
            <w:r>
              <w:rPr>
                <w:rFonts w:ascii="Times New Roman" w:cs="Times New Roman" w:eastAsia="Times New Roman" w:hAnsi="Times New Roman"/>
                <w:sz w:val="12"/>
                <w:szCs w:val="12"/>
                <w:color w:val="auto"/>
                <w:vertAlign w:val="superscript"/>
              </w:rPr>
              <w:t>(8)</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03/01/2030</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1,454</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PlayPower, Inc.</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08/28/2030</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Manufacturing/Basic Industry</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9.85 %</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SOFR+525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12,000</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11,912</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11,820</w:t>
            </w: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PlayPower, Inc. - Unfunded Revolver </w:t>
            </w:r>
            <w:r>
              <w:rPr>
                <w:rFonts w:ascii="Times New Roman" w:cs="Times New Roman" w:eastAsia="Times New Roman" w:hAnsi="Times New Roman"/>
                <w:sz w:val="12"/>
                <w:szCs w:val="12"/>
                <w:color w:val="auto"/>
                <w:vertAlign w:val="superscript"/>
              </w:rPr>
              <w:t>(8)</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08/28/2030</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Manufacturing/Basic Industry</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2,570</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(39 )</w:t>
            </w: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PL Acquisitionco, LLC - Revolver </w:t>
            </w:r>
            <w:r>
              <w:rPr>
                <w:rFonts w:ascii="Times New Roman" w:cs="Times New Roman" w:eastAsia="Times New Roman" w:hAnsi="Times New Roman"/>
                <w:sz w:val="12"/>
                <w:szCs w:val="12"/>
                <w:color w:val="auto"/>
                <w:vertAlign w:val="superscript"/>
              </w:rPr>
              <w:t>(8)</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11/09/2027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1"/>
              </w:rPr>
              <w:t>Retail</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3,236</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(647 )</w:t>
            </w: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Pragmatic Institute, LLC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07/06/2028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12.09 %</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SOFR+750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37,241</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36,054</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22,810</w:t>
            </w:r>
          </w:p>
        </w:tc>
      </w:tr>
      <w:tr>
        <w:trPr>
          <w:trHeight w:val="120"/>
        </w:trPr>
        <w:tc>
          <w:tcPr>
            <w:tcW w:w="328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2060" w:type="dxa"/>
            <w:vAlign w:val="bottom"/>
            <w:shd w:val="clear" w:color="auto" w:fill="CCECFF"/>
          </w:tcPr>
          <w:p>
            <w:pPr>
              <w:spacing w:after="0"/>
              <w:rPr>
                <w:sz w:val="10"/>
                <w:szCs w:val="10"/>
                <w:color w:val="auto"/>
              </w:rPr>
            </w:pP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12.09%)</w:t>
            </w:r>
          </w:p>
        </w:tc>
        <w:tc>
          <w:tcPr>
            <w:tcW w:w="8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1"/>
        </w:trPr>
        <w:tc>
          <w:tcPr>
            <w:tcW w:w="3280" w:type="dxa"/>
            <w:vAlign w:val="bottom"/>
          </w:tcPr>
          <w:p>
            <w:pPr>
              <w:ind w:left="20"/>
              <w:spacing w:after="0" w:line="121" w:lineRule="exact"/>
              <w:rPr>
                <w:sz w:val="20"/>
                <w:szCs w:val="20"/>
                <w:color w:val="auto"/>
              </w:rPr>
            </w:pPr>
            <w:r>
              <w:rPr>
                <w:rFonts w:ascii="Times New Roman" w:cs="Times New Roman" w:eastAsia="Times New Roman" w:hAnsi="Times New Roman"/>
                <w:sz w:val="10"/>
                <w:szCs w:val="10"/>
                <w:color w:val="auto"/>
              </w:rPr>
              <w:t xml:space="preserve">Pragmatic Institute, LLC - Revolver </w:t>
            </w:r>
            <w:r>
              <w:rPr>
                <w:rFonts w:ascii="Times New Roman" w:cs="Times New Roman" w:eastAsia="Times New Roman" w:hAnsi="Times New Roman"/>
                <w:sz w:val="12"/>
                <w:szCs w:val="12"/>
                <w:color w:val="auto"/>
                <w:vertAlign w:val="superscript"/>
              </w:rPr>
              <w:t>(7)</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07/06/2028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12.09 %</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SOFR+750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5,154</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5,041</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3,157</w:t>
            </w:r>
          </w:p>
        </w:tc>
      </w:tr>
      <w:tr>
        <w:trPr>
          <w:trHeight w:val="120"/>
        </w:trPr>
        <w:tc>
          <w:tcPr>
            <w:tcW w:w="3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(PIK 12.09%)</w:t>
            </w:r>
          </w:p>
        </w:tc>
        <w:tc>
          <w:tcPr>
            <w:tcW w:w="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11/19/2026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10.95 %</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SOFR+635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1,468</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1,461</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1,461</w:t>
            </w: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Quantic Electronics, LLC - Funded Revolver</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08/17/2026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10.95 %</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SOFR+635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264</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264</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263</w:t>
            </w: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Quantic Electronics, LLC - Unfunded Revolver </w:t>
            </w:r>
            <w:r>
              <w:rPr>
                <w:rFonts w:ascii="Times New Roman" w:cs="Times New Roman" w:eastAsia="Times New Roman" w:hAnsi="Times New Roman"/>
                <w:sz w:val="12"/>
                <w:szCs w:val="12"/>
                <w:color w:val="auto"/>
                <w:vertAlign w:val="superscript"/>
              </w:rPr>
              <w:t>(8)</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08/17/2026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264</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(1 )</w:t>
            </w: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Radius Aerospace, Inc. - Revolver</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03/31/2025</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11.10 %</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SOFR+615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817</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817</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800</w:t>
            </w: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Radius Aerospace, Inc. - Unfunded Revolver </w:t>
            </w:r>
            <w:r>
              <w:rPr>
                <w:rFonts w:ascii="Times New Roman" w:cs="Times New Roman" w:eastAsia="Times New Roman" w:hAnsi="Times New Roman"/>
                <w:sz w:val="12"/>
                <w:szCs w:val="12"/>
                <w:color w:val="auto"/>
                <w:vertAlign w:val="superscript"/>
              </w:rPr>
              <w:t>(8)</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03/31/2025</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1,411</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(28 )</w:t>
            </w:r>
          </w:p>
        </w:tc>
      </w:tr>
      <w:tr>
        <w:trPr>
          <w:trHeight w:val="120"/>
        </w:trPr>
        <w:tc>
          <w:tcPr>
            <w:tcW w:w="3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12/18/2025</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10.90 %</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SOFR+560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360</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360</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360</w:t>
            </w: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Rancho Health MSO, Inc. - Unfunded Term Loan </w:t>
            </w:r>
            <w:r>
              <w:rPr>
                <w:rFonts w:ascii="Times New Roman" w:cs="Times New Roman" w:eastAsia="Times New Roman" w:hAnsi="Times New Roman"/>
                <w:sz w:val="12"/>
                <w:szCs w:val="12"/>
                <w:color w:val="auto"/>
                <w:vertAlign w:val="superscript"/>
              </w:rPr>
              <w:t>(8)</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12/18/2025</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210</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Rancho Health MSO, Inc. - Unfunded Term Loan 2 </w:t>
            </w:r>
            <w:r>
              <w:rPr>
                <w:rFonts w:ascii="Times New Roman" w:cs="Times New Roman" w:eastAsia="Times New Roman" w:hAnsi="Times New Roman"/>
                <w:sz w:val="12"/>
                <w:szCs w:val="12"/>
                <w:color w:val="auto"/>
                <w:vertAlign w:val="superscript"/>
              </w:rPr>
              <w:t>(8)</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06/30/2025</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1,500</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w:t>
            </w:r>
          </w:p>
        </w:tc>
      </w:tr>
      <w:tr>
        <w:trPr>
          <w:trHeight w:val="168"/>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Rancho Health MSO, Inc. - Revolver</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12/18/2025</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60" w:type="dxa"/>
            <w:vAlign w:val="bottom"/>
          </w:tcPr>
          <w:p>
            <w:pPr>
              <w:jc w:val="right"/>
              <w:ind w:right="32"/>
              <w:spacing w:after="0" w:line="168" w:lineRule="exact"/>
              <w:rPr>
                <w:sz w:val="20"/>
                <w:szCs w:val="20"/>
                <w:color w:val="auto"/>
              </w:rPr>
            </w:pPr>
            <w:r>
              <w:rPr>
                <w:rFonts w:ascii="Times New Roman" w:cs="Times New Roman" w:eastAsia="Times New Roman" w:hAnsi="Times New Roman"/>
                <w:sz w:val="10"/>
                <w:szCs w:val="10"/>
                <w:color w:val="auto"/>
              </w:rPr>
              <w:t xml:space="preserve">10.93 </w:t>
            </w:r>
            <w:r>
              <w:rPr>
                <w:rFonts w:ascii="Times New Roman" w:cs="Times New Roman" w:eastAsia="Times New Roman" w:hAnsi="Times New Roman"/>
                <w:sz w:val="19"/>
                <w:szCs w:val="19"/>
                <w:color w:val="auto"/>
                <w:vertAlign w:val="superscript"/>
              </w:rPr>
              <w:t>%</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SOFR+560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210</w:t>
            </w:r>
          </w:p>
        </w:tc>
        <w:tc>
          <w:tcPr>
            <w:tcW w:w="220" w:type="dxa"/>
            <w:vAlign w:val="bottom"/>
          </w:tcPr>
          <w:p>
            <w:pPr>
              <w:spacing w:after="0"/>
              <w:rPr>
                <w:sz w:val="14"/>
                <w:szCs w:val="14"/>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210</w:t>
            </w:r>
          </w:p>
        </w:tc>
        <w:tc>
          <w:tcPr>
            <w:tcW w:w="260" w:type="dxa"/>
            <w:vAlign w:val="bottom"/>
          </w:tcPr>
          <w:p>
            <w:pPr>
              <w:spacing w:after="0"/>
              <w:rPr>
                <w:sz w:val="14"/>
                <w:szCs w:val="14"/>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210</w:t>
            </w: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Rancho Health MSO, Inc. - Unfunded Revolver </w:t>
            </w:r>
            <w:r>
              <w:rPr>
                <w:rFonts w:ascii="Times New Roman" w:cs="Times New Roman" w:eastAsia="Times New Roman" w:hAnsi="Times New Roman"/>
                <w:sz w:val="12"/>
                <w:szCs w:val="12"/>
                <w:color w:val="auto"/>
                <w:vertAlign w:val="superscript"/>
              </w:rPr>
              <w:t>(8)</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12/18/2025</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315</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02/28/2028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Transportation</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10.75 %</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SOFR+615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10,763</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9,638</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8,072</w:t>
            </w: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Recteq, LLC - Revolver </w:t>
            </w:r>
            <w:r>
              <w:rPr>
                <w:rFonts w:ascii="Times New Roman" w:cs="Times New Roman" w:eastAsia="Times New Roman" w:hAnsi="Times New Roman"/>
                <w:sz w:val="12"/>
                <w:szCs w:val="12"/>
                <w:color w:val="auto"/>
                <w:vertAlign w:val="superscript"/>
              </w:rPr>
              <w:t>(8)</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01/29/2026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1,127</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(11 )</w:t>
            </w: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Riverpoint Medical, LLC - Revolver</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06/20/2025</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10.10 %</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SOFR+535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53</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53</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53</w:t>
            </w: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Riverpoint Medical, LLC - Unfunded Revolver </w:t>
            </w:r>
            <w:r>
              <w:rPr>
                <w:rFonts w:ascii="Times New Roman" w:cs="Times New Roman" w:eastAsia="Times New Roman" w:hAnsi="Times New Roman"/>
                <w:sz w:val="12"/>
                <w:szCs w:val="12"/>
                <w:color w:val="auto"/>
                <w:vertAlign w:val="superscript"/>
              </w:rPr>
              <w:t>(8)</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06/20/2025</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310</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RRA Corporate, LLC</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08/15/2029</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9.60 %</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SOFR+500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4,000</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3,960</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3,960</w:t>
            </w: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RRA Corporate, LLC - Unfunded Term Loan 1 </w:t>
            </w:r>
            <w:r>
              <w:rPr>
                <w:rFonts w:ascii="Times New Roman" w:cs="Times New Roman" w:eastAsia="Times New Roman" w:hAnsi="Times New Roman"/>
                <w:sz w:val="12"/>
                <w:szCs w:val="12"/>
                <w:color w:val="auto"/>
                <w:vertAlign w:val="superscript"/>
              </w:rPr>
              <w:t>(8)</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02/15/2025</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5,394</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RRA Corporate, LLC - Unfunded Term Loan 2 </w:t>
            </w:r>
            <w:r>
              <w:rPr>
                <w:rFonts w:ascii="Times New Roman" w:cs="Times New Roman" w:eastAsia="Times New Roman" w:hAnsi="Times New Roman"/>
                <w:sz w:val="12"/>
                <w:szCs w:val="12"/>
                <w:color w:val="auto"/>
                <w:vertAlign w:val="superscript"/>
              </w:rPr>
              <w:t>(8)</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08/15/2026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10,181</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RRA Corporate, LLC - Funded Revolver</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08/15/2029</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9.60 %</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SOFR+500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661</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661</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655</w:t>
            </w: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RRA Corporate, LLC - Unfunded Revolver </w:t>
            </w:r>
            <w:r>
              <w:rPr>
                <w:rFonts w:ascii="Times New Roman" w:cs="Times New Roman" w:eastAsia="Times New Roman" w:hAnsi="Times New Roman"/>
                <w:sz w:val="12"/>
                <w:szCs w:val="12"/>
                <w:color w:val="auto"/>
                <w:vertAlign w:val="superscript"/>
              </w:rPr>
              <w:t>(8)</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08/15/2029</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2,487</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(25 )</w:t>
            </w: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RTIC Subsidiary Holdings, LLC</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05/03/2029</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10.35 %</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SOFR+575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9,975</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9,827</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9,776</w:t>
            </w: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RTIC Subsidiary Holdings, LLC - Unfunded Revolver </w:t>
            </w:r>
            <w:r>
              <w:rPr>
                <w:rFonts w:ascii="Times New Roman" w:cs="Times New Roman" w:eastAsia="Times New Roman" w:hAnsi="Times New Roman"/>
                <w:sz w:val="12"/>
                <w:szCs w:val="12"/>
                <w:color w:val="auto"/>
                <w:vertAlign w:val="superscript"/>
              </w:rPr>
              <w:t>(8)</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05/03/2029</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5,422</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(108 )</w:t>
            </w: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Rural Sourcing Holdings, Inc.</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06/15/2029</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10.35 %</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SOFR+575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1,140</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1,124</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1,126</w:t>
            </w: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Rural Sourcing Holdings, Inc. - Unfunded Term Loan </w:t>
            </w:r>
            <w:r>
              <w:rPr>
                <w:rFonts w:ascii="Times New Roman" w:cs="Times New Roman" w:eastAsia="Times New Roman" w:hAnsi="Times New Roman"/>
                <w:sz w:val="12"/>
                <w:szCs w:val="12"/>
                <w:color w:val="auto"/>
                <w:vertAlign w:val="superscript"/>
              </w:rPr>
              <w:t>(8)</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06/27/2026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1,146</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(9 )</w:t>
            </w: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Rural Sourcing Holdings, Inc. - Revolver </w:t>
            </w:r>
            <w:r>
              <w:rPr>
                <w:rFonts w:ascii="Times New Roman" w:cs="Times New Roman" w:eastAsia="Times New Roman" w:hAnsi="Times New Roman"/>
                <w:sz w:val="12"/>
                <w:szCs w:val="12"/>
                <w:color w:val="auto"/>
                <w:vertAlign w:val="superscript"/>
              </w:rPr>
              <w:t>(8)</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06/15/2029</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860</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(11 )</w:t>
            </w:r>
          </w:p>
        </w:tc>
      </w:tr>
    </w:tbl>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3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2"/>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04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2"/>
              </w:rPr>
              <w:t>Maturity</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060" w:type="dxa"/>
            <w:vAlign w:val="bottom"/>
          </w:tcPr>
          <w:p>
            <w:pPr>
              <w:ind w:left="380"/>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80" w:type="dxa"/>
            <w:vAlign w:val="bottom"/>
          </w:tcPr>
          <w:p>
            <w:pPr>
              <w:jc w:val="center"/>
              <w:ind w:right="5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20" w:type="dxa"/>
            <w:vAlign w:val="bottom"/>
          </w:tcPr>
          <w:p>
            <w:pPr>
              <w:spacing w:after="0"/>
              <w:rPr>
                <w:sz w:val="10"/>
                <w:szCs w:val="10"/>
                <w:color w:val="auto"/>
              </w:rPr>
            </w:pPr>
          </w:p>
        </w:tc>
        <w:tc>
          <w:tcPr>
            <w:tcW w:w="52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4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(3)</w:t>
            </w: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S101 Holdings, Inc.</w:t>
            </w:r>
          </w:p>
        </w:tc>
        <w:tc>
          <w:tcPr>
            <w:tcW w:w="10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12/29/2026</w:t>
            </w: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11.48 %</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SOFR+615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355</w:t>
            </w:r>
          </w:p>
        </w:tc>
        <w:tc>
          <w:tcPr>
            <w:tcW w:w="2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351</w:t>
            </w:r>
          </w:p>
        </w:tc>
        <w:tc>
          <w:tcPr>
            <w:tcW w:w="2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351</w:t>
            </w: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S101 Holdings, Inc. - Unfunded Term Loan 2 </w:t>
            </w:r>
            <w:r>
              <w:rPr>
                <w:rFonts w:ascii="Times New Roman" w:cs="Times New Roman" w:eastAsia="Times New Roman" w:hAnsi="Times New Roman"/>
                <w:sz w:val="12"/>
                <w:szCs w:val="12"/>
                <w:color w:val="auto"/>
                <w:vertAlign w:val="superscript"/>
              </w:rPr>
              <w:t>(8)</w:t>
            </w:r>
          </w:p>
        </w:tc>
        <w:tc>
          <w:tcPr>
            <w:tcW w:w="10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12/15/2024</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4,955</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Safe Haven Defense US LLC - Term Loan</w:t>
            </w:r>
          </w:p>
        </w:tc>
        <w:tc>
          <w:tcPr>
            <w:tcW w:w="10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05/23/2029</w:t>
            </w: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Building Materials</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9.85 %</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SOFR+525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8,976</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8,843</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8,886</w:t>
            </w: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Safe Haven Defense US LLC - Unfunded Revolver </w:t>
            </w:r>
            <w:r>
              <w:rPr>
                <w:rFonts w:ascii="Times New Roman" w:cs="Times New Roman" w:eastAsia="Times New Roman" w:hAnsi="Times New Roman"/>
                <w:sz w:val="12"/>
                <w:szCs w:val="12"/>
                <w:color w:val="auto"/>
                <w:vertAlign w:val="superscript"/>
              </w:rPr>
              <w:t>(8)</w:t>
            </w:r>
          </w:p>
        </w:tc>
        <w:tc>
          <w:tcPr>
            <w:tcW w:w="10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05/23/2029</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Building Materials</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1,114</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(11 )</w:t>
            </w: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Sales Benchmark Index LLC - Revolver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01/03/2025</w:t>
            </w: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732</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280" w:type="dxa"/>
            <w:vAlign w:val="bottom"/>
          </w:tcPr>
          <w:p>
            <w:pPr>
              <w:ind w:left="20"/>
              <w:spacing w:after="0" w:line="121" w:lineRule="exact"/>
              <w:rPr>
                <w:sz w:val="20"/>
                <w:szCs w:val="20"/>
                <w:color w:val="auto"/>
              </w:rPr>
            </w:pPr>
            <w:r>
              <w:rPr>
                <w:rFonts w:ascii="Times New Roman" w:cs="Times New Roman" w:eastAsia="Times New Roman" w:hAnsi="Times New Roman"/>
                <w:sz w:val="10"/>
                <w:szCs w:val="10"/>
                <w:color w:val="auto"/>
              </w:rPr>
              <w:t xml:space="preserve">Sargent &amp; Greenleaf Inc. - Revolver </w:t>
            </w:r>
            <w:r>
              <w:rPr>
                <w:rFonts w:ascii="Times New Roman" w:cs="Times New Roman" w:eastAsia="Times New Roman" w:hAnsi="Times New Roman"/>
                <w:sz w:val="12"/>
                <w:szCs w:val="12"/>
                <w:color w:val="auto"/>
                <w:vertAlign w:val="superscript"/>
              </w:rPr>
              <w:t>(7)</w:t>
            </w:r>
          </w:p>
        </w:tc>
        <w:tc>
          <w:tcPr>
            <w:tcW w:w="10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12/20/2024</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11.87 %</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SOFR+660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610</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610</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610</w:t>
            </w:r>
          </w:p>
        </w:tc>
      </w:tr>
      <w:tr>
        <w:trPr>
          <w:trHeight w:val="120"/>
        </w:trPr>
        <w:tc>
          <w:tcPr>
            <w:tcW w:w="3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(PIK 1.00%)</w:t>
            </w:r>
          </w:p>
        </w:tc>
        <w:tc>
          <w:tcPr>
            <w:tcW w:w="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Sargent &amp; Greenleaf Inc. - Unfunded Revolver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12/20/2024</w:t>
            </w: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280" w:type="dxa"/>
            <w:vAlign w:val="bottom"/>
          </w:tcPr>
          <w:p>
            <w:pPr>
              <w:ind w:left="20"/>
              <w:spacing w:after="0" w:line="121" w:lineRule="exact"/>
              <w:rPr>
                <w:sz w:val="20"/>
                <w:szCs w:val="20"/>
                <w:color w:val="auto"/>
              </w:rPr>
            </w:pPr>
            <w:r>
              <w:rPr>
                <w:rFonts w:ascii="Times New Roman" w:cs="Times New Roman" w:eastAsia="Times New Roman" w:hAnsi="Times New Roman"/>
                <w:sz w:val="10"/>
                <w:szCs w:val="10"/>
                <w:color w:val="auto"/>
              </w:rPr>
              <w:t xml:space="preserve">Schlesinger Global, Inc. </w:t>
            </w:r>
            <w:r>
              <w:rPr>
                <w:rFonts w:ascii="Times New Roman" w:cs="Times New Roman" w:eastAsia="Times New Roman" w:hAnsi="Times New Roman"/>
                <w:sz w:val="12"/>
                <w:szCs w:val="12"/>
                <w:color w:val="auto"/>
                <w:vertAlign w:val="superscript"/>
              </w:rPr>
              <w:t>(7)</w:t>
            </w:r>
          </w:p>
        </w:tc>
        <w:tc>
          <w:tcPr>
            <w:tcW w:w="10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07/14/2025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7.60 %</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SOFR+275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4,870</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4,851</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4,748</w:t>
            </w:r>
          </w:p>
        </w:tc>
      </w:tr>
      <w:tr>
        <w:trPr>
          <w:trHeight w:val="120"/>
        </w:trPr>
        <w:tc>
          <w:tcPr>
            <w:tcW w:w="3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(PIK 5.60%)</w:t>
            </w:r>
          </w:p>
        </w:tc>
        <w:tc>
          <w:tcPr>
            <w:tcW w:w="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Schlesinger Global, Inc. - Revolver </w:t>
            </w:r>
            <w:r>
              <w:rPr>
                <w:rFonts w:ascii="Times New Roman" w:cs="Times New Roman" w:eastAsia="Times New Roman" w:hAnsi="Times New Roman"/>
                <w:sz w:val="12"/>
                <w:szCs w:val="12"/>
                <w:color w:val="auto"/>
                <w:vertAlign w:val="superscript"/>
              </w:rPr>
              <w:t>(7)</w:t>
            </w:r>
          </w:p>
        </w:tc>
        <w:tc>
          <w:tcPr>
            <w:tcW w:w="10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07/14/2025</w:t>
            </w: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7.60 %</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SOFR+275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32</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32</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w:t>
            </w:r>
          </w:p>
        </w:tc>
      </w:tr>
      <w:tr>
        <w:trPr>
          <w:trHeight w:val="120"/>
        </w:trPr>
        <w:tc>
          <w:tcPr>
            <w:tcW w:w="3280" w:type="dxa"/>
            <w:vAlign w:val="bottom"/>
            <w:shd w:val="clear" w:color="auto" w:fill="CCECFF"/>
          </w:tcPr>
          <w:p>
            <w:pPr>
              <w:spacing w:after="0"/>
              <w:rPr>
                <w:sz w:val="10"/>
                <w:szCs w:val="10"/>
                <w:color w:val="auto"/>
              </w:rPr>
            </w:pPr>
          </w:p>
        </w:tc>
        <w:tc>
          <w:tcPr>
            <w:tcW w:w="1040" w:type="dxa"/>
            <w:vAlign w:val="bottom"/>
            <w:shd w:val="clear" w:color="auto" w:fill="CCECFF"/>
          </w:tcPr>
          <w:p>
            <w:pPr>
              <w:spacing w:after="0"/>
              <w:rPr>
                <w:sz w:val="10"/>
                <w:szCs w:val="10"/>
                <w:color w:val="auto"/>
              </w:rPr>
            </w:pPr>
          </w:p>
        </w:tc>
        <w:tc>
          <w:tcPr>
            <w:tcW w:w="2040" w:type="dxa"/>
            <w:vAlign w:val="bottom"/>
            <w:shd w:val="clear" w:color="auto" w:fill="CCECFF"/>
          </w:tcPr>
          <w:p>
            <w:pPr>
              <w:spacing w:after="0"/>
              <w:rPr>
                <w:sz w:val="10"/>
                <w:szCs w:val="10"/>
                <w:color w:val="auto"/>
              </w:rPr>
            </w:pPr>
          </w:p>
        </w:tc>
        <w:tc>
          <w:tcPr>
            <w:tcW w:w="106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(PIK 5.60%)</w:t>
            </w:r>
          </w:p>
        </w:tc>
        <w:tc>
          <w:tcPr>
            <w:tcW w:w="8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Schlesinger Global, Inc. - Unfunded Revolver </w:t>
            </w:r>
            <w:r>
              <w:rPr>
                <w:rFonts w:ascii="Times New Roman" w:cs="Times New Roman" w:eastAsia="Times New Roman" w:hAnsi="Times New Roman"/>
                <w:sz w:val="12"/>
                <w:szCs w:val="12"/>
                <w:color w:val="auto"/>
                <w:vertAlign w:val="superscript"/>
              </w:rPr>
              <w:t>(8)</w:t>
            </w:r>
          </w:p>
        </w:tc>
        <w:tc>
          <w:tcPr>
            <w:tcW w:w="10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07/14/2025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10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06/13/2029</w:t>
            </w: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10.75 %</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SOFR+615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4,704</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4,650</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4,539</w:t>
            </w: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Seaway Buyer, LLC - Revolver</w:t>
            </w:r>
          </w:p>
        </w:tc>
        <w:tc>
          <w:tcPr>
            <w:tcW w:w="10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06/13/2029</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10.75 %</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SOFR+615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313</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313</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302</w:t>
            </w: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Seaway Buyer, LLC - Unfunded Revolver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06/13/2029</w:t>
            </w: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2,814</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(98 )</w:t>
            </w: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Shiftkey, LLC</w:t>
            </w:r>
          </w:p>
        </w:tc>
        <w:tc>
          <w:tcPr>
            <w:tcW w:w="10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06/21/2027</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10.62 %</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SOFR+601</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17,595</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17,478</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16,838</w:t>
            </w: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10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12/18/2027</w:t>
            </w: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Telecommunications</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11.50 %</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1M SOFR+690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25,785</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25,251</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25,528</w:t>
            </w: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Sigma Defense Systems, LLC - Unfunded Revolver </w:t>
            </w:r>
            <w:r>
              <w:rPr>
                <w:rFonts w:ascii="Times New Roman" w:cs="Times New Roman" w:eastAsia="Times New Roman" w:hAnsi="Times New Roman"/>
                <w:sz w:val="12"/>
                <w:szCs w:val="12"/>
                <w:color w:val="auto"/>
                <w:vertAlign w:val="superscript"/>
              </w:rPr>
              <w:t>(8)</w:t>
            </w:r>
          </w:p>
        </w:tc>
        <w:tc>
          <w:tcPr>
            <w:tcW w:w="10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12/18/2027</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Telecommunications</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3,685</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(37 )</w:t>
            </w: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Simplicity Financial Marketing Group Holdings Inc.</w:t>
            </w:r>
          </w:p>
        </w:tc>
        <w:tc>
          <w:tcPr>
            <w:tcW w:w="10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12/02/2026</w:t>
            </w: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10.88 %</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SOFR+640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4,065</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4,054</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4,106</w:t>
            </w: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Simplicity Financial Marketing Group Holdings Inc. - Unfunded Term Loan </w:t>
            </w:r>
            <w:r>
              <w:rPr>
                <w:rFonts w:ascii="Times New Roman" w:cs="Times New Roman" w:eastAsia="Times New Roman" w:hAnsi="Times New Roman"/>
                <w:sz w:val="12"/>
                <w:szCs w:val="12"/>
                <w:color w:val="auto"/>
                <w:vertAlign w:val="superscript"/>
              </w:rPr>
              <w:t>(8)</w:t>
            </w:r>
          </w:p>
        </w:tc>
        <w:tc>
          <w:tcPr>
            <w:tcW w:w="10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02/09/2026</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4,656</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w:t>
            </w: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Simplicity Financial Marketing Group Holdings Inc. - Unfunded Revolver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12/02/2026</w:t>
            </w: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1,043</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Smartronix, LLC - Unfunded Revolver </w:t>
            </w:r>
            <w:r>
              <w:rPr>
                <w:rFonts w:ascii="Times New Roman" w:cs="Times New Roman" w:eastAsia="Times New Roman" w:hAnsi="Times New Roman"/>
                <w:sz w:val="12"/>
                <w:szCs w:val="12"/>
                <w:color w:val="auto"/>
                <w:vertAlign w:val="superscript"/>
              </w:rPr>
              <w:t>(8)</w:t>
            </w:r>
          </w:p>
        </w:tc>
        <w:tc>
          <w:tcPr>
            <w:tcW w:w="10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11/23/2027</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3,941</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Solutionreach, Inc. - Unfunded Revolver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07/17/2025</w:t>
            </w: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Communications</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833</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10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03/01/2028</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10.25 %</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SOFR+565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432</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430</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432</w:t>
            </w: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Spendmend Holdings LLC - Unfunded Term Loan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03/01/2025</w:t>
            </w: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2,348</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w:t>
            </w: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Spendmend Holdings LLC - Revolver</w:t>
            </w:r>
          </w:p>
        </w:tc>
        <w:tc>
          <w:tcPr>
            <w:tcW w:w="10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03/01/2028</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10.25 %</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SOFR+565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561</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561</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561</w:t>
            </w: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Spendmend Holdings LLC - Unfunded Revolver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03/01/2028</w:t>
            </w: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841</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w:t>
            </w:r>
          </w:p>
        </w:tc>
        <w:tc>
          <w:tcPr>
            <w:tcW w:w="10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08/16/2027</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10.26 %</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SOFR+585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1,283</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1,274</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1,280</w:t>
            </w: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System Planning and Analysis, Inc. - Unfunded Term Loan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08/16/2027</w:t>
            </w: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7,068</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w:t>
            </w: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 Funded Revolver</w:t>
            </w:r>
          </w:p>
        </w:tc>
        <w:tc>
          <w:tcPr>
            <w:tcW w:w="10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08/16/2027</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9.59 %</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SOFR+515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921</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921</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919</w:t>
            </w: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System Planning and Analysis, Inc. - Unfunded Revolver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08/16/2027</w:t>
            </w: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3,795</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(8 )</w:t>
            </w: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TCG 3.0 Jogger Acquisitionco, Inc.</w:t>
            </w:r>
          </w:p>
        </w:tc>
        <w:tc>
          <w:tcPr>
            <w:tcW w:w="10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01/26/2029</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11.10 %</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SOFR+650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8,955</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8,814</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8,865</w:t>
            </w: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TCG 3.0 Jogger Acquisitionco, Inc. - Unfunded Revolver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01/26/2029</w:t>
            </w: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1,725</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(17 )</w:t>
            </w: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The Bluebird Group LLC - Revolver </w:t>
            </w:r>
            <w:r>
              <w:rPr>
                <w:rFonts w:ascii="Times New Roman" w:cs="Times New Roman" w:eastAsia="Times New Roman" w:hAnsi="Times New Roman"/>
                <w:sz w:val="12"/>
                <w:szCs w:val="12"/>
                <w:color w:val="auto"/>
                <w:vertAlign w:val="superscript"/>
              </w:rPr>
              <w:t>(8)</w:t>
            </w:r>
          </w:p>
        </w:tc>
        <w:tc>
          <w:tcPr>
            <w:tcW w:w="10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07/27/2026</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734</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10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08/30/2027</w:t>
            </w: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11.27 %</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SOFR+635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184</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181</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185</w:t>
            </w: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Vertex Companies, LLC - Revolver</w:t>
            </w:r>
          </w:p>
        </w:tc>
        <w:tc>
          <w:tcPr>
            <w:tcW w:w="10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08/30/2027</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10.95 %</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SOFR+610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305</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305</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305</w:t>
            </w: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The Vertex Companies, LLC - Unfunded Revolver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08/30/2027</w:t>
            </w: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435</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TPCN Midco, LLC</w:t>
            </w:r>
          </w:p>
        </w:tc>
        <w:tc>
          <w:tcPr>
            <w:tcW w:w="10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06/26/2029</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Conglomerate Service</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10.35 %</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SOFR+575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3,990</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3,931</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3,894</w:t>
            </w: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TPCN Midco, LLC - Unfunded Term Loan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06/26/2026</w:t>
            </w: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Conglomerate Service</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5,894</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(83 )</w:t>
            </w: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TPCN Midco, LLC - Unfunded Revolver </w:t>
            </w:r>
            <w:r>
              <w:rPr>
                <w:rFonts w:ascii="Times New Roman" w:cs="Times New Roman" w:eastAsia="Times New Roman" w:hAnsi="Times New Roman"/>
                <w:sz w:val="12"/>
                <w:szCs w:val="12"/>
                <w:color w:val="auto"/>
                <w:vertAlign w:val="superscript"/>
              </w:rPr>
              <w:t>(8)</w:t>
            </w:r>
          </w:p>
        </w:tc>
        <w:tc>
          <w:tcPr>
            <w:tcW w:w="10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06/26/2029</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Conglomerate Service</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1,160</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(28 )</w:t>
            </w: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TransGo, LLC</w:t>
            </w:r>
          </w:p>
        </w:tc>
        <w:tc>
          <w:tcPr>
            <w:tcW w:w="10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12/29/2028</w:t>
            </w: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Machinery</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10.60 %</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SOFR+575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4,638</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4,573</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4,638</w:t>
            </w: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TransGo, LLC - Revolver </w:t>
            </w:r>
            <w:r>
              <w:rPr>
                <w:rFonts w:ascii="Times New Roman" w:cs="Times New Roman" w:eastAsia="Times New Roman" w:hAnsi="Times New Roman"/>
                <w:sz w:val="12"/>
                <w:szCs w:val="12"/>
                <w:color w:val="auto"/>
                <w:vertAlign w:val="superscript"/>
              </w:rPr>
              <w:t>(8)</w:t>
            </w:r>
          </w:p>
        </w:tc>
        <w:tc>
          <w:tcPr>
            <w:tcW w:w="10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12/29/2028</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Machinery</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2,775</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80" w:type="dxa"/>
            <w:vAlign w:val="bottom"/>
            <w:shd w:val="clear" w:color="auto" w:fill="CCECFF"/>
          </w:tcPr>
          <w:p>
            <w:pPr>
              <w:spacing w:after="0"/>
              <w:rPr>
                <w:sz w:val="10"/>
                <w:szCs w:val="10"/>
                <w:color w:val="auto"/>
              </w:rPr>
            </w:pPr>
          </w:p>
        </w:tc>
        <w:tc>
          <w:tcPr>
            <w:tcW w:w="1040" w:type="dxa"/>
            <w:vAlign w:val="bottom"/>
            <w:shd w:val="clear" w:color="auto" w:fill="CCECFF"/>
          </w:tcPr>
          <w:p>
            <w:pPr>
              <w:spacing w:after="0"/>
              <w:rPr>
                <w:sz w:val="10"/>
                <w:szCs w:val="10"/>
                <w:color w:val="auto"/>
              </w:rPr>
            </w:pPr>
          </w:p>
        </w:tc>
        <w:tc>
          <w:tcPr>
            <w:tcW w:w="204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10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06/16/2025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11.33 %</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SOFR+640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1,301</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1,299</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1,301</w:t>
            </w: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TWS Acquisition Corporation - Revolver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06/16/2025</w:t>
            </w:r>
          </w:p>
        </w:tc>
        <w:tc>
          <w:tcPr>
            <w:tcW w:w="2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1,644</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bl>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20"/>
        </w:trPr>
        <w:tc>
          <w:tcPr>
            <w:tcW w:w="3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6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22"/>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2"/>
              </w:rPr>
              <w:t>Maturity</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06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80" w:type="dxa"/>
            <w:vAlign w:val="bottom"/>
          </w:tcPr>
          <w:p>
            <w:pPr>
              <w:jc w:val="center"/>
              <w:ind w:right="5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20" w:type="dxa"/>
            <w:vAlign w:val="bottom"/>
          </w:tcPr>
          <w:p>
            <w:pPr>
              <w:spacing w:after="0"/>
              <w:rPr>
                <w:sz w:val="10"/>
                <w:szCs w:val="10"/>
                <w:color w:val="auto"/>
              </w:rPr>
            </w:pPr>
          </w:p>
        </w:tc>
        <w:tc>
          <w:tcPr>
            <w:tcW w:w="52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4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(3)</w:t>
            </w: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06/15/2027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10.66 %</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SOFR+550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576</w:t>
            </w:r>
          </w:p>
        </w:tc>
        <w:tc>
          <w:tcPr>
            <w:tcW w:w="2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573</w:t>
            </w:r>
          </w:p>
        </w:tc>
        <w:tc>
          <w:tcPr>
            <w:tcW w:w="2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570</w:t>
            </w: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Urology Management Holdings, Inc. - Unfunded Term Loan A </w:t>
            </w:r>
            <w:r>
              <w:rPr>
                <w:rFonts w:ascii="Times New Roman" w:cs="Times New Roman" w:eastAsia="Times New Roman" w:hAnsi="Times New Roman"/>
                <w:sz w:val="12"/>
                <w:szCs w:val="12"/>
                <w:color w:val="auto"/>
                <w:vertAlign w:val="superscript"/>
              </w:rPr>
              <w:t>(8)</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09/03/2026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2,000</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(10 )</w:t>
            </w: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Watchtower Intermediate, LLC</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12/01/2029</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10.60 %</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SOFR+600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7,301</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7,201</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7,228</w:t>
            </w: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Watchtower Intermediate, LLC. - Unfunded Term Loan </w:t>
            </w:r>
            <w:r>
              <w:rPr>
                <w:rFonts w:ascii="Times New Roman" w:cs="Times New Roman" w:eastAsia="Times New Roman" w:hAnsi="Times New Roman"/>
                <w:sz w:val="12"/>
                <w:szCs w:val="12"/>
                <w:color w:val="auto"/>
                <w:vertAlign w:val="superscript"/>
              </w:rPr>
              <w:t>(8)</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12/01/2025</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2,100</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w:t>
            </w: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Watchtower Intermediate, LLC. - Revolver </w:t>
            </w:r>
            <w:r>
              <w:rPr>
                <w:rFonts w:ascii="Times New Roman" w:cs="Times New Roman" w:eastAsia="Times New Roman" w:hAnsi="Times New Roman"/>
                <w:sz w:val="12"/>
                <w:szCs w:val="12"/>
                <w:color w:val="auto"/>
                <w:vertAlign w:val="superscript"/>
              </w:rPr>
              <w:t>(8)</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12/01/2029</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6,300</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(63 )</w:t>
            </w: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02/27/2027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10.60 %</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SOFR+575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4,585</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4,551</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4,585</w:t>
            </w: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Wildcat Buyerco, Inc. - Unfunded Term Loan </w:t>
            </w:r>
            <w:r>
              <w:rPr>
                <w:rFonts w:ascii="Times New Roman" w:cs="Times New Roman" w:eastAsia="Times New Roman" w:hAnsi="Times New Roman"/>
                <w:sz w:val="12"/>
                <w:szCs w:val="12"/>
                <w:color w:val="auto"/>
                <w:vertAlign w:val="superscript"/>
              </w:rPr>
              <w:t>(8)</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02/27/2027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2,737</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w:t>
            </w: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Wildcat Buyerco, Inc. - Revolver </w:t>
            </w:r>
            <w:r>
              <w:rPr>
                <w:rFonts w:ascii="Times New Roman" w:cs="Times New Roman" w:eastAsia="Times New Roman" w:hAnsi="Times New Roman"/>
                <w:sz w:val="12"/>
                <w:szCs w:val="12"/>
                <w:color w:val="auto"/>
                <w:vertAlign w:val="superscript"/>
              </w:rPr>
              <w:t>(8)</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02/27/2027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551</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Zips Car Wash, LLC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12/31/2024</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12.46 %</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SOFR+740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2,590</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2,586</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2,473</w:t>
            </w:r>
          </w:p>
        </w:tc>
      </w:tr>
      <w:tr>
        <w:trPr>
          <w:trHeight w:val="120"/>
        </w:trPr>
        <w:tc>
          <w:tcPr>
            <w:tcW w:w="328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2060" w:type="dxa"/>
            <w:vAlign w:val="bottom"/>
            <w:shd w:val="clear" w:color="auto" w:fill="CCECFF"/>
          </w:tcPr>
          <w:p>
            <w:pPr>
              <w:spacing w:after="0"/>
              <w:rPr>
                <w:sz w:val="10"/>
                <w:szCs w:val="10"/>
                <w:color w:val="auto"/>
              </w:rPr>
            </w:pP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1.5%)</w:t>
            </w:r>
          </w:p>
        </w:tc>
        <w:tc>
          <w:tcPr>
            <w:tcW w:w="8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10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579,813</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557,686</w:t>
            </w: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Second Lien Secured Debt - 13.6% of Net Assets</w:t>
            </w:r>
          </w:p>
        </w:tc>
        <w:tc>
          <w:tcPr>
            <w:tcW w:w="1020" w:type="dxa"/>
            <w:vAlign w:val="bottom"/>
            <w:shd w:val="clear" w:color="auto" w:fill="CCECFF"/>
          </w:tcPr>
          <w:p>
            <w:pPr>
              <w:spacing w:after="0"/>
              <w:rPr>
                <w:sz w:val="10"/>
                <w:szCs w:val="10"/>
                <w:color w:val="auto"/>
              </w:rPr>
            </w:pPr>
          </w:p>
        </w:tc>
        <w:tc>
          <w:tcPr>
            <w:tcW w:w="206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Best Practice Associates LLC</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06/29/2027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13.95 %</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SOFR+915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17,825</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17,606</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17,647</w:t>
            </w: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07/28/2030</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14.19 %</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SOFR+910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8,000</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7,698</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8,000</w:t>
            </w: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ENC Parent Corporation - Second Lien</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08/19/2029</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12.37 %</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SOFR+776</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7,500</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7,444</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6,225</w:t>
            </w: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Halo Buyer, Inc.</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07/06/2026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13.20 %</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1M SOFR+835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32,500</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32,299</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31,931</w:t>
            </w: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12/18/2028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14.51 %</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SOFR+926</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3,429</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3,422</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3,377</w:t>
            </w: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Second Lien Secured Debt</w:t>
            </w:r>
          </w:p>
        </w:tc>
        <w:tc>
          <w:tcPr>
            <w:tcW w:w="1020" w:type="dxa"/>
            <w:vAlign w:val="bottom"/>
            <w:shd w:val="clear" w:color="auto" w:fill="CCECFF"/>
          </w:tcPr>
          <w:p>
            <w:pPr>
              <w:spacing w:after="0"/>
              <w:rPr>
                <w:sz w:val="10"/>
                <w:szCs w:val="10"/>
                <w:color w:val="auto"/>
              </w:rPr>
            </w:pPr>
          </w:p>
        </w:tc>
        <w:tc>
          <w:tcPr>
            <w:tcW w:w="206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68,469</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67,180</w:t>
            </w: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Subordinate Debt/Corporate Notes - 8.8% of Net Assets</w:t>
            </w:r>
          </w:p>
        </w:tc>
        <w:tc>
          <w:tcPr>
            <w:tcW w:w="10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Beacon Behavioral Holdings LLC</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06/21/2030</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15.00 %</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3,235</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3,189</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3,187</w:t>
            </w:r>
          </w:p>
        </w:tc>
      </w:tr>
      <w:tr>
        <w:trPr>
          <w:trHeight w:val="120"/>
        </w:trPr>
        <w:tc>
          <w:tcPr>
            <w:tcW w:w="328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2060" w:type="dxa"/>
            <w:vAlign w:val="bottom"/>
            <w:shd w:val="clear" w:color="auto" w:fill="CCECFF"/>
          </w:tcPr>
          <w:p>
            <w:pPr>
              <w:spacing w:after="0"/>
              <w:rPr>
                <w:sz w:val="10"/>
                <w:szCs w:val="10"/>
                <w:color w:val="auto"/>
              </w:rPr>
            </w:pP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15.00%)</w:t>
            </w:r>
          </w:p>
        </w:tc>
        <w:tc>
          <w:tcPr>
            <w:tcW w:w="8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r>
      <w:tr>
        <w:trPr>
          <w:trHeight w:val="121"/>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Express Wash Acquisition Company, LLC</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01/15/2029</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16.37 %</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3M SOFR+1226</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24,284</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23,710</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24,138</w:t>
            </w:r>
          </w:p>
        </w:tc>
      </w:tr>
      <w:tr>
        <w:trPr>
          <w:trHeight w:val="120"/>
        </w:trPr>
        <w:tc>
          <w:tcPr>
            <w:tcW w:w="3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(PIK 16.37%)</w:t>
            </w:r>
          </w:p>
        </w:tc>
        <w:tc>
          <w:tcPr>
            <w:tcW w:w="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Northwinds Topco, Inc.</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10/30/2029</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Consumer Services</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15.00 %</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7,123</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7,020</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6,944</w:t>
            </w:r>
          </w:p>
        </w:tc>
      </w:tr>
      <w:tr>
        <w:trPr>
          <w:trHeight w:val="120"/>
        </w:trPr>
        <w:tc>
          <w:tcPr>
            <w:tcW w:w="328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2060" w:type="dxa"/>
            <w:vAlign w:val="bottom"/>
            <w:shd w:val="clear" w:color="auto" w:fill="CCECFF"/>
          </w:tcPr>
          <w:p>
            <w:pPr>
              <w:spacing w:after="0"/>
              <w:rPr>
                <w:sz w:val="10"/>
                <w:szCs w:val="10"/>
                <w:color w:val="auto"/>
              </w:rPr>
            </w:pP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15.00%)</w:t>
            </w:r>
          </w:p>
        </w:tc>
        <w:tc>
          <w:tcPr>
            <w:tcW w:w="8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Northwinds Topco, Inc. - Unfunded Term Loan </w:t>
            </w:r>
            <w:r>
              <w:rPr>
                <w:rFonts w:ascii="Times New Roman" w:cs="Times New Roman" w:eastAsia="Times New Roman" w:hAnsi="Times New Roman"/>
                <w:sz w:val="12"/>
                <w:szCs w:val="12"/>
                <w:color w:val="auto"/>
                <w:vertAlign w:val="superscript"/>
              </w:rPr>
              <w:t>(8)</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10/30/2029</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Services</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7,000</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(175 )</w:t>
            </w: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ORL Holdco, Inc. - Convertible Notes</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03/08/2028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18.00 %</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w:t>
            </w: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ORL Holdco, Inc. - Unfunded Convertible Notes </w:t>
            </w:r>
            <w:r>
              <w:rPr>
                <w:rFonts w:ascii="Times New Roman" w:cs="Times New Roman" w:eastAsia="Times New Roman" w:hAnsi="Times New Roman"/>
                <w:sz w:val="12"/>
                <w:szCs w:val="12"/>
                <w:color w:val="auto"/>
                <w:vertAlign w:val="superscript"/>
              </w:rPr>
              <w:t>(8)</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03/08/2028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(2 )</w:t>
            </w: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Schlesinger Global, LLC - Promissory Note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01/08/2026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12.33 %</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SOFR+700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w:t>
            </w:r>
          </w:p>
        </w:tc>
      </w:tr>
      <w:tr>
        <w:trPr>
          <w:trHeight w:val="120"/>
        </w:trPr>
        <w:tc>
          <w:tcPr>
            <w:tcW w:w="328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2060" w:type="dxa"/>
            <w:vAlign w:val="bottom"/>
            <w:shd w:val="clear" w:color="auto" w:fill="CCECFF"/>
          </w:tcPr>
          <w:p>
            <w:pPr>
              <w:spacing w:after="0"/>
              <w:rPr>
                <w:sz w:val="10"/>
                <w:szCs w:val="10"/>
                <w:color w:val="auto"/>
              </w:rPr>
            </w:pP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11.85%)</w:t>
            </w:r>
          </w:p>
        </w:tc>
        <w:tc>
          <w:tcPr>
            <w:tcW w:w="8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StoicLane, Inc. - Convertible Notes</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08/15/2027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12.00 %</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612</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612</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612</w:t>
            </w: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StoicLane, Inc. - Unfunded Convertible Notes </w:t>
            </w:r>
            <w:r>
              <w:rPr>
                <w:rFonts w:ascii="Times New Roman" w:cs="Times New Roman" w:eastAsia="Times New Roman" w:hAnsi="Times New Roman"/>
                <w:sz w:val="12"/>
                <w:szCs w:val="12"/>
                <w:color w:val="auto"/>
                <w:vertAlign w:val="superscript"/>
              </w:rPr>
              <w:t>(8)</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08/15/2027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612</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United Land Services Intermediate Parent Holdings, LLC</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12/23/2026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14.25 %</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9,300</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9,120</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9,021</w:t>
            </w:r>
          </w:p>
        </w:tc>
      </w:tr>
      <w:tr>
        <w:trPr>
          <w:trHeight w:val="120"/>
        </w:trPr>
        <w:tc>
          <w:tcPr>
            <w:tcW w:w="3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(PIK 14.25%)</w:t>
            </w:r>
          </w:p>
        </w:tc>
        <w:tc>
          <w:tcPr>
            <w:tcW w:w="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w w:val="95"/>
              </w:rPr>
              <w:t xml:space="preserve">United Land Services Intermediate Parent Holdings, LLC - Unfunded Term Loan </w:t>
            </w:r>
            <w:r>
              <w:rPr>
                <w:rFonts w:ascii="Times New Roman" w:cs="Times New Roman" w:eastAsia="Times New Roman" w:hAnsi="Times New Roman"/>
                <w:sz w:val="12"/>
                <w:szCs w:val="12"/>
                <w:color w:val="auto"/>
                <w:w w:val="95"/>
                <w:vertAlign w:val="superscript"/>
              </w:rPr>
              <w:t>(8)</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07/12/2025</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9,000</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(135 )</w:t>
            </w: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Subordinate Debt</w:t>
            </w:r>
          </w:p>
        </w:tc>
        <w:tc>
          <w:tcPr>
            <w:tcW w:w="10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43,658</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43,597</w:t>
            </w: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Preferred Equity/Partnership Interests - 3.5% of Net Assets </w:t>
            </w:r>
            <w:r>
              <w:rPr>
                <w:rFonts w:ascii="Times New Roman" w:cs="Times New Roman" w:eastAsia="Times New Roman" w:hAnsi="Times New Roman"/>
                <w:sz w:val="12"/>
                <w:szCs w:val="12"/>
                <w:b w:val="1"/>
                <w:bCs w:val="1"/>
                <w:color w:val="auto"/>
                <w:vertAlign w:val="superscript"/>
              </w:rPr>
              <w:t>(6)</w:t>
            </w:r>
          </w:p>
        </w:tc>
        <w:tc>
          <w:tcPr>
            <w:tcW w:w="1020" w:type="dxa"/>
            <w:vAlign w:val="bottom"/>
            <w:shd w:val="clear" w:color="auto" w:fill="CCECFF"/>
          </w:tcPr>
          <w:p>
            <w:pPr>
              <w:spacing w:after="0"/>
              <w:rPr>
                <w:sz w:val="10"/>
                <w:szCs w:val="10"/>
                <w:color w:val="auto"/>
              </w:rPr>
            </w:pPr>
          </w:p>
        </w:tc>
        <w:tc>
          <w:tcPr>
            <w:tcW w:w="206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Accounting Platform Blocker, Inc. - Preferred Equity</w:t>
            </w:r>
          </w:p>
        </w:tc>
        <w:tc>
          <w:tcPr>
            <w:tcW w:w="1020" w:type="dxa"/>
            <w:vAlign w:val="bottom"/>
          </w:tcPr>
          <w:p>
            <w:pPr>
              <w:spacing w:after="0"/>
              <w:rPr>
                <w:sz w:val="10"/>
                <w:szCs w:val="10"/>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356,200</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356</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356</w:t>
            </w: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Ad.net Holdings, Inc.</w:t>
            </w:r>
          </w:p>
        </w:tc>
        <w:tc>
          <w:tcPr>
            <w:tcW w:w="1020" w:type="dxa"/>
            <w:vAlign w:val="bottom"/>
            <w:shd w:val="clear" w:color="auto" w:fill="CCECFF"/>
          </w:tcPr>
          <w:p>
            <w:pPr>
              <w:spacing w:after="0"/>
              <w:rPr>
                <w:sz w:val="10"/>
                <w:szCs w:val="10"/>
                <w:color w:val="auto"/>
              </w:rPr>
            </w:pP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2,400</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240</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304</w:t>
            </w: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AFC Acquisitions, Inc. Preferred Equity </w:t>
            </w:r>
            <w:r>
              <w:rPr>
                <w:rFonts w:ascii="Times New Roman" w:cs="Times New Roman" w:eastAsia="Times New Roman" w:hAnsi="Times New Roman"/>
                <w:sz w:val="12"/>
                <w:szCs w:val="12"/>
                <w:color w:val="auto"/>
                <w:vertAlign w:val="superscript"/>
              </w:rPr>
              <w:t>(10)</w:t>
            </w:r>
          </w:p>
        </w:tc>
        <w:tc>
          <w:tcPr>
            <w:tcW w:w="1020" w:type="dxa"/>
            <w:vAlign w:val="bottom"/>
          </w:tcPr>
          <w:p>
            <w:pPr>
              <w:spacing w:after="0"/>
              <w:rPr>
                <w:sz w:val="10"/>
                <w:szCs w:val="10"/>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507</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780</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831</w:t>
            </w: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AH Newco Equityholdings, LLC</w:t>
            </w:r>
          </w:p>
        </w:tc>
        <w:tc>
          <w:tcPr>
            <w:tcW w:w="1020" w:type="dxa"/>
            <w:vAlign w:val="bottom"/>
            <w:shd w:val="clear" w:color="auto" w:fill="CCECFF"/>
          </w:tcPr>
          <w:p>
            <w:pPr>
              <w:spacing w:after="0"/>
              <w:rPr>
                <w:sz w:val="10"/>
                <w:szCs w:val="10"/>
                <w:color w:val="auto"/>
              </w:rPr>
            </w:pP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6.00 %</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211</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500</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896</w:t>
            </w: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Anteriad Holdings, LP (f/k/a MeritDirect Holdings, LP) </w:t>
            </w:r>
            <w:r>
              <w:rPr>
                <w:rFonts w:ascii="Times New Roman" w:cs="Times New Roman" w:eastAsia="Times New Roman" w:hAnsi="Times New Roman"/>
                <w:sz w:val="12"/>
                <w:szCs w:val="12"/>
                <w:color w:val="auto"/>
                <w:vertAlign w:val="superscript"/>
              </w:rPr>
              <w:t>(10)</w:t>
            </w:r>
          </w:p>
        </w:tc>
        <w:tc>
          <w:tcPr>
            <w:tcW w:w="1020" w:type="dxa"/>
            <w:vAlign w:val="bottom"/>
          </w:tcPr>
          <w:p>
            <w:pPr>
              <w:spacing w:after="0"/>
              <w:rPr>
                <w:sz w:val="10"/>
                <w:szCs w:val="10"/>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1,135</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1,135</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1,293</w:t>
            </w: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BioDerm Holdings, LP (Preferred)</w:t>
            </w:r>
          </w:p>
        </w:tc>
        <w:tc>
          <w:tcPr>
            <w:tcW w:w="1020" w:type="dxa"/>
            <w:vAlign w:val="bottom"/>
            <w:shd w:val="clear" w:color="auto" w:fill="CCECFF"/>
          </w:tcPr>
          <w:p>
            <w:pPr>
              <w:spacing w:after="0"/>
              <w:rPr>
                <w:sz w:val="10"/>
                <w:szCs w:val="10"/>
                <w:color w:val="auto"/>
              </w:rPr>
            </w:pP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1,312</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1,312</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1,178</w:t>
            </w: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Cartessa Aesthetics, LLC </w:t>
            </w:r>
            <w:r>
              <w:rPr>
                <w:rFonts w:ascii="Times New Roman" w:cs="Times New Roman" w:eastAsia="Times New Roman" w:hAnsi="Times New Roman"/>
                <w:sz w:val="12"/>
                <w:szCs w:val="12"/>
                <w:color w:val="auto"/>
                <w:vertAlign w:val="superscript"/>
              </w:rPr>
              <w:t>(10)</w:t>
            </w:r>
          </w:p>
        </w:tc>
        <w:tc>
          <w:tcPr>
            <w:tcW w:w="1020" w:type="dxa"/>
            <w:vAlign w:val="bottom"/>
          </w:tcPr>
          <w:p>
            <w:pPr>
              <w:spacing w:after="0"/>
              <w:rPr>
                <w:sz w:val="10"/>
                <w:szCs w:val="10"/>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3,562,500</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3,563</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6,343</w:t>
            </w: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C5MI Holdco, LLC - Preferred Equity </w:t>
            </w:r>
            <w:r>
              <w:rPr>
                <w:rFonts w:ascii="Times New Roman" w:cs="Times New Roman" w:eastAsia="Times New Roman" w:hAnsi="Times New Roman"/>
                <w:sz w:val="12"/>
                <w:szCs w:val="12"/>
                <w:color w:val="auto"/>
                <w:vertAlign w:val="superscript"/>
              </w:rPr>
              <w:t>(10)</w:t>
            </w:r>
          </w:p>
        </w:tc>
        <w:tc>
          <w:tcPr>
            <w:tcW w:w="1020" w:type="dxa"/>
            <w:vAlign w:val="bottom"/>
            <w:shd w:val="clear" w:color="auto" w:fill="CCECFF"/>
          </w:tcPr>
          <w:p>
            <w:pPr>
              <w:spacing w:after="0"/>
              <w:rPr>
                <w:sz w:val="10"/>
                <w:szCs w:val="10"/>
                <w:color w:val="auto"/>
              </w:rPr>
            </w:pP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104,000</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104</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106</w:t>
            </w: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Gauge Schlesinger Coinvest, LLC - Class A-2 Preferred Equity</w:t>
            </w:r>
          </w:p>
        </w:tc>
        <w:tc>
          <w:tcPr>
            <w:tcW w:w="1020" w:type="dxa"/>
            <w:vAlign w:val="bottom"/>
          </w:tcPr>
          <w:p>
            <w:pPr>
              <w:spacing w:after="0"/>
              <w:rPr>
                <w:sz w:val="10"/>
                <w:szCs w:val="10"/>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EvAL Home Health Solutions, LLC - Preferred Equity </w:t>
            </w:r>
            <w:r>
              <w:rPr>
                <w:rFonts w:ascii="Times New Roman" w:cs="Times New Roman" w:eastAsia="Times New Roman" w:hAnsi="Times New Roman"/>
                <w:sz w:val="12"/>
                <w:szCs w:val="12"/>
                <w:color w:val="auto"/>
                <w:vertAlign w:val="superscript"/>
              </w:rPr>
              <w:t>(10)</w:t>
            </w:r>
          </w:p>
        </w:tc>
        <w:tc>
          <w:tcPr>
            <w:tcW w:w="1020" w:type="dxa"/>
            <w:vAlign w:val="bottom"/>
            <w:shd w:val="clear" w:color="auto" w:fill="CCECFF"/>
          </w:tcPr>
          <w:p>
            <w:pPr>
              <w:spacing w:after="0"/>
              <w:rPr>
                <w:sz w:val="10"/>
                <w:szCs w:val="10"/>
                <w:color w:val="auto"/>
              </w:rPr>
            </w:pP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272,771</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453</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508</w:t>
            </w: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Hancock Claims Consultants Investors, LLC - Class A Preferred Equity </w:t>
            </w:r>
            <w:r>
              <w:rPr>
                <w:rFonts w:ascii="Times New Roman" w:cs="Times New Roman" w:eastAsia="Times New Roman" w:hAnsi="Times New Roman"/>
                <w:sz w:val="12"/>
                <w:szCs w:val="12"/>
                <w:color w:val="auto"/>
                <w:vertAlign w:val="superscript"/>
              </w:rPr>
              <w:t>(10)</w:t>
            </w:r>
          </w:p>
        </w:tc>
        <w:tc>
          <w:tcPr>
            <w:tcW w:w="1020" w:type="dxa"/>
            <w:vAlign w:val="bottom"/>
          </w:tcPr>
          <w:p>
            <w:pPr>
              <w:spacing w:after="0"/>
              <w:rPr>
                <w:sz w:val="10"/>
                <w:szCs w:val="10"/>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116,588</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76</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149</w:t>
            </w: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Imagine Topco, LP Preferred</w:t>
            </w:r>
          </w:p>
        </w:tc>
        <w:tc>
          <w:tcPr>
            <w:tcW w:w="1020" w:type="dxa"/>
            <w:vAlign w:val="bottom"/>
            <w:shd w:val="clear" w:color="auto" w:fill="CCECFF"/>
          </w:tcPr>
          <w:p>
            <w:pPr>
              <w:spacing w:after="0"/>
              <w:rPr>
                <w:sz w:val="10"/>
                <w:szCs w:val="10"/>
                <w:color w:val="auto"/>
              </w:rPr>
            </w:pP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8.00 %</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743,826</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744</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862</w:t>
            </w: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A Preferred Equity </w:t>
            </w:r>
            <w:r>
              <w:rPr>
                <w:rFonts w:ascii="Times New Roman" w:cs="Times New Roman" w:eastAsia="Times New Roman" w:hAnsi="Times New Roman"/>
                <w:sz w:val="12"/>
                <w:szCs w:val="12"/>
                <w:color w:val="auto"/>
                <w:vertAlign w:val="superscript"/>
              </w:rPr>
              <w:t>(10)</w:t>
            </w:r>
          </w:p>
        </w:tc>
        <w:tc>
          <w:tcPr>
            <w:tcW w:w="1020" w:type="dxa"/>
            <w:vAlign w:val="bottom"/>
          </w:tcPr>
          <w:p>
            <w:pPr>
              <w:spacing w:after="0"/>
              <w:rPr>
                <w:sz w:val="10"/>
                <w:szCs w:val="10"/>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1,545</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1,545</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1,592</w:t>
            </w: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B Preferred Equity </w:t>
            </w:r>
            <w:r>
              <w:rPr>
                <w:rFonts w:ascii="Times New Roman" w:cs="Times New Roman" w:eastAsia="Times New Roman" w:hAnsi="Times New Roman"/>
                <w:sz w:val="12"/>
                <w:szCs w:val="12"/>
                <w:color w:val="auto"/>
                <w:vertAlign w:val="superscript"/>
              </w:rPr>
              <w:t>(10)</w:t>
            </w:r>
          </w:p>
        </w:tc>
        <w:tc>
          <w:tcPr>
            <w:tcW w:w="1020" w:type="dxa"/>
            <w:vAlign w:val="bottom"/>
            <w:shd w:val="clear" w:color="auto" w:fill="CCECFF"/>
          </w:tcPr>
          <w:p>
            <w:pPr>
              <w:spacing w:after="0"/>
              <w:rPr>
                <w:sz w:val="10"/>
                <w:szCs w:val="10"/>
                <w:color w:val="auto"/>
              </w:rPr>
            </w:pP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1,018</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643</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Megawatt Acquisition Partners, LLC - Preferred A</w:t>
            </w:r>
          </w:p>
        </w:tc>
        <w:tc>
          <w:tcPr>
            <w:tcW w:w="1020" w:type="dxa"/>
            <w:vAlign w:val="bottom"/>
          </w:tcPr>
          <w:p>
            <w:pPr>
              <w:spacing w:after="0"/>
              <w:rPr>
                <w:sz w:val="10"/>
                <w:szCs w:val="10"/>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5,349</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535</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481</w:t>
            </w: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NXOF Holdings, Inc. (Tyto Athene, LLC)</w:t>
            </w:r>
          </w:p>
        </w:tc>
        <w:tc>
          <w:tcPr>
            <w:tcW w:w="1020" w:type="dxa"/>
            <w:vAlign w:val="bottom"/>
            <w:shd w:val="clear" w:color="auto" w:fill="CCECFF"/>
          </w:tcPr>
          <w:p>
            <w:pPr>
              <w:spacing w:after="0"/>
              <w:rPr>
                <w:sz w:val="10"/>
                <w:szCs w:val="10"/>
                <w:color w:val="auto"/>
              </w:rPr>
            </w:pP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422</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422</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572</w:t>
            </w:r>
          </w:p>
        </w:tc>
      </w:tr>
    </w:tbl>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280" w:type="dxa"/>
            <w:vAlign w:val="bottom"/>
          </w:tcPr>
          <w:p>
            <w:pPr>
              <w:spacing w:after="0"/>
              <w:rPr>
                <w:sz w:val="10"/>
                <w:szCs w:val="10"/>
                <w:color w:val="auto"/>
              </w:rPr>
            </w:pPr>
          </w:p>
        </w:tc>
        <w:tc>
          <w:tcPr>
            <w:tcW w:w="92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00" w:type="dxa"/>
            <w:vAlign w:val="bottom"/>
          </w:tcPr>
          <w:p>
            <w:pPr>
              <w:ind w:left="28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280" w:type="dxa"/>
            <w:vAlign w:val="bottom"/>
          </w:tcPr>
          <w:p>
            <w:pPr>
              <w:spacing w:after="0"/>
              <w:rPr>
                <w:sz w:val="10"/>
                <w:szCs w:val="10"/>
                <w:color w:val="auto"/>
              </w:rPr>
            </w:pPr>
          </w:p>
        </w:tc>
        <w:tc>
          <w:tcPr>
            <w:tcW w:w="920" w:type="dxa"/>
            <w:vAlign w:val="bottom"/>
          </w:tcPr>
          <w:p>
            <w:pPr>
              <w:jc w:val="center"/>
              <w:ind w:right="1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20" w:type="dxa"/>
            <w:vAlign w:val="bottom"/>
          </w:tcPr>
          <w:p>
            <w:pPr>
              <w:spacing w:after="0"/>
              <w:rPr>
                <w:sz w:val="10"/>
                <w:szCs w:val="10"/>
                <w:color w:val="auto"/>
              </w:rPr>
            </w:pPr>
          </w:p>
        </w:tc>
        <w:tc>
          <w:tcPr>
            <w:tcW w:w="52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4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(3)</w:t>
            </w:r>
          </w:p>
        </w:tc>
        <w:tc>
          <w:tcPr>
            <w:tcW w:w="0" w:type="dxa"/>
            <w:vAlign w:val="bottom"/>
          </w:tcPr>
          <w:p>
            <w:pPr>
              <w:spacing w:after="0"/>
              <w:rPr>
                <w:sz w:val="1"/>
                <w:szCs w:val="1"/>
                <w:color w:val="auto"/>
              </w:rPr>
            </w:pPr>
          </w:p>
        </w:tc>
      </w:tr>
      <w:tr>
        <w:trPr>
          <w:trHeight w:val="120"/>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ORL Holdco, Inc.</w:t>
            </w:r>
          </w:p>
        </w:tc>
        <w:tc>
          <w:tcPr>
            <w:tcW w:w="80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575</w:t>
            </w:r>
          </w:p>
        </w:tc>
        <w:tc>
          <w:tcPr>
            <w:tcW w:w="2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57</w:t>
            </w:r>
          </w:p>
        </w:tc>
        <w:tc>
          <w:tcPr>
            <w:tcW w:w="2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w:t>
            </w:r>
          </w:p>
        </w:tc>
        <w:tc>
          <w:tcPr>
            <w:tcW w:w="0" w:type="dxa"/>
            <w:vAlign w:val="bottom"/>
          </w:tcPr>
          <w:p>
            <w:pPr>
              <w:spacing w:after="0"/>
              <w:rPr>
                <w:sz w:val="1"/>
                <w:szCs w:val="1"/>
                <w:color w:val="auto"/>
              </w:rPr>
            </w:pPr>
          </w:p>
        </w:tc>
      </w:tr>
      <w:tr>
        <w:trPr>
          <w:trHeight w:val="120"/>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 Acquisitionco, LLC - Preferred Equity</w:t>
            </w:r>
          </w:p>
        </w:tc>
        <w:tc>
          <w:tcPr>
            <w:tcW w:w="800" w:type="dxa"/>
            <w:vAlign w:val="bottom"/>
          </w:tcPr>
          <w:p>
            <w:pPr>
              <w:spacing w:after="0"/>
              <w:rPr>
                <w:sz w:val="10"/>
                <w:szCs w:val="1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1"/>
              </w:rPr>
              <w:t>Retail</w:t>
            </w:r>
          </w:p>
        </w:tc>
        <w:tc>
          <w:tcPr>
            <w:tcW w:w="54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3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RTIC Parent Holdings, LLC - Class A Preferred Equity </w:t>
            </w:r>
            <w:r>
              <w:rPr>
                <w:rFonts w:ascii="Times New Roman" w:cs="Times New Roman" w:eastAsia="Times New Roman" w:hAnsi="Times New Roman"/>
                <w:sz w:val="12"/>
                <w:szCs w:val="12"/>
                <w:color w:val="auto"/>
                <w:vertAlign w:val="superscript"/>
              </w:rPr>
              <w:t>(10)</w:t>
            </w:r>
          </w:p>
        </w:tc>
        <w:tc>
          <w:tcPr>
            <w:tcW w:w="80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3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RTIC Parent Holdings, LLC - Class C Preferred Equity </w:t>
            </w:r>
            <w:r>
              <w:rPr>
                <w:rFonts w:ascii="Times New Roman" w:cs="Times New Roman" w:eastAsia="Times New Roman" w:hAnsi="Times New Roman"/>
                <w:sz w:val="12"/>
                <w:szCs w:val="12"/>
                <w:color w:val="auto"/>
                <w:vertAlign w:val="superscript"/>
              </w:rPr>
              <w:t>(10)</w:t>
            </w:r>
          </w:p>
        </w:tc>
        <w:tc>
          <w:tcPr>
            <w:tcW w:w="800" w:type="dxa"/>
            <w:vAlign w:val="bottom"/>
          </w:tcPr>
          <w:p>
            <w:pPr>
              <w:spacing w:after="0"/>
              <w:rPr>
                <w:sz w:val="10"/>
                <w:szCs w:val="1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54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10,624</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699</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1,138</w:t>
            </w:r>
          </w:p>
        </w:tc>
        <w:tc>
          <w:tcPr>
            <w:tcW w:w="0" w:type="dxa"/>
            <w:vAlign w:val="bottom"/>
          </w:tcPr>
          <w:p>
            <w:pPr>
              <w:spacing w:after="0"/>
              <w:rPr>
                <w:sz w:val="1"/>
                <w:szCs w:val="1"/>
                <w:color w:val="auto"/>
              </w:rPr>
            </w:pPr>
          </w:p>
        </w:tc>
      </w:tr>
      <w:tr>
        <w:trPr>
          <w:trHeight w:val="120"/>
        </w:trPr>
        <w:tc>
          <w:tcPr>
            <w:tcW w:w="33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RTIC Parent Holdings, LLC - Class D Preferred Equity </w:t>
            </w:r>
            <w:r>
              <w:rPr>
                <w:rFonts w:ascii="Times New Roman" w:cs="Times New Roman" w:eastAsia="Times New Roman" w:hAnsi="Times New Roman"/>
                <w:sz w:val="12"/>
                <w:szCs w:val="12"/>
                <w:color w:val="auto"/>
                <w:vertAlign w:val="superscript"/>
              </w:rPr>
              <w:t>(10)</w:t>
            </w:r>
          </w:p>
        </w:tc>
        <w:tc>
          <w:tcPr>
            <w:tcW w:w="80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11,276</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w:t>
            </w:r>
          </w:p>
        </w:tc>
        <w:tc>
          <w:tcPr>
            <w:tcW w:w="0" w:type="dxa"/>
            <w:vAlign w:val="bottom"/>
          </w:tcPr>
          <w:p>
            <w:pPr>
              <w:spacing w:after="0"/>
              <w:rPr>
                <w:sz w:val="1"/>
                <w:szCs w:val="1"/>
                <w:color w:val="auto"/>
              </w:rPr>
            </w:pPr>
          </w:p>
        </w:tc>
      </w:tr>
      <w:tr>
        <w:trPr>
          <w:trHeight w:val="120"/>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TPC Holding Company, LP</w:t>
            </w:r>
          </w:p>
        </w:tc>
        <w:tc>
          <w:tcPr>
            <w:tcW w:w="800" w:type="dxa"/>
            <w:vAlign w:val="bottom"/>
          </w:tcPr>
          <w:p>
            <w:pPr>
              <w:spacing w:after="0"/>
              <w:rPr>
                <w:sz w:val="10"/>
                <w:szCs w:val="1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Food</w:t>
            </w:r>
          </w:p>
        </w:tc>
        <w:tc>
          <w:tcPr>
            <w:tcW w:w="54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219</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219</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354</w:t>
            </w:r>
          </w:p>
        </w:tc>
        <w:tc>
          <w:tcPr>
            <w:tcW w:w="0" w:type="dxa"/>
            <w:vAlign w:val="bottom"/>
          </w:tcPr>
          <w:p>
            <w:pPr>
              <w:spacing w:after="0"/>
              <w:rPr>
                <w:sz w:val="1"/>
                <w:szCs w:val="1"/>
                <w:color w:val="auto"/>
              </w:rPr>
            </w:pPr>
          </w:p>
        </w:tc>
      </w:tr>
      <w:tr>
        <w:trPr>
          <w:trHeight w:val="120"/>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TWD Parent Holdings, LLC Preferred</w:t>
            </w:r>
          </w:p>
        </w:tc>
        <w:tc>
          <w:tcPr>
            <w:tcW w:w="80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30</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30</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w:t>
            </w:r>
          </w:p>
        </w:tc>
        <w:tc>
          <w:tcPr>
            <w:tcW w:w="0" w:type="dxa"/>
            <w:vAlign w:val="bottom"/>
          </w:tcPr>
          <w:p>
            <w:pPr>
              <w:spacing w:after="0"/>
              <w:rPr>
                <w:sz w:val="1"/>
                <w:szCs w:val="1"/>
                <w:color w:val="auto"/>
              </w:rPr>
            </w:pPr>
          </w:p>
        </w:tc>
      </w:tr>
      <w:tr>
        <w:trPr>
          <w:trHeight w:val="120"/>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Preferred Equity/Parnership Interests</w:t>
            </w:r>
          </w:p>
        </w:tc>
        <w:tc>
          <w:tcPr>
            <w:tcW w:w="8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13,569</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17,132</w:t>
            </w:r>
          </w:p>
        </w:tc>
        <w:tc>
          <w:tcPr>
            <w:tcW w:w="0" w:type="dxa"/>
            <w:vAlign w:val="bottom"/>
          </w:tcPr>
          <w:p>
            <w:pPr>
              <w:spacing w:after="0"/>
              <w:rPr>
                <w:sz w:val="1"/>
                <w:szCs w:val="1"/>
                <w:color w:val="auto"/>
              </w:rPr>
            </w:pPr>
          </w:p>
        </w:tc>
      </w:tr>
      <w:tr>
        <w:trPr>
          <w:trHeight w:val="120"/>
        </w:trPr>
        <w:tc>
          <w:tcPr>
            <w:tcW w:w="33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Common Equity/Partnership Interests/Warrants - 25.3% of Net Assets </w:t>
            </w:r>
            <w:r>
              <w:rPr>
                <w:rFonts w:ascii="Times New Roman" w:cs="Times New Roman" w:eastAsia="Times New Roman" w:hAnsi="Times New Roman"/>
                <w:sz w:val="12"/>
                <w:szCs w:val="12"/>
                <w:b w:val="1"/>
                <w:bCs w:val="1"/>
                <w:color w:val="auto"/>
                <w:vertAlign w:val="superscript"/>
              </w:rPr>
              <w:t>(6)</w:t>
            </w:r>
          </w:p>
        </w:tc>
        <w:tc>
          <w:tcPr>
            <w:tcW w:w="800" w:type="dxa"/>
            <w:vAlign w:val="bottom"/>
            <w:shd w:val="clear" w:color="auto" w:fill="CCECFF"/>
          </w:tcPr>
          <w:p>
            <w:pPr>
              <w:spacing w:after="0"/>
              <w:rPr>
                <w:sz w:val="10"/>
                <w:szCs w:val="10"/>
                <w:color w:val="auto"/>
              </w:rPr>
            </w:pPr>
          </w:p>
        </w:tc>
        <w:tc>
          <w:tcPr>
            <w:tcW w:w="246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3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A1 Garage Equity, LLC </w:t>
            </w:r>
            <w:r>
              <w:rPr>
                <w:rFonts w:ascii="Times New Roman" w:cs="Times New Roman" w:eastAsia="Times New Roman" w:hAnsi="Times New Roman"/>
                <w:sz w:val="12"/>
                <w:szCs w:val="12"/>
                <w:color w:val="auto"/>
                <w:vertAlign w:val="superscript"/>
              </w:rPr>
              <w:t>(10)</w:t>
            </w:r>
          </w:p>
        </w:tc>
        <w:tc>
          <w:tcPr>
            <w:tcW w:w="800" w:type="dxa"/>
            <w:vAlign w:val="bottom"/>
          </w:tcPr>
          <w:p>
            <w:pPr>
              <w:spacing w:after="0"/>
              <w:rPr>
                <w:sz w:val="10"/>
                <w:szCs w:val="1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54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2,193,038</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2,193</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2,767</w:t>
            </w:r>
          </w:p>
        </w:tc>
        <w:tc>
          <w:tcPr>
            <w:tcW w:w="0" w:type="dxa"/>
            <w:vAlign w:val="bottom"/>
          </w:tcPr>
          <w:p>
            <w:pPr>
              <w:spacing w:after="0"/>
              <w:rPr>
                <w:sz w:val="1"/>
                <w:szCs w:val="1"/>
                <w:color w:val="auto"/>
              </w:rPr>
            </w:pPr>
          </w:p>
        </w:tc>
      </w:tr>
      <w:tr>
        <w:trPr>
          <w:trHeight w:val="120"/>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ACP Big Top Holdings, L.P. - Common Equity</w:t>
            </w:r>
          </w:p>
        </w:tc>
        <w:tc>
          <w:tcPr>
            <w:tcW w:w="80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Manufacturing/Basic Industry</w:t>
            </w: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773,800</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774</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932</w:t>
            </w:r>
          </w:p>
        </w:tc>
        <w:tc>
          <w:tcPr>
            <w:tcW w:w="0" w:type="dxa"/>
            <w:vAlign w:val="bottom"/>
          </w:tcPr>
          <w:p>
            <w:pPr>
              <w:spacing w:after="0"/>
              <w:rPr>
                <w:sz w:val="1"/>
                <w:szCs w:val="1"/>
                <w:color w:val="auto"/>
              </w:rPr>
            </w:pPr>
          </w:p>
        </w:tc>
      </w:tr>
      <w:tr>
        <w:trPr>
          <w:trHeight w:val="120"/>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Ad.net Holdings, Inc.</w:t>
            </w:r>
          </w:p>
        </w:tc>
        <w:tc>
          <w:tcPr>
            <w:tcW w:w="800" w:type="dxa"/>
            <w:vAlign w:val="bottom"/>
          </w:tcPr>
          <w:p>
            <w:pPr>
              <w:spacing w:after="0"/>
              <w:rPr>
                <w:sz w:val="10"/>
                <w:szCs w:val="1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54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2,667</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20"/>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Aechelon InvestCo, LP - Common Equity</w:t>
            </w:r>
          </w:p>
        </w:tc>
        <w:tc>
          <w:tcPr>
            <w:tcW w:w="80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11,312</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1,131</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1,131</w:t>
            </w:r>
          </w:p>
        </w:tc>
        <w:tc>
          <w:tcPr>
            <w:tcW w:w="0" w:type="dxa"/>
            <w:vAlign w:val="bottom"/>
          </w:tcPr>
          <w:p>
            <w:pPr>
              <w:spacing w:after="0"/>
              <w:rPr>
                <w:sz w:val="1"/>
                <w:szCs w:val="1"/>
                <w:color w:val="auto"/>
              </w:rPr>
            </w:pPr>
          </w:p>
        </w:tc>
      </w:tr>
      <w:tr>
        <w:trPr>
          <w:trHeight w:val="120"/>
        </w:trPr>
        <w:tc>
          <w:tcPr>
            <w:tcW w:w="33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Aechelon InvestCo, LP - Unfunded </w:t>
            </w:r>
            <w:r>
              <w:rPr>
                <w:rFonts w:ascii="Times New Roman" w:cs="Times New Roman" w:eastAsia="Times New Roman" w:hAnsi="Times New Roman"/>
                <w:sz w:val="12"/>
                <w:szCs w:val="12"/>
                <w:color w:val="auto"/>
                <w:vertAlign w:val="superscript"/>
              </w:rPr>
              <w:t>(8)</w:t>
            </w:r>
          </w:p>
        </w:tc>
        <w:tc>
          <w:tcPr>
            <w:tcW w:w="800" w:type="dxa"/>
            <w:vAlign w:val="bottom"/>
          </w:tcPr>
          <w:p>
            <w:pPr>
              <w:spacing w:after="0"/>
              <w:rPr>
                <w:sz w:val="10"/>
                <w:szCs w:val="1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4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11,312</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Aftermarket Drivetrain Products Holdings, LLC</w:t>
            </w:r>
          </w:p>
        </w:tc>
        <w:tc>
          <w:tcPr>
            <w:tcW w:w="80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Machinery</w:t>
            </w: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1,645</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1,645</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2,304</w:t>
            </w:r>
          </w:p>
        </w:tc>
        <w:tc>
          <w:tcPr>
            <w:tcW w:w="0" w:type="dxa"/>
            <w:vAlign w:val="bottom"/>
          </w:tcPr>
          <w:p>
            <w:pPr>
              <w:spacing w:after="0"/>
              <w:rPr>
                <w:sz w:val="1"/>
                <w:szCs w:val="1"/>
                <w:color w:val="auto"/>
              </w:rPr>
            </w:pPr>
          </w:p>
        </w:tc>
      </w:tr>
      <w:tr>
        <w:trPr>
          <w:trHeight w:val="120"/>
        </w:trPr>
        <w:tc>
          <w:tcPr>
            <w:tcW w:w="33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AG Investco LP </w:t>
            </w:r>
            <w:r>
              <w:rPr>
                <w:rFonts w:ascii="Times New Roman" w:cs="Times New Roman" w:eastAsia="Times New Roman" w:hAnsi="Times New Roman"/>
                <w:sz w:val="12"/>
                <w:szCs w:val="12"/>
                <w:color w:val="auto"/>
                <w:vertAlign w:val="superscript"/>
              </w:rPr>
              <w:t>(10)</w:t>
            </w:r>
          </w:p>
        </w:tc>
        <w:tc>
          <w:tcPr>
            <w:tcW w:w="800" w:type="dxa"/>
            <w:vAlign w:val="bottom"/>
          </w:tcPr>
          <w:p>
            <w:pPr>
              <w:spacing w:after="0"/>
              <w:rPr>
                <w:sz w:val="10"/>
                <w:szCs w:val="1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4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805,164</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805</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1,008</w:t>
            </w:r>
          </w:p>
        </w:tc>
        <w:tc>
          <w:tcPr>
            <w:tcW w:w="0" w:type="dxa"/>
            <w:vAlign w:val="bottom"/>
          </w:tcPr>
          <w:p>
            <w:pPr>
              <w:spacing w:after="0"/>
              <w:rPr>
                <w:sz w:val="1"/>
                <w:szCs w:val="1"/>
                <w:color w:val="auto"/>
              </w:rPr>
            </w:pPr>
          </w:p>
        </w:tc>
      </w:tr>
      <w:tr>
        <w:trPr>
          <w:trHeight w:val="120"/>
        </w:trPr>
        <w:tc>
          <w:tcPr>
            <w:tcW w:w="33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AG Investco LP - Unfunded </w:t>
            </w:r>
            <w:r>
              <w:rPr>
                <w:rFonts w:ascii="Times New Roman" w:cs="Times New Roman" w:eastAsia="Times New Roman" w:hAnsi="Times New Roman"/>
                <w:sz w:val="12"/>
                <w:szCs w:val="12"/>
                <w:color w:val="auto"/>
                <w:vertAlign w:val="superscript"/>
              </w:rPr>
              <w:t>(8),(10)</w:t>
            </w:r>
          </w:p>
        </w:tc>
        <w:tc>
          <w:tcPr>
            <w:tcW w:w="80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194,836</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Altamira Intermediate Company II, Inc.</w:t>
            </w:r>
          </w:p>
        </w:tc>
        <w:tc>
          <w:tcPr>
            <w:tcW w:w="800" w:type="dxa"/>
            <w:vAlign w:val="bottom"/>
          </w:tcPr>
          <w:p>
            <w:pPr>
              <w:spacing w:after="0"/>
              <w:rPr>
                <w:sz w:val="10"/>
                <w:szCs w:val="1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4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125,000</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125</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151</w:t>
            </w:r>
          </w:p>
        </w:tc>
        <w:tc>
          <w:tcPr>
            <w:tcW w:w="0" w:type="dxa"/>
            <w:vAlign w:val="bottom"/>
          </w:tcPr>
          <w:p>
            <w:pPr>
              <w:spacing w:after="0"/>
              <w:rPr>
                <w:sz w:val="1"/>
                <w:szCs w:val="1"/>
                <w:color w:val="auto"/>
              </w:rPr>
            </w:pPr>
          </w:p>
        </w:tc>
      </w:tr>
      <w:tr>
        <w:trPr>
          <w:trHeight w:val="120"/>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AMCSI Crash Co-Invest, LP</w:t>
            </w:r>
          </w:p>
        </w:tc>
        <w:tc>
          <w:tcPr>
            <w:tcW w:w="80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2,489,777</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2,490</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3,737</w:t>
            </w:r>
          </w:p>
        </w:tc>
        <w:tc>
          <w:tcPr>
            <w:tcW w:w="0" w:type="dxa"/>
            <w:vAlign w:val="bottom"/>
          </w:tcPr>
          <w:p>
            <w:pPr>
              <w:spacing w:after="0"/>
              <w:rPr>
                <w:sz w:val="1"/>
                <w:szCs w:val="1"/>
                <w:color w:val="auto"/>
              </w:rPr>
            </w:pPr>
          </w:p>
        </w:tc>
      </w:tr>
      <w:tr>
        <w:trPr>
          <w:trHeight w:val="120"/>
        </w:trPr>
        <w:tc>
          <w:tcPr>
            <w:tcW w:w="33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AMCSI Crash Co-Invest, LP - Unfunded </w:t>
            </w:r>
            <w:r>
              <w:rPr>
                <w:rFonts w:ascii="Times New Roman" w:cs="Times New Roman" w:eastAsia="Times New Roman" w:hAnsi="Times New Roman"/>
                <w:sz w:val="12"/>
                <w:szCs w:val="12"/>
                <w:color w:val="auto"/>
                <w:vertAlign w:val="superscript"/>
              </w:rPr>
              <w:t>(8)</w:t>
            </w:r>
          </w:p>
        </w:tc>
        <w:tc>
          <w:tcPr>
            <w:tcW w:w="800" w:type="dxa"/>
            <w:vAlign w:val="bottom"/>
          </w:tcPr>
          <w:p>
            <w:pPr>
              <w:spacing w:after="0"/>
              <w:rPr>
                <w:sz w:val="10"/>
                <w:szCs w:val="1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54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510,223</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3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Anteriad Holdings, LP (f/k/a MeritDirect Holdings, LP) </w:t>
            </w:r>
            <w:r>
              <w:rPr>
                <w:rFonts w:ascii="Times New Roman" w:cs="Times New Roman" w:eastAsia="Times New Roman" w:hAnsi="Times New Roman"/>
                <w:sz w:val="12"/>
                <w:szCs w:val="12"/>
                <w:color w:val="auto"/>
                <w:vertAlign w:val="superscript"/>
              </w:rPr>
              <w:t>(10)</w:t>
            </w:r>
          </w:p>
        </w:tc>
        <w:tc>
          <w:tcPr>
            <w:tcW w:w="80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1,135</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3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Athletico Holdings, LLC </w:t>
            </w:r>
            <w:r>
              <w:rPr>
                <w:rFonts w:ascii="Times New Roman" w:cs="Times New Roman" w:eastAsia="Times New Roman" w:hAnsi="Times New Roman"/>
                <w:sz w:val="12"/>
                <w:szCs w:val="12"/>
                <w:color w:val="auto"/>
                <w:vertAlign w:val="superscript"/>
              </w:rPr>
              <w:t>(10)</w:t>
            </w:r>
          </w:p>
        </w:tc>
        <w:tc>
          <w:tcPr>
            <w:tcW w:w="800" w:type="dxa"/>
            <w:vAlign w:val="bottom"/>
          </w:tcPr>
          <w:p>
            <w:pPr>
              <w:spacing w:after="0"/>
              <w:rPr>
                <w:sz w:val="10"/>
                <w:szCs w:val="1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54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9,357</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10,000</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7,674</w:t>
            </w:r>
          </w:p>
        </w:tc>
        <w:tc>
          <w:tcPr>
            <w:tcW w:w="0" w:type="dxa"/>
            <w:vAlign w:val="bottom"/>
          </w:tcPr>
          <w:p>
            <w:pPr>
              <w:spacing w:after="0"/>
              <w:rPr>
                <w:sz w:val="1"/>
                <w:szCs w:val="1"/>
                <w:color w:val="auto"/>
              </w:rPr>
            </w:pPr>
          </w:p>
        </w:tc>
      </w:tr>
      <w:tr>
        <w:trPr>
          <w:trHeight w:val="120"/>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Atlas Investment Aggregator, LLC</w:t>
            </w:r>
          </w:p>
        </w:tc>
        <w:tc>
          <w:tcPr>
            <w:tcW w:w="80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Telecommunications</w:t>
            </w: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1,700,000</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1,613</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800" w:type="dxa"/>
            <w:vAlign w:val="bottom"/>
          </w:tcPr>
          <w:p>
            <w:pPr>
              <w:spacing w:after="0"/>
              <w:rPr>
                <w:sz w:val="10"/>
                <w:szCs w:val="1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54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1,312</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Burgess Point Holdings, LP</w:t>
            </w:r>
          </w:p>
        </w:tc>
        <w:tc>
          <w:tcPr>
            <w:tcW w:w="80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764</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777</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812</w:t>
            </w:r>
          </w:p>
        </w:tc>
        <w:tc>
          <w:tcPr>
            <w:tcW w:w="0" w:type="dxa"/>
            <w:vAlign w:val="bottom"/>
          </w:tcPr>
          <w:p>
            <w:pPr>
              <w:spacing w:after="0"/>
              <w:rPr>
                <w:sz w:val="1"/>
                <w:szCs w:val="1"/>
                <w:color w:val="auto"/>
              </w:rPr>
            </w:pPr>
          </w:p>
        </w:tc>
      </w:tr>
      <w:tr>
        <w:trPr>
          <w:trHeight w:val="120"/>
        </w:trPr>
        <w:tc>
          <w:tcPr>
            <w:tcW w:w="33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Carnegie Holdco, LLC - Common Equity </w:t>
            </w:r>
            <w:r>
              <w:rPr>
                <w:rFonts w:ascii="Times New Roman" w:cs="Times New Roman" w:eastAsia="Times New Roman" w:hAnsi="Times New Roman"/>
                <w:sz w:val="12"/>
                <w:szCs w:val="12"/>
                <w:color w:val="auto"/>
                <w:vertAlign w:val="superscript"/>
              </w:rPr>
              <w:t>(10)</w:t>
            </w:r>
          </w:p>
        </w:tc>
        <w:tc>
          <w:tcPr>
            <w:tcW w:w="800" w:type="dxa"/>
            <w:vAlign w:val="bottom"/>
          </w:tcPr>
          <w:p>
            <w:pPr>
              <w:spacing w:after="0"/>
              <w:rPr>
                <w:sz w:val="10"/>
                <w:szCs w:val="1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54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1,680,300</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1,645</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1,630</w:t>
            </w:r>
          </w:p>
        </w:tc>
        <w:tc>
          <w:tcPr>
            <w:tcW w:w="0" w:type="dxa"/>
            <w:vAlign w:val="bottom"/>
          </w:tcPr>
          <w:p>
            <w:pPr>
              <w:spacing w:after="0"/>
              <w:rPr>
                <w:sz w:val="1"/>
                <w:szCs w:val="1"/>
                <w:color w:val="auto"/>
              </w:rPr>
            </w:pPr>
          </w:p>
        </w:tc>
      </w:tr>
      <w:tr>
        <w:trPr>
          <w:trHeight w:val="120"/>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Carisk Parent, L.P. - Common Equity</w:t>
            </w:r>
          </w:p>
        </w:tc>
        <w:tc>
          <w:tcPr>
            <w:tcW w:w="80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204,455</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204</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211</w:t>
            </w:r>
          </w:p>
        </w:tc>
        <w:tc>
          <w:tcPr>
            <w:tcW w:w="0" w:type="dxa"/>
            <w:vAlign w:val="bottom"/>
          </w:tcPr>
          <w:p>
            <w:pPr>
              <w:spacing w:after="0"/>
              <w:rPr>
                <w:sz w:val="1"/>
                <w:szCs w:val="1"/>
                <w:color w:val="auto"/>
              </w:rPr>
            </w:pPr>
          </w:p>
        </w:tc>
      </w:tr>
      <w:tr>
        <w:trPr>
          <w:trHeight w:val="120"/>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Connatix Parent, LLC</w:t>
            </w:r>
          </w:p>
        </w:tc>
        <w:tc>
          <w:tcPr>
            <w:tcW w:w="800" w:type="dxa"/>
            <w:vAlign w:val="bottom"/>
          </w:tcPr>
          <w:p>
            <w:pPr>
              <w:spacing w:after="0"/>
              <w:rPr>
                <w:sz w:val="10"/>
                <w:szCs w:val="1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54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57,416</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632</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355</w:t>
            </w:r>
          </w:p>
        </w:tc>
        <w:tc>
          <w:tcPr>
            <w:tcW w:w="0" w:type="dxa"/>
            <w:vAlign w:val="bottom"/>
          </w:tcPr>
          <w:p>
            <w:pPr>
              <w:spacing w:after="0"/>
              <w:rPr>
                <w:sz w:val="1"/>
                <w:szCs w:val="1"/>
                <w:color w:val="auto"/>
              </w:rPr>
            </w:pPr>
          </w:p>
        </w:tc>
      </w:tr>
      <w:tr>
        <w:trPr>
          <w:trHeight w:val="120"/>
        </w:trPr>
        <w:tc>
          <w:tcPr>
            <w:tcW w:w="33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Consello Pacific Aggregator, LLC </w:t>
            </w:r>
            <w:r>
              <w:rPr>
                <w:rFonts w:ascii="Times New Roman" w:cs="Times New Roman" w:eastAsia="Times New Roman" w:hAnsi="Times New Roman"/>
                <w:sz w:val="12"/>
                <w:szCs w:val="12"/>
                <w:color w:val="auto"/>
                <w:vertAlign w:val="superscript"/>
              </w:rPr>
              <w:t>(10)</w:t>
            </w:r>
          </w:p>
        </w:tc>
        <w:tc>
          <w:tcPr>
            <w:tcW w:w="80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782,891</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743</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703</w:t>
            </w:r>
          </w:p>
        </w:tc>
        <w:tc>
          <w:tcPr>
            <w:tcW w:w="0" w:type="dxa"/>
            <w:vAlign w:val="bottom"/>
          </w:tcPr>
          <w:p>
            <w:pPr>
              <w:spacing w:after="0"/>
              <w:rPr>
                <w:sz w:val="1"/>
                <w:szCs w:val="1"/>
                <w:color w:val="auto"/>
              </w:rPr>
            </w:pPr>
          </w:p>
        </w:tc>
      </w:tr>
      <w:tr>
        <w:trPr>
          <w:trHeight w:val="120"/>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Cowboy Parent LLC</w:t>
            </w:r>
          </w:p>
        </w:tc>
        <w:tc>
          <w:tcPr>
            <w:tcW w:w="800" w:type="dxa"/>
            <w:vAlign w:val="bottom"/>
          </w:tcPr>
          <w:p>
            <w:pPr>
              <w:spacing w:after="0"/>
              <w:rPr>
                <w:sz w:val="10"/>
                <w:szCs w:val="1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54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27,778</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3,015</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5,809</w:t>
            </w:r>
          </w:p>
        </w:tc>
        <w:tc>
          <w:tcPr>
            <w:tcW w:w="0" w:type="dxa"/>
            <w:vAlign w:val="bottom"/>
          </w:tcPr>
          <w:p>
            <w:pPr>
              <w:spacing w:after="0"/>
              <w:rPr>
                <w:sz w:val="1"/>
                <w:szCs w:val="1"/>
                <w:color w:val="auto"/>
              </w:rPr>
            </w:pPr>
          </w:p>
        </w:tc>
      </w:tr>
      <w:tr>
        <w:trPr>
          <w:trHeight w:val="120"/>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Crane 1 Acquisition Parent Holdings, L.P.</w:t>
            </w:r>
          </w:p>
        </w:tc>
        <w:tc>
          <w:tcPr>
            <w:tcW w:w="80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104</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190</w:t>
            </w:r>
          </w:p>
        </w:tc>
        <w:tc>
          <w:tcPr>
            <w:tcW w:w="0" w:type="dxa"/>
            <w:vAlign w:val="bottom"/>
          </w:tcPr>
          <w:p>
            <w:pPr>
              <w:spacing w:after="0"/>
              <w:rPr>
                <w:sz w:val="1"/>
                <w:szCs w:val="1"/>
                <w:color w:val="auto"/>
              </w:rPr>
            </w:pPr>
          </w:p>
        </w:tc>
      </w:tr>
      <w:tr>
        <w:trPr>
          <w:trHeight w:val="120"/>
        </w:trPr>
        <w:tc>
          <w:tcPr>
            <w:tcW w:w="33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C5MI Holdco, LLC - Common Equity </w:t>
            </w:r>
            <w:r>
              <w:rPr>
                <w:rFonts w:ascii="Times New Roman" w:cs="Times New Roman" w:eastAsia="Times New Roman" w:hAnsi="Times New Roman"/>
                <w:sz w:val="12"/>
                <w:szCs w:val="12"/>
                <w:color w:val="auto"/>
                <w:vertAlign w:val="superscript"/>
              </w:rPr>
              <w:t>(10)</w:t>
            </w:r>
          </w:p>
        </w:tc>
        <w:tc>
          <w:tcPr>
            <w:tcW w:w="800" w:type="dxa"/>
            <w:vAlign w:val="bottom"/>
          </w:tcPr>
          <w:p>
            <w:pPr>
              <w:spacing w:after="0"/>
              <w:rPr>
                <w:sz w:val="10"/>
                <w:szCs w:val="1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4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754,200</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754</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752</w:t>
            </w:r>
          </w:p>
        </w:tc>
        <w:tc>
          <w:tcPr>
            <w:tcW w:w="0" w:type="dxa"/>
            <w:vAlign w:val="bottom"/>
          </w:tcPr>
          <w:p>
            <w:pPr>
              <w:spacing w:after="0"/>
              <w:rPr>
                <w:sz w:val="1"/>
                <w:szCs w:val="1"/>
                <w:color w:val="auto"/>
              </w:rPr>
            </w:pPr>
          </w:p>
        </w:tc>
      </w:tr>
      <w:tr>
        <w:trPr>
          <w:trHeight w:val="120"/>
        </w:trPr>
        <w:tc>
          <w:tcPr>
            <w:tcW w:w="33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Delta InvestCo LP </w:t>
            </w:r>
            <w:r>
              <w:rPr>
                <w:rFonts w:ascii="Times New Roman" w:cs="Times New Roman" w:eastAsia="Times New Roman" w:hAnsi="Times New Roman"/>
                <w:sz w:val="12"/>
                <w:szCs w:val="12"/>
                <w:color w:val="auto"/>
                <w:vertAlign w:val="superscript"/>
              </w:rPr>
              <w:t>(10)</w:t>
            </w:r>
          </w:p>
        </w:tc>
        <w:tc>
          <w:tcPr>
            <w:tcW w:w="80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Telecommunications</w:t>
            </w: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913,649</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866</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1,703</w:t>
            </w:r>
          </w:p>
        </w:tc>
        <w:tc>
          <w:tcPr>
            <w:tcW w:w="0" w:type="dxa"/>
            <w:vAlign w:val="bottom"/>
          </w:tcPr>
          <w:p>
            <w:pPr>
              <w:spacing w:after="0"/>
              <w:rPr>
                <w:sz w:val="1"/>
                <w:szCs w:val="1"/>
                <w:color w:val="auto"/>
              </w:rPr>
            </w:pPr>
          </w:p>
        </w:tc>
      </w:tr>
      <w:tr>
        <w:trPr>
          <w:trHeight w:val="120"/>
        </w:trPr>
        <w:tc>
          <w:tcPr>
            <w:tcW w:w="33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Delta InvestCo LP </w:t>
            </w:r>
            <w:r>
              <w:rPr>
                <w:rFonts w:ascii="Times New Roman" w:cs="Times New Roman" w:eastAsia="Times New Roman" w:hAnsi="Times New Roman"/>
                <w:sz w:val="12"/>
                <w:szCs w:val="12"/>
                <w:color w:val="auto"/>
                <w:vertAlign w:val="superscript"/>
              </w:rPr>
              <w:t>(8),(10)</w:t>
            </w:r>
          </w:p>
        </w:tc>
        <w:tc>
          <w:tcPr>
            <w:tcW w:w="800" w:type="dxa"/>
            <w:vAlign w:val="bottom"/>
          </w:tcPr>
          <w:p>
            <w:pPr>
              <w:spacing w:after="0"/>
              <w:rPr>
                <w:sz w:val="10"/>
                <w:szCs w:val="1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Telecommunications</w:t>
            </w:r>
          </w:p>
        </w:tc>
        <w:tc>
          <w:tcPr>
            <w:tcW w:w="54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227,395</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Duggal Acquisition, LLC (Common)</w:t>
            </w:r>
          </w:p>
        </w:tc>
        <w:tc>
          <w:tcPr>
            <w:tcW w:w="80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Marketing Services</w:t>
            </w: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313,600</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314</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314</w:t>
            </w:r>
          </w:p>
        </w:tc>
        <w:tc>
          <w:tcPr>
            <w:tcW w:w="0" w:type="dxa"/>
            <w:vAlign w:val="bottom"/>
          </w:tcPr>
          <w:p>
            <w:pPr>
              <w:spacing w:after="0"/>
              <w:rPr>
                <w:sz w:val="1"/>
                <w:szCs w:val="1"/>
                <w:color w:val="auto"/>
              </w:rPr>
            </w:pPr>
          </w:p>
        </w:tc>
      </w:tr>
      <w:tr>
        <w:trPr>
          <w:trHeight w:val="120"/>
        </w:trPr>
        <w:tc>
          <w:tcPr>
            <w:tcW w:w="33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eCommission Holding Corporation </w:t>
            </w:r>
            <w:r>
              <w:rPr>
                <w:rFonts w:ascii="Times New Roman" w:cs="Times New Roman" w:eastAsia="Times New Roman" w:hAnsi="Times New Roman"/>
                <w:sz w:val="12"/>
                <w:szCs w:val="12"/>
                <w:color w:val="auto"/>
                <w:vertAlign w:val="superscript"/>
              </w:rPr>
              <w:t>(12)</w:t>
            </w:r>
          </w:p>
        </w:tc>
        <w:tc>
          <w:tcPr>
            <w:tcW w:w="800" w:type="dxa"/>
            <w:vAlign w:val="bottom"/>
          </w:tcPr>
          <w:p>
            <w:pPr>
              <w:spacing w:after="0"/>
              <w:rPr>
                <w:sz w:val="10"/>
                <w:szCs w:val="1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54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80</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949</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2,554</w:t>
            </w:r>
          </w:p>
        </w:tc>
        <w:tc>
          <w:tcPr>
            <w:tcW w:w="0" w:type="dxa"/>
            <w:vAlign w:val="bottom"/>
          </w:tcPr>
          <w:p>
            <w:pPr>
              <w:spacing w:after="0"/>
              <w:rPr>
                <w:sz w:val="1"/>
                <w:szCs w:val="1"/>
                <w:color w:val="auto"/>
              </w:rPr>
            </w:pPr>
          </w:p>
        </w:tc>
      </w:tr>
      <w:tr>
        <w:trPr>
          <w:trHeight w:val="120"/>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EDS Topco, LP</w:t>
            </w:r>
          </w:p>
        </w:tc>
        <w:tc>
          <w:tcPr>
            <w:tcW w:w="80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937,500</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938</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1,047</w:t>
            </w:r>
          </w:p>
        </w:tc>
        <w:tc>
          <w:tcPr>
            <w:tcW w:w="0" w:type="dxa"/>
            <w:vAlign w:val="bottom"/>
          </w:tcPr>
          <w:p>
            <w:pPr>
              <w:spacing w:after="0"/>
              <w:rPr>
                <w:sz w:val="1"/>
                <w:szCs w:val="1"/>
                <w:color w:val="auto"/>
              </w:rPr>
            </w:pPr>
          </w:p>
        </w:tc>
      </w:tr>
      <w:tr>
        <w:trPr>
          <w:trHeight w:val="120"/>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Exigo, LLC</w:t>
            </w:r>
          </w:p>
        </w:tc>
        <w:tc>
          <w:tcPr>
            <w:tcW w:w="800" w:type="dxa"/>
            <w:vAlign w:val="bottom"/>
          </w:tcPr>
          <w:p>
            <w:pPr>
              <w:spacing w:after="0"/>
              <w:rPr>
                <w:sz w:val="10"/>
                <w:szCs w:val="1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4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1,458,333</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1,458</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1,577</w:t>
            </w:r>
          </w:p>
        </w:tc>
        <w:tc>
          <w:tcPr>
            <w:tcW w:w="0" w:type="dxa"/>
            <w:vAlign w:val="bottom"/>
          </w:tcPr>
          <w:p>
            <w:pPr>
              <w:spacing w:after="0"/>
              <w:rPr>
                <w:sz w:val="1"/>
                <w:szCs w:val="1"/>
                <w:color w:val="auto"/>
              </w:rPr>
            </w:pPr>
          </w:p>
        </w:tc>
      </w:tr>
      <w:tr>
        <w:trPr>
          <w:trHeight w:val="120"/>
        </w:trPr>
        <w:tc>
          <w:tcPr>
            <w:tcW w:w="33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FedHC InvestCo LP </w:t>
            </w:r>
            <w:r>
              <w:rPr>
                <w:rFonts w:ascii="Times New Roman" w:cs="Times New Roman" w:eastAsia="Times New Roman" w:hAnsi="Times New Roman"/>
                <w:sz w:val="12"/>
                <w:szCs w:val="12"/>
                <w:color w:val="auto"/>
                <w:vertAlign w:val="superscript"/>
              </w:rPr>
              <w:t>(10)</w:t>
            </w:r>
          </w:p>
        </w:tc>
        <w:tc>
          <w:tcPr>
            <w:tcW w:w="80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14,578</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489</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1,193</w:t>
            </w:r>
          </w:p>
        </w:tc>
        <w:tc>
          <w:tcPr>
            <w:tcW w:w="0" w:type="dxa"/>
            <w:vAlign w:val="bottom"/>
          </w:tcPr>
          <w:p>
            <w:pPr>
              <w:spacing w:after="0"/>
              <w:rPr>
                <w:sz w:val="1"/>
                <w:szCs w:val="1"/>
                <w:color w:val="auto"/>
              </w:rPr>
            </w:pPr>
          </w:p>
        </w:tc>
      </w:tr>
      <w:tr>
        <w:trPr>
          <w:trHeight w:val="120"/>
        </w:trPr>
        <w:tc>
          <w:tcPr>
            <w:tcW w:w="33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FedHC InvestCo LP - Unfunded </w:t>
            </w:r>
            <w:r>
              <w:rPr>
                <w:rFonts w:ascii="Times New Roman" w:cs="Times New Roman" w:eastAsia="Times New Roman" w:hAnsi="Times New Roman"/>
                <w:sz w:val="12"/>
                <w:szCs w:val="12"/>
                <w:color w:val="auto"/>
                <w:vertAlign w:val="superscript"/>
              </w:rPr>
              <w:t>(8),(10)</w:t>
            </w:r>
          </w:p>
        </w:tc>
        <w:tc>
          <w:tcPr>
            <w:tcW w:w="800" w:type="dxa"/>
            <w:vAlign w:val="bottom"/>
          </w:tcPr>
          <w:p>
            <w:pPr>
              <w:spacing w:after="0"/>
              <w:rPr>
                <w:sz w:val="10"/>
                <w:szCs w:val="1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4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5,150</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3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FedHC InvestCo II LP </w:t>
            </w:r>
            <w:r>
              <w:rPr>
                <w:rFonts w:ascii="Times New Roman" w:cs="Times New Roman" w:eastAsia="Times New Roman" w:hAnsi="Times New Roman"/>
                <w:sz w:val="12"/>
                <w:szCs w:val="12"/>
                <w:color w:val="auto"/>
                <w:vertAlign w:val="superscript"/>
              </w:rPr>
              <w:t>(10)</w:t>
            </w:r>
          </w:p>
        </w:tc>
        <w:tc>
          <w:tcPr>
            <w:tcW w:w="80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20,882</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2,175</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1,814</w:t>
            </w:r>
          </w:p>
        </w:tc>
        <w:tc>
          <w:tcPr>
            <w:tcW w:w="0" w:type="dxa"/>
            <w:vAlign w:val="bottom"/>
          </w:tcPr>
          <w:p>
            <w:pPr>
              <w:spacing w:after="0"/>
              <w:rPr>
                <w:sz w:val="1"/>
                <w:szCs w:val="1"/>
                <w:color w:val="auto"/>
              </w:rPr>
            </w:pPr>
          </w:p>
        </w:tc>
      </w:tr>
      <w:tr>
        <w:trPr>
          <w:trHeight w:val="120"/>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Five Star Parent Holdings, LLC</w:t>
            </w:r>
          </w:p>
        </w:tc>
        <w:tc>
          <w:tcPr>
            <w:tcW w:w="800" w:type="dxa"/>
            <w:vAlign w:val="bottom"/>
          </w:tcPr>
          <w:p>
            <w:pPr>
              <w:spacing w:after="0"/>
              <w:rPr>
                <w:sz w:val="10"/>
                <w:szCs w:val="1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Leisure, Amusement, Motion Pictures, Entertainment</w:t>
            </w:r>
          </w:p>
        </w:tc>
        <w:tc>
          <w:tcPr>
            <w:tcW w:w="54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655,714</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656</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647</w:t>
            </w:r>
          </w:p>
        </w:tc>
        <w:tc>
          <w:tcPr>
            <w:tcW w:w="0" w:type="dxa"/>
            <w:vAlign w:val="bottom"/>
          </w:tcPr>
          <w:p>
            <w:pPr>
              <w:spacing w:after="0"/>
              <w:rPr>
                <w:sz w:val="1"/>
                <w:szCs w:val="1"/>
                <w:color w:val="auto"/>
              </w:rPr>
            </w:pPr>
          </w:p>
        </w:tc>
      </w:tr>
      <w:tr>
        <w:trPr>
          <w:trHeight w:val="120"/>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Gauge ETE Blocker, LLC - Common Equity</w:t>
            </w:r>
          </w:p>
        </w:tc>
        <w:tc>
          <w:tcPr>
            <w:tcW w:w="80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374,444</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374</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285</w:t>
            </w:r>
          </w:p>
        </w:tc>
        <w:tc>
          <w:tcPr>
            <w:tcW w:w="0" w:type="dxa"/>
            <w:vAlign w:val="bottom"/>
          </w:tcPr>
          <w:p>
            <w:pPr>
              <w:spacing w:after="0"/>
              <w:rPr>
                <w:sz w:val="1"/>
                <w:szCs w:val="1"/>
                <w:color w:val="auto"/>
              </w:rPr>
            </w:pPr>
          </w:p>
        </w:tc>
      </w:tr>
      <w:tr>
        <w:trPr>
          <w:trHeight w:val="120"/>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Gauge Lash Coinvest LLC</w:t>
            </w:r>
          </w:p>
        </w:tc>
        <w:tc>
          <w:tcPr>
            <w:tcW w:w="800" w:type="dxa"/>
            <w:vAlign w:val="bottom"/>
          </w:tcPr>
          <w:p>
            <w:pPr>
              <w:spacing w:after="0"/>
              <w:rPr>
                <w:sz w:val="10"/>
                <w:szCs w:val="1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54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1,101,293</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834</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3,201</w:t>
            </w:r>
          </w:p>
        </w:tc>
        <w:tc>
          <w:tcPr>
            <w:tcW w:w="0" w:type="dxa"/>
            <w:vAlign w:val="bottom"/>
          </w:tcPr>
          <w:p>
            <w:pPr>
              <w:spacing w:after="0"/>
              <w:rPr>
                <w:sz w:val="1"/>
                <w:szCs w:val="1"/>
                <w:color w:val="auto"/>
              </w:rPr>
            </w:pPr>
          </w:p>
        </w:tc>
      </w:tr>
      <w:tr>
        <w:trPr>
          <w:trHeight w:val="120"/>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Gauge Loving Tan, LP - Common Equity</w:t>
            </w:r>
          </w:p>
        </w:tc>
        <w:tc>
          <w:tcPr>
            <w:tcW w:w="80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543,562</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544</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598</w:t>
            </w:r>
          </w:p>
        </w:tc>
        <w:tc>
          <w:tcPr>
            <w:tcW w:w="0" w:type="dxa"/>
            <w:vAlign w:val="bottom"/>
          </w:tcPr>
          <w:p>
            <w:pPr>
              <w:spacing w:after="0"/>
              <w:rPr>
                <w:sz w:val="1"/>
                <w:szCs w:val="1"/>
                <w:color w:val="auto"/>
              </w:rPr>
            </w:pPr>
          </w:p>
        </w:tc>
      </w:tr>
      <w:tr>
        <w:trPr>
          <w:trHeight w:val="120"/>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Gauge Schlesinger Coinvest, LLC</w:t>
            </w:r>
          </w:p>
        </w:tc>
        <w:tc>
          <w:tcPr>
            <w:tcW w:w="800" w:type="dxa"/>
            <w:vAlign w:val="bottom"/>
          </w:tcPr>
          <w:p>
            <w:pPr>
              <w:spacing w:after="0"/>
              <w:rPr>
                <w:sz w:val="10"/>
                <w:szCs w:val="1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4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24"/>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GCOM InvestCo LP</w:t>
            </w:r>
          </w:p>
        </w:tc>
        <w:tc>
          <w:tcPr>
            <w:tcW w:w="800" w:type="dxa"/>
            <w:vAlign w:val="bottom"/>
            <w:shd w:val="clear" w:color="auto" w:fill="CCECFF"/>
          </w:tcPr>
          <w:p>
            <w:pPr>
              <w:spacing w:after="0"/>
              <w:rPr>
                <w:sz w:val="10"/>
                <w:szCs w:val="10"/>
                <w:color w:val="auto"/>
              </w:rPr>
            </w:pPr>
          </w:p>
        </w:tc>
        <w:tc>
          <w:tcPr>
            <w:tcW w:w="246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40" w:type="dxa"/>
            <w:vAlign w:val="bottom"/>
            <w:shd w:val="clear" w:color="auto" w:fill="CCECFF"/>
          </w:tcPr>
          <w:p>
            <w:pPr>
              <w:spacing w:after="0"/>
              <w:rPr>
                <w:sz w:val="10"/>
                <w:szCs w:val="10"/>
                <w:color w:val="auto"/>
              </w:rPr>
            </w:pPr>
          </w:p>
        </w:tc>
        <w:tc>
          <w:tcPr>
            <w:tcW w:w="280" w:type="dxa"/>
            <w:vAlign w:val="bottom"/>
            <w:vMerge w:val="restart"/>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vMerge w:val="restart"/>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vMerge w:val="restart"/>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2,434</w:t>
            </w:r>
          </w:p>
        </w:tc>
        <w:tc>
          <w:tcPr>
            <w:tcW w:w="220" w:type="dxa"/>
            <w:vAlign w:val="bottom"/>
            <w:shd w:val="clear" w:color="auto" w:fill="CCECFF"/>
          </w:tcPr>
          <w:p>
            <w:pPr>
              <w:spacing w:after="0"/>
              <w:rPr>
                <w:sz w:val="10"/>
                <w:szCs w:val="10"/>
                <w:color w:val="auto"/>
              </w:rPr>
            </w:pPr>
          </w:p>
        </w:tc>
        <w:tc>
          <w:tcPr>
            <w:tcW w:w="520" w:type="dxa"/>
            <w:vAlign w:val="bottom"/>
            <w:vMerge w:val="restart"/>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1,003</w:t>
            </w:r>
          </w:p>
        </w:tc>
        <w:tc>
          <w:tcPr>
            <w:tcW w:w="260" w:type="dxa"/>
            <w:vAlign w:val="bottom"/>
            <w:shd w:val="clear" w:color="auto" w:fill="CCECFF"/>
          </w:tcPr>
          <w:p>
            <w:pPr>
              <w:spacing w:after="0"/>
              <w:rPr>
                <w:sz w:val="10"/>
                <w:szCs w:val="10"/>
                <w:color w:val="auto"/>
              </w:rPr>
            </w:pPr>
          </w:p>
        </w:tc>
        <w:tc>
          <w:tcPr>
            <w:tcW w:w="48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578</w:t>
            </w:r>
          </w:p>
        </w:tc>
        <w:tc>
          <w:tcPr>
            <w:tcW w:w="0" w:type="dxa"/>
            <w:vAlign w:val="bottom"/>
          </w:tcPr>
          <w:p>
            <w:pPr>
              <w:spacing w:after="0"/>
              <w:rPr>
                <w:sz w:val="1"/>
                <w:szCs w:val="1"/>
                <w:color w:val="auto"/>
              </w:rPr>
            </w:pPr>
          </w:p>
        </w:tc>
      </w:tr>
      <w:tr>
        <w:trPr>
          <w:trHeight w:val="80"/>
        </w:trPr>
        <w:tc>
          <w:tcPr>
            <w:tcW w:w="3300" w:type="dxa"/>
            <w:vAlign w:val="bottom"/>
            <w:shd w:val="clear" w:color="auto" w:fill="CCECFF"/>
          </w:tcPr>
          <w:p>
            <w:pPr>
              <w:spacing w:after="0"/>
              <w:rPr>
                <w:sz w:val="6"/>
                <w:szCs w:val="6"/>
                <w:color w:val="auto"/>
              </w:rPr>
            </w:pPr>
          </w:p>
        </w:tc>
        <w:tc>
          <w:tcPr>
            <w:tcW w:w="800" w:type="dxa"/>
            <w:vAlign w:val="bottom"/>
            <w:shd w:val="clear" w:color="auto" w:fill="CCECFF"/>
          </w:tcPr>
          <w:p>
            <w:pPr>
              <w:spacing w:after="0"/>
              <w:rPr>
                <w:sz w:val="6"/>
                <w:szCs w:val="6"/>
                <w:color w:val="auto"/>
              </w:rPr>
            </w:pPr>
          </w:p>
        </w:tc>
        <w:tc>
          <w:tcPr>
            <w:tcW w:w="2460" w:type="dxa"/>
            <w:vAlign w:val="bottom"/>
            <w:vMerge w:val="continue"/>
            <w:shd w:val="clear" w:color="auto" w:fill="CCECFF"/>
          </w:tcPr>
          <w:p>
            <w:pPr>
              <w:spacing w:after="0"/>
              <w:rPr>
                <w:sz w:val="6"/>
                <w:szCs w:val="6"/>
                <w:color w:val="auto"/>
              </w:rPr>
            </w:pPr>
          </w:p>
        </w:tc>
        <w:tc>
          <w:tcPr>
            <w:tcW w:w="540" w:type="dxa"/>
            <w:vAlign w:val="bottom"/>
            <w:shd w:val="clear" w:color="auto" w:fill="CCECFF"/>
          </w:tcPr>
          <w:p>
            <w:pPr>
              <w:spacing w:after="0"/>
              <w:rPr>
                <w:sz w:val="6"/>
                <w:szCs w:val="6"/>
                <w:color w:val="auto"/>
              </w:rPr>
            </w:pPr>
          </w:p>
        </w:tc>
        <w:tc>
          <w:tcPr>
            <w:tcW w:w="280" w:type="dxa"/>
            <w:vAlign w:val="bottom"/>
            <w:vMerge w:val="continue"/>
            <w:shd w:val="clear" w:color="auto" w:fill="CCECFF"/>
          </w:tcPr>
          <w:p>
            <w:pPr>
              <w:spacing w:after="0"/>
              <w:rPr>
                <w:sz w:val="6"/>
                <w:szCs w:val="6"/>
                <w:color w:val="auto"/>
              </w:rPr>
            </w:pPr>
          </w:p>
        </w:tc>
        <w:tc>
          <w:tcPr>
            <w:tcW w:w="920" w:type="dxa"/>
            <w:vAlign w:val="bottom"/>
            <w:vMerge w:val="continue"/>
            <w:shd w:val="clear" w:color="auto" w:fill="CCECFF"/>
          </w:tcPr>
          <w:p>
            <w:pPr>
              <w:spacing w:after="0"/>
              <w:rPr>
                <w:sz w:val="6"/>
                <w:szCs w:val="6"/>
                <w:color w:val="auto"/>
              </w:rPr>
            </w:pPr>
          </w:p>
        </w:tc>
        <w:tc>
          <w:tcPr>
            <w:tcW w:w="780" w:type="dxa"/>
            <w:vAlign w:val="bottom"/>
            <w:vMerge w:val="continue"/>
            <w:shd w:val="clear" w:color="auto" w:fill="CCECFF"/>
          </w:tcPr>
          <w:p>
            <w:pPr>
              <w:spacing w:after="0"/>
              <w:rPr>
                <w:sz w:val="6"/>
                <w:szCs w:val="6"/>
                <w:color w:val="auto"/>
              </w:rPr>
            </w:pPr>
          </w:p>
        </w:tc>
        <w:tc>
          <w:tcPr>
            <w:tcW w:w="220" w:type="dxa"/>
            <w:vAlign w:val="bottom"/>
            <w:shd w:val="clear" w:color="auto" w:fill="CCECFF"/>
          </w:tcPr>
          <w:p>
            <w:pPr>
              <w:spacing w:after="0"/>
              <w:rPr>
                <w:sz w:val="6"/>
                <w:szCs w:val="6"/>
                <w:color w:val="auto"/>
              </w:rPr>
            </w:pPr>
          </w:p>
        </w:tc>
        <w:tc>
          <w:tcPr>
            <w:tcW w:w="520" w:type="dxa"/>
            <w:vAlign w:val="bottom"/>
            <w:vMerge w:val="continue"/>
            <w:shd w:val="clear" w:color="auto" w:fill="CCECFF"/>
          </w:tcPr>
          <w:p>
            <w:pPr>
              <w:spacing w:after="0"/>
              <w:rPr>
                <w:sz w:val="6"/>
                <w:szCs w:val="6"/>
                <w:color w:val="auto"/>
              </w:rPr>
            </w:pPr>
          </w:p>
        </w:tc>
        <w:tc>
          <w:tcPr>
            <w:tcW w:w="260" w:type="dxa"/>
            <w:vAlign w:val="bottom"/>
            <w:shd w:val="clear" w:color="auto" w:fill="CCECFF"/>
          </w:tcPr>
          <w:p>
            <w:pPr>
              <w:spacing w:after="0"/>
              <w:rPr>
                <w:sz w:val="6"/>
                <w:szCs w:val="6"/>
                <w:color w:val="auto"/>
              </w:rPr>
            </w:pPr>
          </w:p>
        </w:tc>
        <w:tc>
          <w:tcPr>
            <w:tcW w:w="480" w:type="dxa"/>
            <w:vAlign w:val="bottom"/>
            <w:vMerge w:val="continue"/>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3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Home and Office Furnishings, Housewares and Durable</w:t>
            </w: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3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GGG MIDCO, LLC (Common) </w:t>
            </w:r>
            <w:r>
              <w:rPr>
                <w:rFonts w:ascii="Times New Roman" w:cs="Times New Roman" w:eastAsia="Times New Roman" w:hAnsi="Times New Roman"/>
                <w:sz w:val="12"/>
                <w:szCs w:val="12"/>
                <w:color w:val="auto"/>
                <w:vertAlign w:val="superscript"/>
              </w:rPr>
              <w:t>(10)</w:t>
            </w:r>
          </w:p>
        </w:tc>
        <w:tc>
          <w:tcPr>
            <w:tcW w:w="800" w:type="dxa"/>
            <w:vAlign w:val="bottom"/>
          </w:tcPr>
          <w:p>
            <w:pPr>
              <w:spacing w:after="0"/>
              <w:rPr>
                <w:sz w:val="10"/>
                <w:szCs w:val="1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54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1,222,700</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1,223</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1,223</w:t>
            </w:r>
          </w:p>
        </w:tc>
        <w:tc>
          <w:tcPr>
            <w:tcW w:w="0" w:type="dxa"/>
            <w:vAlign w:val="bottom"/>
          </w:tcPr>
          <w:p>
            <w:pPr>
              <w:spacing w:after="0"/>
              <w:rPr>
                <w:sz w:val="1"/>
                <w:szCs w:val="1"/>
                <w:color w:val="auto"/>
              </w:rPr>
            </w:pPr>
          </w:p>
        </w:tc>
      </w:tr>
      <w:tr>
        <w:trPr>
          <w:trHeight w:val="120"/>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GMP Hills, LP - Common Equity</w:t>
            </w:r>
          </w:p>
        </w:tc>
        <w:tc>
          <w:tcPr>
            <w:tcW w:w="80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3,747,470</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3,747</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3,673</w:t>
            </w:r>
          </w:p>
        </w:tc>
        <w:tc>
          <w:tcPr>
            <w:tcW w:w="0" w:type="dxa"/>
            <w:vAlign w:val="bottom"/>
          </w:tcPr>
          <w:p>
            <w:pPr>
              <w:spacing w:after="0"/>
              <w:rPr>
                <w:sz w:val="1"/>
                <w:szCs w:val="1"/>
                <w:color w:val="auto"/>
              </w:rPr>
            </w:pPr>
          </w:p>
        </w:tc>
      </w:tr>
      <w:tr>
        <w:trPr>
          <w:trHeight w:val="120"/>
        </w:trPr>
        <w:tc>
          <w:tcPr>
            <w:tcW w:w="33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Hancock Claims Consultants Investors, LLC </w:t>
            </w:r>
            <w:r>
              <w:rPr>
                <w:rFonts w:ascii="Times New Roman" w:cs="Times New Roman" w:eastAsia="Times New Roman" w:hAnsi="Times New Roman"/>
                <w:sz w:val="12"/>
                <w:szCs w:val="12"/>
                <w:color w:val="auto"/>
                <w:vertAlign w:val="superscript"/>
              </w:rPr>
              <w:t>(10)</w:t>
            </w:r>
          </w:p>
        </w:tc>
        <w:tc>
          <w:tcPr>
            <w:tcW w:w="800" w:type="dxa"/>
            <w:vAlign w:val="bottom"/>
          </w:tcPr>
          <w:p>
            <w:pPr>
              <w:spacing w:after="0"/>
              <w:rPr>
                <w:sz w:val="10"/>
                <w:szCs w:val="1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54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450,000</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450</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275</w:t>
            </w:r>
          </w:p>
        </w:tc>
        <w:tc>
          <w:tcPr>
            <w:tcW w:w="0" w:type="dxa"/>
            <w:vAlign w:val="bottom"/>
          </w:tcPr>
          <w:p>
            <w:pPr>
              <w:spacing w:after="0"/>
              <w:rPr>
                <w:sz w:val="1"/>
                <w:szCs w:val="1"/>
                <w:color w:val="auto"/>
              </w:rPr>
            </w:pPr>
          </w:p>
        </w:tc>
      </w:tr>
      <w:tr>
        <w:trPr>
          <w:trHeight w:val="120"/>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HPA SPQ Aggregator LP- Common Equity</w:t>
            </w:r>
          </w:p>
        </w:tc>
        <w:tc>
          <w:tcPr>
            <w:tcW w:w="80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750,399</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750</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842</w:t>
            </w:r>
          </w:p>
        </w:tc>
        <w:tc>
          <w:tcPr>
            <w:tcW w:w="0" w:type="dxa"/>
            <w:vAlign w:val="bottom"/>
          </w:tcPr>
          <w:p>
            <w:pPr>
              <w:spacing w:after="0"/>
              <w:rPr>
                <w:sz w:val="1"/>
                <w:szCs w:val="1"/>
                <w:color w:val="auto"/>
              </w:rPr>
            </w:pPr>
          </w:p>
        </w:tc>
      </w:tr>
      <w:tr>
        <w:trPr>
          <w:trHeight w:val="120"/>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800" w:type="dxa"/>
            <w:vAlign w:val="bottom"/>
          </w:tcPr>
          <w:p>
            <w:pPr>
              <w:spacing w:after="0"/>
              <w:rPr>
                <w:sz w:val="10"/>
                <w:szCs w:val="1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4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1,600,000</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1,600</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252</w:t>
            </w:r>
          </w:p>
        </w:tc>
        <w:tc>
          <w:tcPr>
            <w:tcW w:w="0" w:type="dxa"/>
            <w:vAlign w:val="bottom"/>
          </w:tcPr>
          <w:p>
            <w:pPr>
              <w:spacing w:after="0"/>
              <w:rPr>
                <w:sz w:val="1"/>
                <w:szCs w:val="1"/>
                <w:color w:val="auto"/>
              </w:rPr>
            </w:pPr>
          </w:p>
        </w:tc>
      </w:tr>
      <w:tr>
        <w:trPr>
          <w:trHeight w:val="120"/>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Icon Partners V C, L.P.</w:t>
            </w:r>
          </w:p>
        </w:tc>
        <w:tc>
          <w:tcPr>
            <w:tcW w:w="80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1,122,549</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1,123</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1,123</w:t>
            </w:r>
          </w:p>
        </w:tc>
        <w:tc>
          <w:tcPr>
            <w:tcW w:w="0" w:type="dxa"/>
            <w:vAlign w:val="bottom"/>
          </w:tcPr>
          <w:p>
            <w:pPr>
              <w:spacing w:after="0"/>
              <w:rPr>
                <w:sz w:val="1"/>
                <w:szCs w:val="1"/>
                <w:color w:val="auto"/>
              </w:rPr>
            </w:pPr>
          </w:p>
        </w:tc>
      </w:tr>
      <w:tr>
        <w:trPr>
          <w:trHeight w:val="120"/>
        </w:trPr>
        <w:tc>
          <w:tcPr>
            <w:tcW w:w="33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Icon Partners V C, L.P. - Unfunded </w:t>
            </w:r>
            <w:r>
              <w:rPr>
                <w:rFonts w:ascii="Times New Roman" w:cs="Times New Roman" w:eastAsia="Times New Roman" w:hAnsi="Times New Roman"/>
                <w:sz w:val="12"/>
                <w:szCs w:val="12"/>
                <w:color w:val="auto"/>
                <w:vertAlign w:val="superscript"/>
              </w:rPr>
              <w:t>(8)</w:t>
            </w:r>
          </w:p>
        </w:tc>
        <w:tc>
          <w:tcPr>
            <w:tcW w:w="800" w:type="dxa"/>
            <w:vAlign w:val="bottom"/>
          </w:tcPr>
          <w:p>
            <w:pPr>
              <w:spacing w:after="0"/>
              <w:rPr>
                <w:sz w:val="10"/>
                <w:szCs w:val="1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4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377,451</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IHS Parent Holdngs, L.P.</w:t>
            </w:r>
          </w:p>
        </w:tc>
        <w:tc>
          <w:tcPr>
            <w:tcW w:w="80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1,218,045</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1,218</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1,535</w:t>
            </w:r>
          </w:p>
        </w:tc>
        <w:tc>
          <w:tcPr>
            <w:tcW w:w="0" w:type="dxa"/>
            <w:vAlign w:val="bottom"/>
          </w:tcPr>
          <w:p>
            <w:pPr>
              <w:spacing w:after="0"/>
              <w:rPr>
                <w:sz w:val="1"/>
                <w:szCs w:val="1"/>
                <w:color w:val="auto"/>
              </w:rPr>
            </w:pPr>
          </w:p>
        </w:tc>
      </w:tr>
      <w:tr>
        <w:trPr>
          <w:trHeight w:val="120"/>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Imagine Topco, LP</w:t>
            </w:r>
          </w:p>
        </w:tc>
        <w:tc>
          <w:tcPr>
            <w:tcW w:w="800" w:type="dxa"/>
            <w:vAlign w:val="bottom"/>
          </w:tcPr>
          <w:p>
            <w:pPr>
              <w:spacing w:after="0"/>
              <w:rPr>
                <w:sz w:val="10"/>
                <w:szCs w:val="1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4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743,826</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Infogroup Parent Holdings, Inc.</w:t>
            </w:r>
          </w:p>
        </w:tc>
        <w:tc>
          <w:tcPr>
            <w:tcW w:w="80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Other Media</w:t>
            </w: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181,495</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2,040</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2,711</w:t>
            </w:r>
          </w:p>
        </w:tc>
        <w:tc>
          <w:tcPr>
            <w:tcW w:w="0" w:type="dxa"/>
            <w:vAlign w:val="bottom"/>
          </w:tcPr>
          <w:p>
            <w:pPr>
              <w:spacing w:after="0"/>
              <w:rPr>
                <w:sz w:val="1"/>
                <w:szCs w:val="1"/>
                <w:color w:val="auto"/>
              </w:rPr>
            </w:pPr>
          </w:p>
        </w:tc>
      </w:tr>
      <w:tr>
        <w:trPr>
          <w:trHeight w:val="120"/>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Ironclad Holdco, LLC (Applied Technical Services, LLC)</w:t>
            </w:r>
          </w:p>
        </w:tc>
        <w:tc>
          <w:tcPr>
            <w:tcW w:w="800" w:type="dxa"/>
            <w:vAlign w:val="bottom"/>
          </w:tcPr>
          <w:p>
            <w:pPr>
              <w:spacing w:after="0"/>
              <w:rPr>
                <w:sz w:val="10"/>
                <w:szCs w:val="1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54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4,993</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525</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776</w:t>
            </w:r>
          </w:p>
        </w:tc>
        <w:tc>
          <w:tcPr>
            <w:tcW w:w="0" w:type="dxa"/>
            <w:vAlign w:val="bottom"/>
          </w:tcPr>
          <w:p>
            <w:pPr>
              <w:spacing w:after="0"/>
              <w:rPr>
                <w:sz w:val="1"/>
                <w:szCs w:val="1"/>
                <w:color w:val="auto"/>
              </w:rPr>
            </w:pPr>
          </w:p>
        </w:tc>
      </w:tr>
      <w:tr>
        <w:trPr>
          <w:trHeight w:val="120"/>
        </w:trPr>
        <w:tc>
          <w:tcPr>
            <w:tcW w:w="33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ITC Infusion Co-invest, LP </w:t>
            </w:r>
            <w:r>
              <w:rPr>
                <w:rFonts w:ascii="Times New Roman" w:cs="Times New Roman" w:eastAsia="Times New Roman" w:hAnsi="Times New Roman"/>
                <w:sz w:val="12"/>
                <w:szCs w:val="12"/>
                <w:color w:val="auto"/>
                <w:vertAlign w:val="superscript"/>
              </w:rPr>
              <w:t>(10)</w:t>
            </w:r>
          </w:p>
        </w:tc>
        <w:tc>
          <w:tcPr>
            <w:tcW w:w="80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162,445</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1,645</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2,443</w:t>
            </w:r>
          </w:p>
        </w:tc>
        <w:tc>
          <w:tcPr>
            <w:tcW w:w="0" w:type="dxa"/>
            <w:vAlign w:val="bottom"/>
          </w:tcPr>
          <w:p>
            <w:pPr>
              <w:spacing w:after="0"/>
              <w:rPr>
                <w:sz w:val="1"/>
                <w:szCs w:val="1"/>
                <w:color w:val="auto"/>
              </w:rPr>
            </w:pPr>
          </w:p>
        </w:tc>
      </w:tr>
      <w:tr>
        <w:trPr>
          <w:trHeight w:val="120"/>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800" w:type="dxa"/>
            <w:vAlign w:val="bottom"/>
          </w:tcPr>
          <w:p>
            <w:pPr>
              <w:spacing w:after="0"/>
              <w:rPr>
                <w:sz w:val="10"/>
                <w:szCs w:val="1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54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1,308,814</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1,309</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1,498</w:t>
            </w:r>
          </w:p>
        </w:tc>
        <w:tc>
          <w:tcPr>
            <w:tcW w:w="0" w:type="dxa"/>
            <w:vAlign w:val="bottom"/>
          </w:tcPr>
          <w:p>
            <w:pPr>
              <w:spacing w:after="0"/>
              <w:rPr>
                <w:sz w:val="1"/>
                <w:szCs w:val="1"/>
                <w:color w:val="auto"/>
              </w:rPr>
            </w:pPr>
          </w:p>
        </w:tc>
      </w:tr>
      <w:tr>
        <w:trPr>
          <w:trHeight w:val="120"/>
        </w:trPr>
        <w:tc>
          <w:tcPr>
            <w:tcW w:w="33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KL Stockton Co-Invest LP (Any Hour Services) </w:t>
            </w:r>
            <w:r>
              <w:rPr>
                <w:rFonts w:ascii="Times New Roman" w:cs="Times New Roman" w:eastAsia="Times New Roman" w:hAnsi="Times New Roman"/>
                <w:sz w:val="12"/>
                <w:szCs w:val="12"/>
                <w:color w:val="auto"/>
                <w:vertAlign w:val="superscript"/>
              </w:rPr>
              <w:t>(10)</w:t>
            </w:r>
          </w:p>
        </w:tc>
        <w:tc>
          <w:tcPr>
            <w:tcW w:w="80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382,353</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385</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884</w:t>
            </w:r>
          </w:p>
        </w:tc>
        <w:tc>
          <w:tcPr>
            <w:tcW w:w="0" w:type="dxa"/>
            <w:vAlign w:val="bottom"/>
          </w:tcPr>
          <w:p>
            <w:pPr>
              <w:spacing w:after="0"/>
              <w:rPr>
                <w:sz w:val="1"/>
                <w:szCs w:val="1"/>
                <w:color w:val="auto"/>
              </w:rPr>
            </w:pPr>
          </w:p>
        </w:tc>
      </w:tr>
      <w:tr>
        <w:trPr>
          <w:trHeight w:val="120"/>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LEP Pequod Holdings, LP</w:t>
            </w:r>
          </w:p>
        </w:tc>
        <w:tc>
          <w:tcPr>
            <w:tcW w:w="800" w:type="dxa"/>
            <w:vAlign w:val="bottom"/>
          </w:tcPr>
          <w:p>
            <w:pPr>
              <w:spacing w:after="0"/>
              <w:rPr>
                <w:sz w:val="10"/>
                <w:szCs w:val="1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54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350</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865</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1,004</w:t>
            </w:r>
          </w:p>
        </w:tc>
        <w:tc>
          <w:tcPr>
            <w:tcW w:w="0" w:type="dxa"/>
            <w:vAlign w:val="bottom"/>
          </w:tcPr>
          <w:p>
            <w:pPr>
              <w:spacing w:after="0"/>
              <w:rPr>
                <w:sz w:val="1"/>
                <w:szCs w:val="1"/>
                <w:color w:val="auto"/>
              </w:rPr>
            </w:pPr>
          </w:p>
        </w:tc>
      </w:tr>
      <w:tr>
        <w:trPr>
          <w:trHeight w:val="120"/>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Lightspeed Investment Holdco LLC</w:t>
            </w:r>
          </w:p>
        </w:tc>
        <w:tc>
          <w:tcPr>
            <w:tcW w:w="80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273,143</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273</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988</w:t>
            </w:r>
          </w:p>
        </w:tc>
        <w:tc>
          <w:tcPr>
            <w:tcW w:w="0" w:type="dxa"/>
            <w:vAlign w:val="bottom"/>
          </w:tcPr>
          <w:p>
            <w:pPr>
              <w:spacing w:after="0"/>
              <w:rPr>
                <w:sz w:val="1"/>
                <w:szCs w:val="1"/>
                <w:color w:val="auto"/>
              </w:rPr>
            </w:pPr>
          </w:p>
        </w:tc>
      </w:tr>
      <w:tr>
        <w:trPr>
          <w:trHeight w:val="120"/>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LJ Avalon, LP</w:t>
            </w:r>
          </w:p>
        </w:tc>
        <w:tc>
          <w:tcPr>
            <w:tcW w:w="800" w:type="dxa"/>
            <w:vAlign w:val="bottom"/>
          </w:tcPr>
          <w:p>
            <w:pPr>
              <w:spacing w:after="0"/>
              <w:rPr>
                <w:sz w:val="10"/>
                <w:szCs w:val="1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54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851,087</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851</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1,038</w:t>
            </w:r>
          </w:p>
        </w:tc>
        <w:tc>
          <w:tcPr>
            <w:tcW w:w="0" w:type="dxa"/>
            <w:vAlign w:val="bottom"/>
          </w:tcPr>
          <w:p>
            <w:pPr>
              <w:spacing w:after="0"/>
              <w:rPr>
                <w:sz w:val="1"/>
                <w:szCs w:val="1"/>
                <w:color w:val="auto"/>
              </w:rPr>
            </w:pPr>
          </w:p>
        </w:tc>
      </w:tr>
      <w:tr>
        <w:trPr>
          <w:trHeight w:val="120"/>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Lorient Peregrine Investments, LP</w:t>
            </w:r>
          </w:p>
        </w:tc>
        <w:tc>
          <w:tcPr>
            <w:tcW w:w="80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335,590</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4,530</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4,453</w:t>
            </w:r>
          </w:p>
        </w:tc>
        <w:tc>
          <w:tcPr>
            <w:tcW w:w="0" w:type="dxa"/>
            <w:vAlign w:val="bottom"/>
          </w:tcPr>
          <w:p>
            <w:pPr>
              <w:spacing w:after="0"/>
              <w:rPr>
                <w:sz w:val="1"/>
                <w:szCs w:val="1"/>
                <w:color w:val="auto"/>
              </w:rPr>
            </w:pPr>
          </w:p>
        </w:tc>
      </w:tr>
      <w:tr>
        <w:trPr>
          <w:trHeight w:val="120"/>
        </w:trPr>
        <w:tc>
          <w:tcPr>
            <w:tcW w:w="33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A </w:t>
            </w:r>
            <w:r>
              <w:rPr>
                <w:rFonts w:ascii="Times New Roman" w:cs="Times New Roman" w:eastAsia="Times New Roman" w:hAnsi="Times New Roman"/>
                <w:sz w:val="12"/>
                <w:szCs w:val="12"/>
                <w:color w:val="auto"/>
                <w:vertAlign w:val="superscript"/>
              </w:rPr>
              <w:t>(10)</w:t>
            </w:r>
          </w:p>
        </w:tc>
        <w:tc>
          <w:tcPr>
            <w:tcW w:w="800" w:type="dxa"/>
            <w:vAlign w:val="bottom"/>
          </w:tcPr>
          <w:p>
            <w:pPr>
              <w:spacing w:after="0"/>
              <w:rPr>
                <w:sz w:val="10"/>
                <w:szCs w:val="1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54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1,545,460</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3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B </w:t>
            </w:r>
            <w:r>
              <w:rPr>
                <w:rFonts w:ascii="Times New Roman" w:cs="Times New Roman" w:eastAsia="Times New Roman" w:hAnsi="Times New Roman"/>
                <w:sz w:val="12"/>
                <w:szCs w:val="12"/>
                <w:color w:val="auto"/>
                <w:vertAlign w:val="superscript"/>
              </w:rPr>
              <w:t>(10)</w:t>
            </w:r>
          </w:p>
        </w:tc>
        <w:tc>
          <w:tcPr>
            <w:tcW w:w="80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1,017,840</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MDI Aggregator, LP</w:t>
            </w:r>
          </w:p>
        </w:tc>
        <w:tc>
          <w:tcPr>
            <w:tcW w:w="800" w:type="dxa"/>
            <w:vAlign w:val="bottom"/>
          </w:tcPr>
          <w:p>
            <w:pPr>
              <w:spacing w:after="0"/>
              <w:rPr>
                <w:sz w:val="10"/>
                <w:szCs w:val="1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54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30,993</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3,103</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3,599</w:t>
            </w:r>
          </w:p>
        </w:tc>
        <w:tc>
          <w:tcPr>
            <w:tcW w:w="0" w:type="dxa"/>
            <w:vAlign w:val="bottom"/>
          </w:tcPr>
          <w:p>
            <w:pPr>
              <w:spacing w:after="0"/>
              <w:rPr>
                <w:sz w:val="1"/>
                <w:szCs w:val="1"/>
                <w:color w:val="auto"/>
              </w:rPr>
            </w:pPr>
          </w:p>
        </w:tc>
      </w:tr>
      <w:tr>
        <w:trPr>
          <w:trHeight w:val="120"/>
        </w:trPr>
        <w:tc>
          <w:tcPr>
            <w:tcW w:w="33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Meadowlark Title, LLC </w:t>
            </w:r>
            <w:r>
              <w:rPr>
                <w:rFonts w:ascii="Times New Roman" w:cs="Times New Roman" w:eastAsia="Times New Roman" w:hAnsi="Times New Roman"/>
                <w:sz w:val="12"/>
                <w:szCs w:val="12"/>
                <w:color w:val="auto"/>
                <w:vertAlign w:val="superscript"/>
              </w:rPr>
              <w:t>(10)</w:t>
            </w:r>
          </w:p>
        </w:tc>
        <w:tc>
          <w:tcPr>
            <w:tcW w:w="80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815,385</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802</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Megawatt Acquisition Partners, LLC - Common Equity A</w:t>
            </w:r>
          </w:p>
        </w:tc>
        <w:tc>
          <w:tcPr>
            <w:tcW w:w="800" w:type="dxa"/>
            <w:vAlign w:val="bottom"/>
          </w:tcPr>
          <w:p>
            <w:pPr>
              <w:spacing w:after="0"/>
              <w:rPr>
                <w:sz w:val="10"/>
                <w:szCs w:val="1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54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594</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59</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w:t>
            </w:r>
          </w:p>
        </w:tc>
        <w:tc>
          <w:tcPr>
            <w:tcW w:w="0" w:type="dxa"/>
            <w:vAlign w:val="bottom"/>
          </w:tcPr>
          <w:p>
            <w:pPr>
              <w:spacing w:after="0"/>
              <w:rPr>
                <w:sz w:val="1"/>
                <w:szCs w:val="1"/>
                <w:color w:val="auto"/>
              </w:rPr>
            </w:pPr>
          </w:p>
        </w:tc>
      </w:tr>
      <w:tr>
        <w:trPr>
          <w:trHeight w:val="120"/>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80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3,920,145</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3,984</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6,272</w:t>
            </w:r>
          </w:p>
        </w:tc>
        <w:tc>
          <w:tcPr>
            <w:tcW w:w="0" w:type="dxa"/>
            <w:vAlign w:val="bottom"/>
          </w:tcPr>
          <w:p>
            <w:pPr>
              <w:spacing w:after="0"/>
              <w:rPr>
                <w:sz w:val="1"/>
                <w:szCs w:val="1"/>
                <w:color w:val="auto"/>
              </w:rPr>
            </w:pPr>
          </w:p>
        </w:tc>
      </w:tr>
      <w:tr>
        <w:trPr>
          <w:trHeight w:val="120"/>
        </w:trPr>
        <w:tc>
          <w:tcPr>
            <w:tcW w:w="33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NEPRT Parent Holdings, LLC (Recteq, LLC) </w:t>
            </w:r>
            <w:r>
              <w:rPr>
                <w:rFonts w:ascii="Times New Roman" w:cs="Times New Roman" w:eastAsia="Times New Roman" w:hAnsi="Times New Roman"/>
                <w:sz w:val="12"/>
                <w:szCs w:val="12"/>
                <w:color w:val="auto"/>
                <w:vertAlign w:val="superscript"/>
              </w:rPr>
              <w:t>(10)</w:t>
            </w:r>
          </w:p>
        </w:tc>
        <w:tc>
          <w:tcPr>
            <w:tcW w:w="800" w:type="dxa"/>
            <w:vAlign w:val="bottom"/>
          </w:tcPr>
          <w:p>
            <w:pPr>
              <w:spacing w:after="0"/>
              <w:rPr>
                <w:sz w:val="10"/>
                <w:szCs w:val="1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54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1,299</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1,250</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w:t>
            </w:r>
          </w:p>
        </w:tc>
        <w:tc>
          <w:tcPr>
            <w:tcW w:w="0" w:type="dxa"/>
            <w:vAlign w:val="bottom"/>
          </w:tcPr>
          <w:p>
            <w:pPr>
              <w:spacing w:after="0"/>
              <w:rPr>
                <w:sz w:val="1"/>
                <w:szCs w:val="1"/>
                <w:color w:val="auto"/>
              </w:rPr>
            </w:pPr>
          </w:p>
        </w:tc>
      </w:tr>
      <w:tr>
        <w:trPr>
          <w:trHeight w:val="120"/>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New Insight Holdings, Inc. - Common Equity</w:t>
            </w:r>
          </w:p>
        </w:tc>
        <w:tc>
          <w:tcPr>
            <w:tcW w:w="80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1,157</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120"/>
        </w:trPr>
        <w:tc>
          <w:tcPr>
            <w:tcW w:w="33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New Medina Health, LLC </w:t>
            </w:r>
            <w:r>
              <w:rPr>
                <w:rFonts w:ascii="Times New Roman" w:cs="Times New Roman" w:eastAsia="Times New Roman" w:hAnsi="Times New Roman"/>
                <w:sz w:val="12"/>
                <w:szCs w:val="12"/>
                <w:color w:val="auto"/>
                <w:vertAlign w:val="superscript"/>
              </w:rPr>
              <w:t>(10)</w:t>
            </w:r>
          </w:p>
        </w:tc>
        <w:tc>
          <w:tcPr>
            <w:tcW w:w="800" w:type="dxa"/>
            <w:vAlign w:val="bottom"/>
          </w:tcPr>
          <w:p>
            <w:pPr>
              <w:spacing w:after="0"/>
              <w:rPr>
                <w:sz w:val="10"/>
                <w:szCs w:val="1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54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1,429,480</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1,429</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2,231</w:t>
            </w:r>
          </w:p>
        </w:tc>
        <w:tc>
          <w:tcPr>
            <w:tcW w:w="0" w:type="dxa"/>
            <w:vAlign w:val="bottom"/>
          </w:tcPr>
          <w:p>
            <w:pPr>
              <w:spacing w:after="0"/>
              <w:rPr>
                <w:sz w:val="1"/>
                <w:szCs w:val="1"/>
                <w:color w:val="auto"/>
              </w:rPr>
            </w:pPr>
          </w:p>
        </w:tc>
      </w:tr>
      <w:tr>
        <w:trPr>
          <w:trHeight w:val="120"/>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NFS - CFP Holdings LLC - Common Equity</w:t>
            </w:r>
          </w:p>
        </w:tc>
        <w:tc>
          <w:tcPr>
            <w:tcW w:w="80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662,983</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663</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663</w:t>
            </w:r>
          </w:p>
        </w:tc>
        <w:tc>
          <w:tcPr>
            <w:tcW w:w="0" w:type="dxa"/>
            <w:vAlign w:val="bottom"/>
          </w:tcPr>
          <w:p>
            <w:pPr>
              <w:spacing w:after="0"/>
              <w:rPr>
                <w:sz w:val="1"/>
                <w:szCs w:val="1"/>
                <w:color w:val="auto"/>
              </w:rPr>
            </w:pPr>
          </w:p>
        </w:tc>
      </w:tr>
      <w:tr>
        <w:trPr>
          <w:trHeight w:val="120"/>
        </w:trPr>
        <w:tc>
          <w:tcPr>
            <w:tcW w:w="33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NORA Parent Holdings, LLC </w:t>
            </w:r>
            <w:r>
              <w:rPr>
                <w:rFonts w:ascii="Times New Roman" w:cs="Times New Roman" w:eastAsia="Times New Roman" w:hAnsi="Times New Roman"/>
                <w:sz w:val="12"/>
                <w:szCs w:val="12"/>
                <w:color w:val="auto"/>
                <w:vertAlign w:val="superscript"/>
              </w:rPr>
              <w:t>(10)</w:t>
            </w:r>
          </w:p>
        </w:tc>
        <w:tc>
          <w:tcPr>
            <w:tcW w:w="800" w:type="dxa"/>
            <w:vAlign w:val="bottom"/>
          </w:tcPr>
          <w:p>
            <w:pPr>
              <w:spacing w:after="0"/>
              <w:rPr>
                <w:sz w:val="10"/>
                <w:szCs w:val="1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54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1,257</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1,248</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1,115</w:t>
            </w:r>
          </w:p>
        </w:tc>
        <w:tc>
          <w:tcPr>
            <w:tcW w:w="0" w:type="dxa"/>
            <w:vAlign w:val="bottom"/>
          </w:tcPr>
          <w:p>
            <w:pPr>
              <w:spacing w:after="0"/>
              <w:rPr>
                <w:sz w:val="1"/>
                <w:szCs w:val="1"/>
                <w:color w:val="auto"/>
              </w:rPr>
            </w:pPr>
          </w:p>
        </w:tc>
      </w:tr>
      <w:tr>
        <w:trPr>
          <w:trHeight w:val="120"/>
        </w:trPr>
        <w:tc>
          <w:tcPr>
            <w:tcW w:w="33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North Haven Saints Equity Holdings, LP </w:t>
            </w:r>
            <w:r>
              <w:rPr>
                <w:rFonts w:ascii="Times New Roman" w:cs="Times New Roman" w:eastAsia="Times New Roman" w:hAnsi="Times New Roman"/>
                <w:sz w:val="12"/>
                <w:szCs w:val="12"/>
                <w:color w:val="auto"/>
                <w:vertAlign w:val="superscript"/>
              </w:rPr>
              <w:t>(10)</w:t>
            </w:r>
          </w:p>
        </w:tc>
        <w:tc>
          <w:tcPr>
            <w:tcW w:w="80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351,553</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352</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20"/>
        </w:trPr>
        <w:tc>
          <w:tcPr>
            <w:tcW w:w="3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380" w:type="dxa"/>
            <w:vAlign w:val="bottom"/>
          </w:tcPr>
          <w:p>
            <w:pPr>
              <w:spacing w:after="0"/>
              <w:rPr>
                <w:sz w:val="10"/>
                <w:szCs w:val="10"/>
                <w:color w:val="auto"/>
              </w:rPr>
            </w:pPr>
          </w:p>
        </w:tc>
        <w:tc>
          <w:tcPr>
            <w:tcW w:w="86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22"/>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Maturity</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380" w:type="dxa"/>
            <w:vAlign w:val="bottom"/>
          </w:tcPr>
          <w:p>
            <w:pPr>
              <w:spacing w:after="0"/>
              <w:rPr>
                <w:sz w:val="10"/>
                <w:szCs w:val="10"/>
                <w:color w:val="auto"/>
              </w:rPr>
            </w:pPr>
          </w:p>
        </w:tc>
        <w:tc>
          <w:tcPr>
            <w:tcW w:w="860" w:type="dxa"/>
            <w:vAlign w:val="bottom"/>
          </w:tcPr>
          <w:p>
            <w:pPr>
              <w:jc w:val="center"/>
              <w:ind w:right="7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20" w:type="dxa"/>
            <w:vAlign w:val="bottom"/>
          </w:tcPr>
          <w:p>
            <w:pPr>
              <w:spacing w:after="0"/>
              <w:rPr>
                <w:sz w:val="10"/>
                <w:szCs w:val="10"/>
                <w:color w:val="auto"/>
              </w:rPr>
            </w:pPr>
          </w:p>
        </w:tc>
        <w:tc>
          <w:tcPr>
            <w:tcW w:w="52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4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(3)</w:t>
            </w:r>
          </w:p>
        </w:tc>
      </w:tr>
      <w:tr>
        <w:trPr>
          <w:trHeight w:val="120"/>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Northwinds Services Group, LLC - Common Equity</w:t>
            </w:r>
          </w:p>
        </w:tc>
        <w:tc>
          <w:tcPr>
            <w:tcW w:w="960" w:type="dxa"/>
            <w:vAlign w:val="bottom"/>
            <w:shd w:val="clear" w:color="auto" w:fill="CCECFF"/>
          </w:tcPr>
          <w:p>
            <w:pPr>
              <w:spacing w:after="0"/>
              <w:rPr>
                <w:sz w:val="10"/>
                <w:szCs w:val="10"/>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Consumer Services</w:t>
            </w:r>
          </w:p>
        </w:tc>
        <w:tc>
          <w:tcPr>
            <w:tcW w:w="640" w:type="dxa"/>
            <w:vAlign w:val="bottom"/>
            <w:shd w:val="clear" w:color="auto" w:fill="CCECFF"/>
          </w:tcPr>
          <w:p>
            <w:pPr>
              <w:spacing w:after="0"/>
              <w:rPr>
                <w:sz w:val="10"/>
                <w:szCs w:val="10"/>
                <w:color w:val="auto"/>
              </w:rPr>
            </w:pPr>
          </w:p>
        </w:tc>
        <w:tc>
          <w:tcPr>
            <w:tcW w:w="3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840,000</w:t>
            </w:r>
          </w:p>
        </w:tc>
        <w:tc>
          <w:tcPr>
            <w:tcW w:w="2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1,680</w:t>
            </w:r>
          </w:p>
        </w:tc>
        <w:tc>
          <w:tcPr>
            <w:tcW w:w="2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1,680</w:t>
            </w:r>
          </w:p>
        </w:tc>
      </w:tr>
      <w:tr>
        <w:trPr>
          <w:trHeight w:val="120"/>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NXOF Holdings, Inc.</w:t>
            </w:r>
          </w:p>
        </w:tc>
        <w:tc>
          <w:tcPr>
            <w:tcW w:w="960" w:type="dxa"/>
            <w:vAlign w:val="bottom"/>
          </w:tcPr>
          <w:p>
            <w:pPr>
              <w:spacing w:after="0"/>
              <w:rPr>
                <w:sz w:val="10"/>
                <w:szCs w:val="1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40" w:type="dxa"/>
            <w:vAlign w:val="bottom"/>
          </w:tcPr>
          <w:p>
            <w:pPr>
              <w:spacing w:after="0"/>
              <w:rPr>
                <w:sz w:val="10"/>
                <w:szCs w:val="10"/>
                <w:color w:val="auto"/>
              </w:rPr>
            </w:pP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8,188</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3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OceanSound Discovery Equity, LP (Holdco Sands Intermediate, LLC) </w:t>
            </w:r>
            <w:r>
              <w:rPr>
                <w:rFonts w:ascii="Times New Roman" w:cs="Times New Roman" w:eastAsia="Times New Roman" w:hAnsi="Times New Roman"/>
                <w:sz w:val="12"/>
                <w:szCs w:val="12"/>
                <w:color w:val="auto"/>
                <w:vertAlign w:val="superscript"/>
              </w:rPr>
              <w:t>(10)</w:t>
            </w:r>
          </w:p>
        </w:tc>
        <w:tc>
          <w:tcPr>
            <w:tcW w:w="960" w:type="dxa"/>
            <w:vAlign w:val="bottom"/>
            <w:shd w:val="clear" w:color="auto" w:fill="CCECFF"/>
          </w:tcPr>
          <w:p>
            <w:pPr>
              <w:spacing w:after="0"/>
              <w:rPr>
                <w:sz w:val="10"/>
                <w:szCs w:val="10"/>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40" w:type="dxa"/>
            <w:vAlign w:val="bottom"/>
            <w:shd w:val="clear" w:color="auto" w:fill="CCECFF"/>
          </w:tcPr>
          <w:p>
            <w:pPr>
              <w:spacing w:after="0"/>
              <w:rPr>
                <w:sz w:val="10"/>
                <w:szCs w:val="10"/>
                <w:color w:val="auto"/>
              </w:rPr>
            </w:pPr>
          </w:p>
        </w:tc>
        <w:tc>
          <w:tcPr>
            <w:tcW w:w="3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98,286</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983</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997</w:t>
            </w:r>
          </w:p>
        </w:tc>
      </w:tr>
      <w:tr>
        <w:trPr>
          <w:trHeight w:val="120"/>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OES Co-Invest, LP Class A Common Equity</w:t>
            </w:r>
          </w:p>
        </w:tc>
        <w:tc>
          <w:tcPr>
            <w:tcW w:w="960" w:type="dxa"/>
            <w:vAlign w:val="bottom"/>
          </w:tcPr>
          <w:p>
            <w:pPr>
              <w:spacing w:after="0"/>
              <w:rPr>
                <w:sz w:val="10"/>
                <w:szCs w:val="1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Conglomerate Service</w:t>
            </w:r>
          </w:p>
        </w:tc>
        <w:tc>
          <w:tcPr>
            <w:tcW w:w="640" w:type="dxa"/>
            <w:vAlign w:val="bottom"/>
          </w:tcPr>
          <w:p>
            <w:pPr>
              <w:spacing w:after="0"/>
              <w:rPr>
                <w:sz w:val="10"/>
                <w:szCs w:val="10"/>
                <w:color w:val="auto"/>
              </w:rPr>
            </w:pP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840</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847</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937</w:t>
            </w:r>
          </w:p>
        </w:tc>
      </w:tr>
      <w:tr>
        <w:trPr>
          <w:trHeight w:val="120"/>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OHCP V BC COI, L.P.</w:t>
            </w:r>
          </w:p>
        </w:tc>
        <w:tc>
          <w:tcPr>
            <w:tcW w:w="960" w:type="dxa"/>
            <w:vAlign w:val="bottom"/>
            <w:shd w:val="clear" w:color="auto" w:fill="CCECFF"/>
          </w:tcPr>
          <w:p>
            <w:pPr>
              <w:spacing w:after="0"/>
              <w:rPr>
                <w:sz w:val="10"/>
                <w:szCs w:val="10"/>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640" w:type="dxa"/>
            <w:vAlign w:val="bottom"/>
            <w:shd w:val="clear" w:color="auto" w:fill="CCECFF"/>
          </w:tcPr>
          <w:p>
            <w:pPr>
              <w:spacing w:after="0"/>
              <w:rPr>
                <w:sz w:val="10"/>
                <w:szCs w:val="10"/>
                <w:color w:val="auto"/>
              </w:rPr>
            </w:pPr>
          </w:p>
        </w:tc>
        <w:tc>
          <w:tcPr>
            <w:tcW w:w="3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694,943</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695</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443</w:t>
            </w:r>
          </w:p>
        </w:tc>
      </w:tr>
      <w:tr>
        <w:trPr>
          <w:trHeight w:val="120"/>
        </w:trPr>
        <w:tc>
          <w:tcPr>
            <w:tcW w:w="33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OHCP V BC COI, L.P. - Unfunded </w:t>
            </w:r>
            <w:r>
              <w:rPr>
                <w:rFonts w:ascii="Times New Roman" w:cs="Times New Roman" w:eastAsia="Times New Roman" w:hAnsi="Times New Roman"/>
                <w:sz w:val="12"/>
                <w:szCs w:val="12"/>
                <w:color w:val="auto"/>
                <w:vertAlign w:val="superscript"/>
              </w:rPr>
              <w:t>(8)</w:t>
            </w:r>
          </w:p>
        </w:tc>
        <w:tc>
          <w:tcPr>
            <w:tcW w:w="960" w:type="dxa"/>
            <w:vAlign w:val="bottom"/>
          </w:tcPr>
          <w:p>
            <w:pPr>
              <w:spacing w:after="0"/>
              <w:rPr>
                <w:sz w:val="10"/>
                <w:szCs w:val="1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640" w:type="dxa"/>
            <w:vAlign w:val="bottom"/>
          </w:tcPr>
          <w:p>
            <w:pPr>
              <w:spacing w:after="0"/>
              <w:rPr>
                <w:sz w:val="10"/>
                <w:szCs w:val="10"/>
                <w:color w:val="auto"/>
              </w:rPr>
            </w:pP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55,057</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(20 )</w:t>
            </w:r>
          </w:p>
        </w:tc>
      </w:tr>
      <w:tr>
        <w:trPr>
          <w:trHeight w:val="120"/>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ORL Holdco, Inc.</w:t>
            </w:r>
          </w:p>
        </w:tc>
        <w:tc>
          <w:tcPr>
            <w:tcW w:w="960" w:type="dxa"/>
            <w:vAlign w:val="bottom"/>
            <w:shd w:val="clear" w:color="auto" w:fill="CCECFF"/>
          </w:tcPr>
          <w:p>
            <w:pPr>
              <w:spacing w:after="0"/>
              <w:rPr>
                <w:sz w:val="10"/>
                <w:szCs w:val="10"/>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40" w:type="dxa"/>
            <w:vAlign w:val="bottom"/>
            <w:shd w:val="clear" w:color="auto" w:fill="CCECFF"/>
          </w:tcPr>
          <w:p>
            <w:pPr>
              <w:spacing w:after="0"/>
              <w:rPr>
                <w:sz w:val="10"/>
                <w:szCs w:val="10"/>
                <w:color w:val="auto"/>
              </w:rPr>
            </w:pPr>
          </w:p>
        </w:tc>
        <w:tc>
          <w:tcPr>
            <w:tcW w:w="3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638</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OSP Embedded Aggregator, LP</w:t>
            </w:r>
          </w:p>
        </w:tc>
        <w:tc>
          <w:tcPr>
            <w:tcW w:w="960" w:type="dxa"/>
            <w:vAlign w:val="bottom"/>
          </w:tcPr>
          <w:p>
            <w:pPr>
              <w:spacing w:after="0"/>
              <w:rPr>
                <w:sz w:val="10"/>
                <w:szCs w:val="1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40" w:type="dxa"/>
            <w:vAlign w:val="bottom"/>
          </w:tcPr>
          <w:p>
            <w:pPr>
              <w:spacing w:after="0"/>
              <w:rPr>
                <w:sz w:val="10"/>
                <w:szCs w:val="10"/>
                <w:color w:val="auto"/>
              </w:rPr>
            </w:pP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870,536</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871</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553</w:t>
            </w:r>
          </w:p>
        </w:tc>
      </w:tr>
      <w:tr>
        <w:trPr>
          <w:trHeight w:val="120"/>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PAR Excellence Holdings, Inc. - Common Equity</w:t>
            </w:r>
          </w:p>
        </w:tc>
        <w:tc>
          <w:tcPr>
            <w:tcW w:w="960" w:type="dxa"/>
            <w:vAlign w:val="bottom"/>
            <w:shd w:val="clear" w:color="auto" w:fill="CCECFF"/>
          </w:tcPr>
          <w:p>
            <w:pPr>
              <w:spacing w:after="0"/>
              <w:rPr>
                <w:sz w:val="10"/>
                <w:szCs w:val="10"/>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640" w:type="dxa"/>
            <w:vAlign w:val="bottom"/>
            <w:shd w:val="clear" w:color="auto" w:fill="CCECFF"/>
          </w:tcPr>
          <w:p>
            <w:pPr>
              <w:spacing w:after="0"/>
              <w:rPr>
                <w:sz w:val="10"/>
                <w:szCs w:val="10"/>
                <w:color w:val="auto"/>
              </w:rPr>
            </w:pPr>
          </w:p>
        </w:tc>
        <w:tc>
          <w:tcPr>
            <w:tcW w:w="3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1,087,000</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1,087</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1,087</w:t>
            </w:r>
          </w:p>
        </w:tc>
      </w:tr>
      <w:tr>
        <w:trPr>
          <w:trHeight w:val="120"/>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PCS Parent, LP</w:t>
            </w:r>
          </w:p>
        </w:tc>
        <w:tc>
          <w:tcPr>
            <w:tcW w:w="960" w:type="dxa"/>
            <w:vAlign w:val="bottom"/>
          </w:tcPr>
          <w:p>
            <w:pPr>
              <w:spacing w:after="0"/>
              <w:rPr>
                <w:sz w:val="10"/>
                <w:szCs w:val="1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640" w:type="dxa"/>
            <w:vAlign w:val="bottom"/>
          </w:tcPr>
          <w:p>
            <w:pPr>
              <w:spacing w:after="0"/>
              <w:rPr>
                <w:sz w:val="10"/>
                <w:szCs w:val="10"/>
                <w:color w:val="auto"/>
              </w:rPr>
            </w:pP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421,304</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421</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442</w:t>
            </w:r>
          </w:p>
        </w:tc>
      </w:tr>
      <w:tr>
        <w:trPr>
          <w:trHeight w:val="120"/>
        </w:trPr>
        <w:tc>
          <w:tcPr>
            <w:tcW w:w="33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PennantPark-TSO Senior Loan Fund II, LP </w:t>
            </w:r>
            <w:r>
              <w:rPr>
                <w:rFonts w:ascii="Times New Roman" w:cs="Times New Roman" w:eastAsia="Times New Roman" w:hAnsi="Times New Roman"/>
                <w:sz w:val="12"/>
                <w:szCs w:val="12"/>
                <w:color w:val="auto"/>
                <w:vertAlign w:val="superscript"/>
              </w:rPr>
              <w:t>(12)</w:t>
            </w:r>
          </w:p>
        </w:tc>
        <w:tc>
          <w:tcPr>
            <w:tcW w:w="960" w:type="dxa"/>
            <w:vAlign w:val="bottom"/>
            <w:shd w:val="clear" w:color="auto" w:fill="CCECFF"/>
          </w:tcPr>
          <w:p>
            <w:pPr>
              <w:spacing w:after="0"/>
              <w:rPr>
                <w:sz w:val="10"/>
                <w:szCs w:val="10"/>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640" w:type="dxa"/>
            <w:vAlign w:val="bottom"/>
            <w:shd w:val="clear" w:color="auto" w:fill="CCECFF"/>
          </w:tcPr>
          <w:p>
            <w:pPr>
              <w:spacing w:after="0"/>
              <w:rPr>
                <w:sz w:val="10"/>
                <w:szCs w:val="10"/>
                <w:color w:val="auto"/>
              </w:rPr>
            </w:pPr>
          </w:p>
        </w:tc>
        <w:tc>
          <w:tcPr>
            <w:tcW w:w="3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8,115,794</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8,116</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8,126</w:t>
            </w:r>
          </w:p>
        </w:tc>
      </w:tr>
      <w:tr>
        <w:trPr>
          <w:trHeight w:val="120"/>
        </w:trPr>
        <w:tc>
          <w:tcPr>
            <w:tcW w:w="33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Pink Lily Holdco, LLC </w:t>
            </w:r>
            <w:r>
              <w:rPr>
                <w:rFonts w:ascii="Times New Roman" w:cs="Times New Roman" w:eastAsia="Times New Roman" w:hAnsi="Times New Roman"/>
                <w:sz w:val="12"/>
                <w:szCs w:val="12"/>
                <w:color w:val="auto"/>
                <w:vertAlign w:val="superscript"/>
              </w:rPr>
              <w:t>(10)</w:t>
            </w:r>
          </w:p>
        </w:tc>
        <w:tc>
          <w:tcPr>
            <w:tcW w:w="960" w:type="dxa"/>
            <w:vAlign w:val="bottom"/>
          </w:tcPr>
          <w:p>
            <w:pPr>
              <w:spacing w:after="0"/>
              <w:rPr>
                <w:sz w:val="10"/>
                <w:szCs w:val="1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1"/>
              </w:rPr>
              <w:t>Retail</w:t>
            </w:r>
          </w:p>
        </w:tc>
        <w:tc>
          <w:tcPr>
            <w:tcW w:w="640" w:type="dxa"/>
            <w:vAlign w:val="bottom"/>
          </w:tcPr>
          <w:p>
            <w:pPr>
              <w:spacing w:after="0"/>
              <w:rPr>
                <w:sz w:val="10"/>
                <w:szCs w:val="10"/>
                <w:color w:val="auto"/>
              </w:rPr>
            </w:pP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1,044</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1,044</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32"/>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Pragmatic Institute, LLC</w:t>
            </w:r>
          </w:p>
        </w:tc>
        <w:tc>
          <w:tcPr>
            <w:tcW w:w="960" w:type="dxa"/>
            <w:vAlign w:val="bottom"/>
            <w:shd w:val="clear" w:color="auto" w:fill="CCECFF"/>
          </w:tcPr>
          <w:p>
            <w:pPr>
              <w:spacing w:after="0"/>
              <w:rPr>
                <w:sz w:val="11"/>
                <w:szCs w:val="11"/>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40" w:type="dxa"/>
            <w:vAlign w:val="bottom"/>
            <w:shd w:val="clear" w:color="auto" w:fill="CCECFF"/>
          </w:tcPr>
          <w:p>
            <w:pPr>
              <w:spacing w:after="0"/>
              <w:rPr>
                <w:sz w:val="11"/>
                <w:szCs w:val="11"/>
                <w:color w:val="auto"/>
              </w:rPr>
            </w:pPr>
          </w:p>
        </w:tc>
        <w:tc>
          <w:tcPr>
            <w:tcW w:w="3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1,918,047</w:t>
            </w:r>
          </w:p>
        </w:tc>
        <w:tc>
          <w:tcPr>
            <w:tcW w:w="220" w:type="dxa"/>
            <w:vAlign w:val="bottom"/>
            <w:shd w:val="clear" w:color="auto" w:fill="CCECFF"/>
          </w:tcPr>
          <w:p>
            <w:pPr>
              <w:spacing w:after="0"/>
              <w:rPr>
                <w:sz w:val="11"/>
                <w:szCs w:val="11"/>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1,918</w:t>
            </w:r>
          </w:p>
        </w:tc>
        <w:tc>
          <w:tcPr>
            <w:tcW w:w="240" w:type="dxa"/>
            <w:vAlign w:val="bottom"/>
            <w:shd w:val="clear" w:color="auto" w:fill="CCECFF"/>
          </w:tcPr>
          <w:p>
            <w:pPr>
              <w:spacing w:after="0"/>
              <w:rPr>
                <w:sz w:val="11"/>
                <w:szCs w:val="11"/>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Quad (U.S.) Co-Invest, L.P.</w:t>
            </w:r>
          </w:p>
        </w:tc>
        <w:tc>
          <w:tcPr>
            <w:tcW w:w="960" w:type="dxa"/>
            <w:vAlign w:val="bottom"/>
          </w:tcPr>
          <w:p>
            <w:pPr>
              <w:spacing w:after="0"/>
              <w:rPr>
                <w:sz w:val="10"/>
                <w:szCs w:val="1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40" w:type="dxa"/>
            <w:vAlign w:val="bottom"/>
          </w:tcPr>
          <w:p>
            <w:pPr>
              <w:spacing w:after="0"/>
              <w:rPr>
                <w:sz w:val="10"/>
                <w:szCs w:val="10"/>
                <w:color w:val="auto"/>
              </w:rPr>
            </w:pP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2,958,706</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2,959</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3,780</w:t>
            </w:r>
          </w:p>
        </w:tc>
      </w:tr>
      <w:tr>
        <w:trPr>
          <w:trHeight w:val="120"/>
        </w:trPr>
        <w:tc>
          <w:tcPr>
            <w:tcW w:w="33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QuantiTech InvestCo LP </w:t>
            </w:r>
            <w:r>
              <w:rPr>
                <w:rFonts w:ascii="Times New Roman" w:cs="Times New Roman" w:eastAsia="Times New Roman" w:hAnsi="Times New Roman"/>
                <w:sz w:val="12"/>
                <w:szCs w:val="12"/>
                <w:color w:val="auto"/>
                <w:vertAlign w:val="superscript"/>
              </w:rPr>
              <w:t>(10)</w:t>
            </w:r>
          </w:p>
        </w:tc>
        <w:tc>
          <w:tcPr>
            <w:tcW w:w="960" w:type="dxa"/>
            <w:vAlign w:val="bottom"/>
            <w:shd w:val="clear" w:color="auto" w:fill="CCECFF"/>
          </w:tcPr>
          <w:p>
            <w:pPr>
              <w:spacing w:after="0"/>
              <w:rPr>
                <w:sz w:val="10"/>
                <w:szCs w:val="10"/>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40" w:type="dxa"/>
            <w:vAlign w:val="bottom"/>
            <w:shd w:val="clear" w:color="auto" w:fill="CCECFF"/>
          </w:tcPr>
          <w:p>
            <w:pPr>
              <w:spacing w:after="0"/>
              <w:rPr>
                <w:sz w:val="10"/>
                <w:szCs w:val="10"/>
                <w:color w:val="auto"/>
              </w:rPr>
            </w:pPr>
          </w:p>
        </w:tc>
        <w:tc>
          <w:tcPr>
            <w:tcW w:w="3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700</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172</w:t>
            </w:r>
          </w:p>
        </w:tc>
      </w:tr>
      <w:tr>
        <w:trPr>
          <w:trHeight w:val="120"/>
        </w:trPr>
        <w:tc>
          <w:tcPr>
            <w:tcW w:w="33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QuantiTech InvestCo LP - Unfunded </w:t>
            </w:r>
            <w:r>
              <w:rPr>
                <w:rFonts w:ascii="Times New Roman" w:cs="Times New Roman" w:eastAsia="Times New Roman" w:hAnsi="Times New Roman"/>
                <w:sz w:val="12"/>
                <w:szCs w:val="12"/>
                <w:color w:val="auto"/>
                <w:vertAlign w:val="superscript"/>
              </w:rPr>
              <w:t>(8), (10)</w:t>
            </w:r>
          </w:p>
        </w:tc>
        <w:tc>
          <w:tcPr>
            <w:tcW w:w="960" w:type="dxa"/>
            <w:vAlign w:val="bottom"/>
          </w:tcPr>
          <w:p>
            <w:pPr>
              <w:spacing w:after="0"/>
              <w:rPr>
                <w:sz w:val="10"/>
                <w:szCs w:val="1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40" w:type="dxa"/>
            <w:vAlign w:val="bottom"/>
          </w:tcPr>
          <w:p>
            <w:pPr>
              <w:spacing w:after="0"/>
              <w:rPr>
                <w:sz w:val="10"/>
                <w:szCs w:val="10"/>
                <w:color w:val="auto"/>
              </w:rPr>
            </w:pP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955</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3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QuantiTech InvestCo II LP </w:t>
            </w:r>
            <w:r>
              <w:rPr>
                <w:rFonts w:ascii="Times New Roman" w:cs="Times New Roman" w:eastAsia="Times New Roman" w:hAnsi="Times New Roman"/>
                <w:sz w:val="12"/>
                <w:szCs w:val="12"/>
                <w:color w:val="auto"/>
                <w:vertAlign w:val="superscript"/>
              </w:rPr>
              <w:t>(10)</w:t>
            </w:r>
          </w:p>
        </w:tc>
        <w:tc>
          <w:tcPr>
            <w:tcW w:w="960" w:type="dxa"/>
            <w:vAlign w:val="bottom"/>
            <w:shd w:val="clear" w:color="auto" w:fill="CCECFF"/>
          </w:tcPr>
          <w:p>
            <w:pPr>
              <w:spacing w:after="0"/>
              <w:rPr>
                <w:sz w:val="10"/>
                <w:szCs w:val="10"/>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40" w:type="dxa"/>
            <w:vAlign w:val="bottom"/>
            <w:shd w:val="clear" w:color="auto" w:fill="CCECFF"/>
          </w:tcPr>
          <w:p>
            <w:pPr>
              <w:spacing w:after="0"/>
              <w:rPr>
                <w:sz w:val="10"/>
                <w:szCs w:val="10"/>
                <w:color w:val="auto"/>
              </w:rPr>
            </w:pPr>
          </w:p>
        </w:tc>
        <w:tc>
          <w:tcPr>
            <w:tcW w:w="3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40</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w:t>
            </w:r>
          </w:p>
        </w:tc>
      </w:tr>
      <w:tr>
        <w:trPr>
          <w:trHeight w:val="120"/>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RFMG Parent, LP</w:t>
            </w:r>
          </w:p>
        </w:tc>
        <w:tc>
          <w:tcPr>
            <w:tcW w:w="960" w:type="dxa"/>
            <w:vAlign w:val="bottom"/>
          </w:tcPr>
          <w:p>
            <w:pPr>
              <w:spacing w:after="0"/>
              <w:rPr>
                <w:sz w:val="10"/>
                <w:szCs w:val="1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640" w:type="dxa"/>
            <w:vAlign w:val="bottom"/>
          </w:tcPr>
          <w:p>
            <w:pPr>
              <w:spacing w:after="0"/>
              <w:rPr>
                <w:sz w:val="10"/>
                <w:szCs w:val="10"/>
                <w:color w:val="auto"/>
              </w:rPr>
            </w:pP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1,050,000</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1,050</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1,309</w:t>
            </w:r>
          </w:p>
        </w:tc>
      </w:tr>
      <w:tr>
        <w:trPr>
          <w:trHeight w:val="120"/>
        </w:trPr>
        <w:tc>
          <w:tcPr>
            <w:tcW w:w="33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Safe Haven Defense MidCo, LLC </w:t>
            </w:r>
            <w:r>
              <w:rPr>
                <w:rFonts w:ascii="Times New Roman" w:cs="Times New Roman" w:eastAsia="Times New Roman" w:hAnsi="Times New Roman"/>
                <w:sz w:val="12"/>
                <w:szCs w:val="12"/>
                <w:color w:val="auto"/>
                <w:vertAlign w:val="superscript"/>
              </w:rPr>
              <w:t>(10)</w:t>
            </w:r>
          </w:p>
        </w:tc>
        <w:tc>
          <w:tcPr>
            <w:tcW w:w="960" w:type="dxa"/>
            <w:vAlign w:val="bottom"/>
            <w:shd w:val="clear" w:color="auto" w:fill="CCECFF"/>
          </w:tcPr>
          <w:p>
            <w:pPr>
              <w:spacing w:after="0"/>
              <w:rPr>
                <w:sz w:val="10"/>
                <w:szCs w:val="10"/>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Building Materials</w:t>
            </w:r>
          </w:p>
        </w:tc>
        <w:tc>
          <w:tcPr>
            <w:tcW w:w="640" w:type="dxa"/>
            <w:vAlign w:val="bottom"/>
            <w:shd w:val="clear" w:color="auto" w:fill="CCECFF"/>
          </w:tcPr>
          <w:p>
            <w:pPr>
              <w:spacing w:after="0"/>
              <w:rPr>
                <w:sz w:val="10"/>
                <w:szCs w:val="10"/>
                <w:color w:val="auto"/>
              </w:rPr>
            </w:pPr>
          </w:p>
        </w:tc>
        <w:tc>
          <w:tcPr>
            <w:tcW w:w="3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227</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227</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247</w:t>
            </w:r>
          </w:p>
        </w:tc>
      </w:tr>
      <w:tr>
        <w:trPr>
          <w:trHeight w:val="120"/>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SBI Holdings Investments LLC</w:t>
            </w:r>
          </w:p>
        </w:tc>
        <w:tc>
          <w:tcPr>
            <w:tcW w:w="960" w:type="dxa"/>
            <w:vAlign w:val="bottom"/>
          </w:tcPr>
          <w:p>
            <w:pPr>
              <w:spacing w:after="0"/>
              <w:rPr>
                <w:sz w:val="10"/>
                <w:szCs w:val="1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40" w:type="dxa"/>
            <w:vAlign w:val="bottom"/>
          </w:tcPr>
          <w:p>
            <w:pPr>
              <w:spacing w:after="0"/>
              <w:rPr>
                <w:sz w:val="10"/>
                <w:szCs w:val="10"/>
                <w:color w:val="auto"/>
              </w:rPr>
            </w:pP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36,585</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366</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406</w:t>
            </w:r>
          </w:p>
        </w:tc>
      </w:tr>
      <w:tr>
        <w:trPr>
          <w:trHeight w:val="120"/>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Topco, LP</w:t>
            </w:r>
          </w:p>
        </w:tc>
        <w:tc>
          <w:tcPr>
            <w:tcW w:w="960" w:type="dxa"/>
            <w:vAlign w:val="bottom"/>
            <w:shd w:val="clear" w:color="auto" w:fill="CCECFF"/>
          </w:tcPr>
          <w:p>
            <w:pPr>
              <w:spacing w:after="0"/>
              <w:rPr>
                <w:sz w:val="10"/>
                <w:szCs w:val="10"/>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640" w:type="dxa"/>
            <w:vAlign w:val="bottom"/>
            <w:shd w:val="clear" w:color="auto" w:fill="CCECFF"/>
          </w:tcPr>
          <w:p>
            <w:pPr>
              <w:spacing w:after="0"/>
              <w:rPr>
                <w:sz w:val="10"/>
                <w:szCs w:val="10"/>
                <w:color w:val="auto"/>
              </w:rPr>
            </w:pPr>
          </w:p>
        </w:tc>
        <w:tc>
          <w:tcPr>
            <w:tcW w:w="3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2,981</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2,981</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2,006</w:t>
            </w:r>
          </w:p>
        </w:tc>
      </w:tr>
      <w:tr>
        <w:trPr>
          <w:trHeight w:val="120"/>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 L2 Holdings, LLC</w:t>
            </w:r>
          </w:p>
        </w:tc>
        <w:tc>
          <w:tcPr>
            <w:tcW w:w="960" w:type="dxa"/>
            <w:vAlign w:val="bottom"/>
          </w:tcPr>
          <w:p>
            <w:pPr>
              <w:spacing w:after="0"/>
              <w:rPr>
                <w:sz w:val="10"/>
                <w:szCs w:val="1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640" w:type="dxa"/>
            <w:vAlign w:val="bottom"/>
          </w:tcPr>
          <w:p>
            <w:pPr>
              <w:spacing w:after="0"/>
              <w:rPr>
                <w:sz w:val="10"/>
                <w:szCs w:val="10"/>
                <w:color w:val="auto"/>
              </w:rPr>
            </w:pP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881,966</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882</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w:t>
            </w:r>
          </w:p>
        </w:tc>
      </w:tr>
      <w:tr>
        <w:trPr>
          <w:trHeight w:val="120"/>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SSC Dominion Holdings, LLC</w:t>
            </w:r>
          </w:p>
        </w:tc>
        <w:tc>
          <w:tcPr>
            <w:tcW w:w="960" w:type="dxa"/>
            <w:vAlign w:val="bottom"/>
            <w:shd w:val="clear" w:color="auto" w:fill="CCECFF"/>
          </w:tcPr>
          <w:p>
            <w:pPr>
              <w:spacing w:after="0"/>
              <w:rPr>
                <w:sz w:val="10"/>
                <w:szCs w:val="10"/>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640" w:type="dxa"/>
            <w:vAlign w:val="bottom"/>
            <w:shd w:val="clear" w:color="auto" w:fill="CCECFF"/>
          </w:tcPr>
          <w:p>
            <w:pPr>
              <w:spacing w:after="0"/>
              <w:rPr>
                <w:sz w:val="10"/>
                <w:szCs w:val="10"/>
                <w:color w:val="auto"/>
              </w:rPr>
            </w:pPr>
          </w:p>
        </w:tc>
        <w:tc>
          <w:tcPr>
            <w:tcW w:w="3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36</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36</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4,154</w:t>
            </w:r>
          </w:p>
        </w:tc>
      </w:tr>
      <w:tr>
        <w:trPr>
          <w:trHeight w:val="120"/>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StellPen Holdings, LLC</w:t>
            </w:r>
          </w:p>
        </w:tc>
        <w:tc>
          <w:tcPr>
            <w:tcW w:w="960" w:type="dxa"/>
            <w:vAlign w:val="bottom"/>
          </w:tcPr>
          <w:p>
            <w:pPr>
              <w:spacing w:after="0"/>
              <w:rPr>
                <w:sz w:val="10"/>
                <w:szCs w:val="1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640" w:type="dxa"/>
            <w:vAlign w:val="bottom"/>
          </w:tcPr>
          <w:p>
            <w:pPr>
              <w:spacing w:after="0"/>
              <w:rPr>
                <w:sz w:val="10"/>
                <w:szCs w:val="10"/>
                <w:color w:val="auto"/>
              </w:rPr>
            </w:pP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153,846</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154</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134</w:t>
            </w:r>
          </w:p>
        </w:tc>
      </w:tr>
      <w:tr>
        <w:trPr>
          <w:trHeight w:val="120"/>
        </w:trPr>
        <w:tc>
          <w:tcPr>
            <w:tcW w:w="33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SV Aero Holdings, LLC </w:t>
            </w:r>
            <w:r>
              <w:rPr>
                <w:rFonts w:ascii="Times New Roman" w:cs="Times New Roman" w:eastAsia="Times New Roman" w:hAnsi="Times New Roman"/>
                <w:sz w:val="12"/>
                <w:szCs w:val="12"/>
                <w:color w:val="auto"/>
                <w:vertAlign w:val="superscript"/>
              </w:rPr>
              <w:t>(10)</w:t>
            </w:r>
          </w:p>
        </w:tc>
        <w:tc>
          <w:tcPr>
            <w:tcW w:w="960" w:type="dxa"/>
            <w:vAlign w:val="bottom"/>
            <w:shd w:val="clear" w:color="auto" w:fill="CCECFF"/>
          </w:tcPr>
          <w:p>
            <w:pPr>
              <w:spacing w:after="0"/>
              <w:rPr>
                <w:sz w:val="10"/>
                <w:szCs w:val="10"/>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40" w:type="dxa"/>
            <w:vAlign w:val="bottom"/>
            <w:shd w:val="clear" w:color="auto" w:fill="CCECFF"/>
          </w:tcPr>
          <w:p>
            <w:pPr>
              <w:spacing w:after="0"/>
              <w:rPr>
                <w:sz w:val="10"/>
                <w:szCs w:val="10"/>
                <w:color w:val="auto"/>
              </w:rPr>
            </w:pPr>
          </w:p>
        </w:tc>
        <w:tc>
          <w:tcPr>
            <w:tcW w:w="3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218</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472</w:t>
            </w:r>
          </w:p>
        </w:tc>
      </w:tr>
      <w:tr>
        <w:trPr>
          <w:trHeight w:val="120"/>
        </w:trPr>
        <w:tc>
          <w:tcPr>
            <w:tcW w:w="33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TAC LifePort Holdings, LLC </w:t>
            </w:r>
            <w:r>
              <w:rPr>
                <w:rFonts w:ascii="Times New Roman" w:cs="Times New Roman" w:eastAsia="Times New Roman" w:hAnsi="Times New Roman"/>
                <w:sz w:val="12"/>
                <w:szCs w:val="12"/>
                <w:color w:val="auto"/>
                <w:vertAlign w:val="superscript"/>
              </w:rPr>
              <w:t>(10)</w:t>
            </w:r>
          </w:p>
        </w:tc>
        <w:tc>
          <w:tcPr>
            <w:tcW w:w="960" w:type="dxa"/>
            <w:vAlign w:val="bottom"/>
          </w:tcPr>
          <w:p>
            <w:pPr>
              <w:spacing w:after="0"/>
              <w:rPr>
                <w:sz w:val="10"/>
                <w:szCs w:val="1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40" w:type="dxa"/>
            <w:vAlign w:val="bottom"/>
          </w:tcPr>
          <w:p>
            <w:pPr>
              <w:spacing w:after="0"/>
              <w:rPr>
                <w:sz w:val="10"/>
                <w:szCs w:val="10"/>
                <w:color w:val="auto"/>
              </w:rPr>
            </w:pP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254,206</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239</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388</w:t>
            </w:r>
          </w:p>
        </w:tc>
      </w:tr>
      <w:tr>
        <w:trPr>
          <w:trHeight w:val="120"/>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TCG 3.0 Jogger Co-Invest, LP - Common Equity</w:t>
            </w:r>
          </w:p>
        </w:tc>
        <w:tc>
          <w:tcPr>
            <w:tcW w:w="960" w:type="dxa"/>
            <w:vAlign w:val="bottom"/>
            <w:shd w:val="clear" w:color="auto" w:fill="CCECFF"/>
          </w:tcPr>
          <w:p>
            <w:pPr>
              <w:spacing w:after="0"/>
              <w:rPr>
                <w:sz w:val="10"/>
                <w:szCs w:val="10"/>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640" w:type="dxa"/>
            <w:vAlign w:val="bottom"/>
            <w:shd w:val="clear" w:color="auto" w:fill="CCECFF"/>
          </w:tcPr>
          <w:p>
            <w:pPr>
              <w:spacing w:after="0"/>
              <w:rPr>
                <w:sz w:val="10"/>
                <w:szCs w:val="10"/>
                <w:color w:val="auto"/>
              </w:rPr>
            </w:pPr>
          </w:p>
        </w:tc>
        <w:tc>
          <w:tcPr>
            <w:tcW w:w="3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6,475</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1,252</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965</w:t>
            </w:r>
          </w:p>
        </w:tc>
      </w:tr>
      <w:tr>
        <w:trPr>
          <w:trHeight w:val="120"/>
        </w:trPr>
        <w:tc>
          <w:tcPr>
            <w:tcW w:w="33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Tower Arch Infolinks Media, LP </w:t>
            </w:r>
            <w:r>
              <w:rPr>
                <w:rFonts w:ascii="Times New Roman" w:cs="Times New Roman" w:eastAsia="Times New Roman" w:hAnsi="Times New Roman"/>
                <w:sz w:val="12"/>
                <w:szCs w:val="12"/>
                <w:color w:val="auto"/>
                <w:vertAlign w:val="superscript"/>
              </w:rPr>
              <w:t>(10)</w:t>
            </w:r>
          </w:p>
        </w:tc>
        <w:tc>
          <w:tcPr>
            <w:tcW w:w="960" w:type="dxa"/>
            <w:vAlign w:val="bottom"/>
          </w:tcPr>
          <w:p>
            <w:pPr>
              <w:spacing w:after="0"/>
              <w:rPr>
                <w:sz w:val="10"/>
                <w:szCs w:val="1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640" w:type="dxa"/>
            <w:vAlign w:val="bottom"/>
          </w:tcPr>
          <w:p>
            <w:pPr>
              <w:spacing w:after="0"/>
              <w:rPr>
                <w:sz w:val="10"/>
                <w:szCs w:val="10"/>
                <w:color w:val="auto"/>
              </w:rPr>
            </w:pP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542,000</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251</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819</w:t>
            </w:r>
          </w:p>
        </w:tc>
      </w:tr>
      <w:tr>
        <w:trPr>
          <w:trHeight w:val="120"/>
        </w:trPr>
        <w:tc>
          <w:tcPr>
            <w:tcW w:w="33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Tower Arch Infolinks Media, LP - Unfunded </w:t>
            </w:r>
            <w:r>
              <w:rPr>
                <w:rFonts w:ascii="Times New Roman" w:cs="Times New Roman" w:eastAsia="Times New Roman" w:hAnsi="Times New Roman"/>
                <w:sz w:val="12"/>
                <w:szCs w:val="12"/>
                <w:color w:val="auto"/>
                <w:vertAlign w:val="superscript"/>
              </w:rPr>
              <w:t>(8), (10)</w:t>
            </w:r>
          </w:p>
        </w:tc>
        <w:tc>
          <w:tcPr>
            <w:tcW w:w="960" w:type="dxa"/>
            <w:vAlign w:val="bottom"/>
            <w:shd w:val="clear" w:color="auto" w:fill="CCECFF"/>
          </w:tcPr>
          <w:p>
            <w:pPr>
              <w:spacing w:after="0"/>
              <w:rPr>
                <w:sz w:val="10"/>
                <w:szCs w:val="10"/>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640" w:type="dxa"/>
            <w:vAlign w:val="bottom"/>
            <w:shd w:val="clear" w:color="auto" w:fill="CCECFF"/>
          </w:tcPr>
          <w:p>
            <w:pPr>
              <w:spacing w:after="0"/>
              <w:rPr>
                <w:sz w:val="10"/>
                <w:szCs w:val="10"/>
                <w:color w:val="auto"/>
              </w:rPr>
            </w:pPr>
          </w:p>
        </w:tc>
        <w:tc>
          <w:tcPr>
            <w:tcW w:w="3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353,444</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TPC Holding Company, LP</w:t>
            </w:r>
          </w:p>
        </w:tc>
        <w:tc>
          <w:tcPr>
            <w:tcW w:w="960" w:type="dxa"/>
            <w:vAlign w:val="bottom"/>
          </w:tcPr>
          <w:p>
            <w:pPr>
              <w:spacing w:after="0"/>
              <w:rPr>
                <w:sz w:val="10"/>
                <w:szCs w:val="1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Food</w:t>
            </w:r>
          </w:p>
        </w:tc>
        <w:tc>
          <w:tcPr>
            <w:tcW w:w="640" w:type="dxa"/>
            <w:vAlign w:val="bottom"/>
          </w:tcPr>
          <w:p>
            <w:pPr>
              <w:spacing w:after="0"/>
              <w:rPr>
                <w:sz w:val="10"/>
                <w:szCs w:val="10"/>
                <w:color w:val="auto"/>
              </w:rPr>
            </w:pP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11,527</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w:t>
            </w:r>
          </w:p>
        </w:tc>
      </w:tr>
      <w:tr>
        <w:trPr>
          <w:trHeight w:val="120"/>
        </w:trPr>
        <w:tc>
          <w:tcPr>
            <w:tcW w:w="33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TPCN Holdings, LLC - Common Equity </w:t>
            </w:r>
            <w:r>
              <w:rPr>
                <w:rFonts w:ascii="Times New Roman" w:cs="Times New Roman" w:eastAsia="Times New Roman" w:hAnsi="Times New Roman"/>
                <w:sz w:val="12"/>
                <w:szCs w:val="12"/>
                <w:color w:val="auto"/>
                <w:vertAlign w:val="superscript"/>
              </w:rPr>
              <w:t>(10)</w:t>
            </w:r>
          </w:p>
        </w:tc>
        <w:tc>
          <w:tcPr>
            <w:tcW w:w="960" w:type="dxa"/>
            <w:vAlign w:val="bottom"/>
            <w:shd w:val="clear" w:color="auto" w:fill="CCECFF"/>
          </w:tcPr>
          <w:p>
            <w:pPr>
              <w:spacing w:after="0"/>
              <w:rPr>
                <w:sz w:val="10"/>
                <w:szCs w:val="10"/>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Conglomerate Service</w:t>
            </w:r>
          </w:p>
        </w:tc>
        <w:tc>
          <w:tcPr>
            <w:tcW w:w="640" w:type="dxa"/>
            <w:vAlign w:val="bottom"/>
            <w:shd w:val="clear" w:color="auto" w:fill="CCECFF"/>
          </w:tcPr>
          <w:p>
            <w:pPr>
              <w:spacing w:after="0"/>
              <w:rPr>
                <w:sz w:val="10"/>
                <w:szCs w:val="10"/>
                <w:color w:val="auto"/>
              </w:rPr>
            </w:pPr>
          </w:p>
        </w:tc>
        <w:tc>
          <w:tcPr>
            <w:tcW w:w="3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473,400</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473</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388</w:t>
            </w:r>
          </w:p>
        </w:tc>
      </w:tr>
      <w:tr>
        <w:trPr>
          <w:trHeight w:val="120"/>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TWD Parent Holdings, LLC</w:t>
            </w:r>
          </w:p>
        </w:tc>
        <w:tc>
          <w:tcPr>
            <w:tcW w:w="960" w:type="dxa"/>
            <w:vAlign w:val="bottom"/>
          </w:tcPr>
          <w:p>
            <w:pPr>
              <w:spacing w:after="0"/>
              <w:rPr>
                <w:sz w:val="10"/>
                <w:szCs w:val="1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40" w:type="dxa"/>
            <w:vAlign w:val="bottom"/>
          </w:tcPr>
          <w:p>
            <w:pPr>
              <w:spacing w:after="0"/>
              <w:rPr>
                <w:sz w:val="10"/>
                <w:szCs w:val="10"/>
                <w:color w:val="auto"/>
              </w:rPr>
            </w:pP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608</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r>
      <w:tr>
        <w:trPr>
          <w:trHeight w:val="120"/>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United Land Services Holdings LLC - Common Equity</w:t>
            </w:r>
          </w:p>
        </w:tc>
        <w:tc>
          <w:tcPr>
            <w:tcW w:w="960" w:type="dxa"/>
            <w:vAlign w:val="bottom"/>
            <w:shd w:val="clear" w:color="auto" w:fill="CCECFF"/>
          </w:tcPr>
          <w:p>
            <w:pPr>
              <w:spacing w:after="0"/>
              <w:rPr>
                <w:sz w:val="10"/>
                <w:szCs w:val="10"/>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640" w:type="dxa"/>
            <w:vAlign w:val="bottom"/>
            <w:shd w:val="clear" w:color="auto" w:fill="CCECFF"/>
          </w:tcPr>
          <w:p>
            <w:pPr>
              <w:spacing w:after="0"/>
              <w:rPr>
                <w:sz w:val="10"/>
                <w:szCs w:val="10"/>
                <w:color w:val="auto"/>
              </w:rPr>
            </w:pPr>
          </w:p>
        </w:tc>
        <w:tc>
          <w:tcPr>
            <w:tcW w:w="3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184,049</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600</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600</w:t>
            </w:r>
          </w:p>
        </w:tc>
      </w:tr>
      <w:tr>
        <w:trPr>
          <w:trHeight w:val="120"/>
        </w:trPr>
        <w:tc>
          <w:tcPr>
            <w:tcW w:w="33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UniVista Insurance </w:t>
            </w:r>
            <w:r>
              <w:rPr>
                <w:rFonts w:ascii="Times New Roman" w:cs="Times New Roman" w:eastAsia="Times New Roman" w:hAnsi="Times New Roman"/>
                <w:sz w:val="12"/>
                <w:szCs w:val="12"/>
                <w:color w:val="auto"/>
                <w:vertAlign w:val="superscript"/>
              </w:rPr>
              <w:t>(10)</w:t>
            </w:r>
          </w:p>
        </w:tc>
        <w:tc>
          <w:tcPr>
            <w:tcW w:w="960" w:type="dxa"/>
            <w:vAlign w:val="bottom"/>
          </w:tcPr>
          <w:p>
            <w:pPr>
              <w:spacing w:after="0"/>
              <w:rPr>
                <w:sz w:val="10"/>
                <w:szCs w:val="1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40" w:type="dxa"/>
            <w:vAlign w:val="bottom"/>
          </w:tcPr>
          <w:p>
            <w:pPr>
              <w:spacing w:after="0"/>
              <w:rPr>
                <w:sz w:val="10"/>
                <w:szCs w:val="10"/>
                <w:color w:val="auto"/>
              </w:rPr>
            </w:pP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400</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334</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844</w:t>
            </w:r>
          </w:p>
        </w:tc>
      </w:tr>
      <w:tr>
        <w:trPr>
          <w:trHeight w:val="120"/>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Urology Partners Co., L.P.</w:t>
            </w:r>
          </w:p>
        </w:tc>
        <w:tc>
          <w:tcPr>
            <w:tcW w:w="960" w:type="dxa"/>
            <w:vAlign w:val="bottom"/>
            <w:shd w:val="clear" w:color="auto" w:fill="CCECFF"/>
          </w:tcPr>
          <w:p>
            <w:pPr>
              <w:spacing w:after="0"/>
              <w:rPr>
                <w:sz w:val="10"/>
                <w:szCs w:val="10"/>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640" w:type="dxa"/>
            <w:vAlign w:val="bottom"/>
            <w:shd w:val="clear" w:color="auto" w:fill="CCECFF"/>
          </w:tcPr>
          <w:p>
            <w:pPr>
              <w:spacing w:after="0"/>
              <w:rPr>
                <w:sz w:val="10"/>
                <w:szCs w:val="10"/>
                <w:color w:val="auto"/>
              </w:rPr>
            </w:pPr>
          </w:p>
        </w:tc>
        <w:tc>
          <w:tcPr>
            <w:tcW w:w="3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1,111,111</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1,111</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1,184</w:t>
            </w:r>
          </w:p>
        </w:tc>
      </w:tr>
      <w:tr>
        <w:trPr>
          <w:trHeight w:val="120"/>
        </w:trPr>
        <w:tc>
          <w:tcPr>
            <w:tcW w:w="33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Watchtower Holdings, LLC </w:t>
            </w:r>
            <w:r>
              <w:rPr>
                <w:rFonts w:ascii="Times New Roman" w:cs="Times New Roman" w:eastAsia="Times New Roman" w:hAnsi="Times New Roman"/>
                <w:sz w:val="12"/>
                <w:szCs w:val="12"/>
                <w:color w:val="auto"/>
                <w:vertAlign w:val="superscript"/>
              </w:rPr>
              <w:t>(10)</w:t>
            </w:r>
          </w:p>
        </w:tc>
        <w:tc>
          <w:tcPr>
            <w:tcW w:w="960" w:type="dxa"/>
            <w:vAlign w:val="bottom"/>
          </w:tcPr>
          <w:p>
            <w:pPr>
              <w:spacing w:after="0"/>
              <w:rPr>
                <w:sz w:val="10"/>
                <w:szCs w:val="1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640" w:type="dxa"/>
            <w:vAlign w:val="bottom"/>
          </w:tcPr>
          <w:p>
            <w:pPr>
              <w:spacing w:after="0"/>
              <w:rPr>
                <w:sz w:val="10"/>
                <w:szCs w:val="10"/>
                <w:color w:val="auto"/>
              </w:rPr>
            </w:pP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12,419</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1,242</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1,292</w:t>
            </w:r>
          </w:p>
        </w:tc>
      </w:tr>
      <w:tr>
        <w:trPr>
          <w:trHeight w:val="120"/>
        </w:trPr>
        <w:tc>
          <w:tcPr>
            <w:tcW w:w="33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WCP Ivyrehab Coinvestment, LP </w:t>
            </w:r>
            <w:r>
              <w:rPr>
                <w:rFonts w:ascii="Times New Roman" w:cs="Times New Roman" w:eastAsia="Times New Roman" w:hAnsi="Times New Roman"/>
                <w:sz w:val="12"/>
                <w:szCs w:val="12"/>
                <w:color w:val="auto"/>
                <w:vertAlign w:val="superscript"/>
              </w:rPr>
              <w:t>(10)</w:t>
            </w:r>
          </w:p>
        </w:tc>
        <w:tc>
          <w:tcPr>
            <w:tcW w:w="960" w:type="dxa"/>
            <w:vAlign w:val="bottom"/>
            <w:shd w:val="clear" w:color="auto" w:fill="CCECFF"/>
          </w:tcPr>
          <w:p>
            <w:pPr>
              <w:spacing w:after="0"/>
              <w:rPr>
                <w:sz w:val="10"/>
                <w:szCs w:val="10"/>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640" w:type="dxa"/>
            <w:vAlign w:val="bottom"/>
            <w:shd w:val="clear" w:color="auto" w:fill="CCECFF"/>
          </w:tcPr>
          <w:p>
            <w:pPr>
              <w:spacing w:after="0"/>
              <w:rPr>
                <w:sz w:val="10"/>
                <w:szCs w:val="10"/>
                <w:color w:val="auto"/>
              </w:rPr>
            </w:pPr>
          </w:p>
        </w:tc>
        <w:tc>
          <w:tcPr>
            <w:tcW w:w="3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208</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208</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221</w:t>
            </w:r>
          </w:p>
        </w:tc>
      </w:tr>
      <w:tr>
        <w:trPr>
          <w:trHeight w:val="120"/>
        </w:trPr>
        <w:tc>
          <w:tcPr>
            <w:tcW w:w="33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WCP Ivyrehab QP CF Feeder, LP </w:t>
            </w:r>
            <w:r>
              <w:rPr>
                <w:rFonts w:ascii="Times New Roman" w:cs="Times New Roman" w:eastAsia="Times New Roman" w:hAnsi="Times New Roman"/>
                <w:sz w:val="12"/>
                <w:szCs w:val="12"/>
                <w:color w:val="auto"/>
                <w:vertAlign w:val="superscript"/>
              </w:rPr>
              <w:t>(10)</w:t>
            </w:r>
          </w:p>
        </w:tc>
        <w:tc>
          <w:tcPr>
            <w:tcW w:w="960" w:type="dxa"/>
            <w:vAlign w:val="bottom"/>
          </w:tcPr>
          <w:p>
            <w:pPr>
              <w:spacing w:after="0"/>
              <w:rPr>
                <w:sz w:val="10"/>
                <w:szCs w:val="1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640" w:type="dxa"/>
            <w:vAlign w:val="bottom"/>
          </w:tcPr>
          <w:p>
            <w:pPr>
              <w:spacing w:after="0"/>
              <w:rPr>
                <w:sz w:val="10"/>
                <w:szCs w:val="10"/>
                <w:color w:val="auto"/>
              </w:rPr>
            </w:pP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3,754</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3,793</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3,987</w:t>
            </w:r>
          </w:p>
        </w:tc>
      </w:tr>
      <w:tr>
        <w:trPr>
          <w:trHeight w:val="120"/>
        </w:trPr>
        <w:tc>
          <w:tcPr>
            <w:tcW w:w="33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WCP Ivyrehab QP CF Feeder, LP - Unfunded </w:t>
            </w:r>
            <w:r>
              <w:rPr>
                <w:rFonts w:ascii="Times New Roman" w:cs="Times New Roman" w:eastAsia="Times New Roman" w:hAnsi="Times New Roman"/>
                <w:sz w:val="12"/>
                <w:szCs w:val="12"/>
                <w:color w:val="auto"/>
                <w:vertAlign w:val="superscript"/>
              </w:rPr>
              <w:t>(8), (10)</w:t>
            </w:r>
          </w:p>
        </w:tc>
        <w:tc>
          <w:tcPr>
            <w:tcW w:w="960" w:type="dxa"/>
            <w:vAlign w:val="bottom"/>
            <w:shd w:val="clear" w:color="auto" w:fill="CCECFF"/>
          </w:tcPr>
          <w:p>
            <w:pPr>
              <w:spacing w:after="0"/>
              <w:rPr>
                <w:sz w:val="10"/>
                <w:szCs w:val="10"/>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640" w:type="dxa"/>
            <w:vAlign w:val="bottom"/>
            <w:shd w:val="clear" w:color="auto" w:fill="CCECFF"/>
          </w:tcPr>
          <w:p>
            <w:pPr>
              <w:spacing w:after="0"/>
              <w:rPr>
                <w:sz w:val="10"/>
                <w:szCs w:val="10"/>
                <w:color w:val="auto"/>
              </w:rPr>
            </w:pPr>
          </w:p>
        </w:tc>
        <w:tc>
          <w:tcPr>
            <w:tcW w:w="3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246</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Wildcat Parent, LP</w:t>
            </w:r>
          </w:p>
        </w:tc>
        <w:tc>
          <w:tcPr>
            <w:tcW w:w="960" w:type="dxa"/>
            <w:vAlign w:val="bottom"/>
          </w:tcPr>
          <w:p>
            <w:pPr>
              <w:spacing w:after="0"/>
              <w:rPr>
                <w:sz w:val="10"/>
                <w:szCs w:val="1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640" w:type="dxa"/>
            <w:vAlign w:val="bottom"/>
          </w:tcPr>
          <w:p>
            <w:pPr>
              <w:spacing w:after="0"/>
              <w:rPr>
                <w:sz w:val="10"/>
                <w:szCs w:val="10"/>
                <w:color w:val="auto"/>
              </w:rPr>
            </w:pP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2,314</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98</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843</w:t>
            </w:r>
          </w:p>
        </w:tc>
      </w:tr>
      <w:tr>
        <w:trPr>
          <w:trHeight w:val="120"/>
        </w:trPr>
        <w:tc>
          <w:tcPr>
            <w:tcW w:w="33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Kentucky Racing Holdco, LLC (Warrants) </w:t>
            </w:r>
            <w:r>
              <w:rPr>
                <w:rFonts w:ascii="Times New Roman" w:cs="Times New Roman" w:eastAsia="Times New Roman" w:hAnsi="Times New Roman"/>
                <w:sz w:val="12"/>
                <w:szCs w:val="12"/>
                <w:color w:val="auto"/>
                <w:vertAlign w:val="superscript"/>
              </w:rPr>
              <w:t>(10)</w:t>
            </w:r>
          </w:p>
        </w:tc>
        <w:tc>
          <w:tcPr>
            <w:tcW w:w="960" w:type="dxa"/>
            <w:vAlign w:val="bottom"/>
            <w:shd w:val="clear" w:color="auto" w:fill="CCECFF"/>
          </w:tcPr>
          <w:p>
            <w:pPr>
              <w:spacing w:after="0"/>
              <w:rPr>
                <w:sz w:val="10"/>
                <w:szCs w:val="10"/>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Hotels, Motels, Inns and Gaming</w:t>
            </w:r>
          </w:p>
        </w:tc>
        <w:tc>
          <w:tcPr>
            <w:tcW w:w="640" w:type="dxa"/>
            <w:vAlign w:val="bottom"/>
            <w:shd w:val="clear" w:color="auto" w:fill="CCECFF"/>
          </w:tcPr>
          <w:p>
            <w:pPr>
              <w:spacing w:after="0"/>
              <w:rPr>
                <w:sz w:val="10"/>
                <w:szCs w:val="10"/>
                <w:color w:val="auto"/>
              </w:rPr>
            </w:pPr>
          </w:p>
        </w:tc>
        <w:tc>
          <w:tcPr>
            <w:tcW w:w="3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161,252</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1,711</w:t>
            </w:r>
          </w:p>
        </w:tc>
      </w:tr>
      <w:tr>
        <w:trPr>
          <w:trHeight w:val="120"/>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Common Equity/Partnership Interests/Warrants</w:t>
            </w:r>
          </w:p>
        </w:tc>
        <w:tc>
          <w:tcPr>
            <w:tcW w:w="9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111,008</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125,097</w:t>
            </w:r>
          </w:p>
        </w:tc>
      </w:tr>
      <w:tr>
        <w:trPr>
          <w:trHeight w:val="120"/>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US Government Securities - 20.2% of Net Assets</w:t>
            </w:r>
          </w:p>
        </w:tc>
        <w:tc>
          <w:tcPr>
            <w:tcW w:w="960" w:type="dxa"/>
            <w:vAlign w:val="bottom"/>
            <w:shd w:val="clear" w:color="auto" w:fill="CCECFF"/>
          </w:tcPr>
          <w:p>
            <w:pPr>
              <w:spacing w:after="0"/>
              <w:rPr>
                <w:sz w:val="10"/>
                <w:szCs w:val="10"/>
                <w:color w:val="auto"/>
              </w:rPr>
            </w:pPr>
          </w:p>
        </w:tc>
        <w:tc>
          <w:tcPr>
            <w:tcW w:w="216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38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r>
      <w:tr>
        <w:trPr>
          <w:trHeight w:val="120"/>
        </w:trPr>
        <w:tc>
          <w:tcPr>
            <w:tcW w:w="33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U.S. Treasury Bill </w:t>
            </w:r>
            <w:r>
              <w:rPr>
                <w:rFonts w:ascii="Times New Roman" w:cs="Times New Roman" w:eastAsia="Times New Roman" w:hAnsi="Times New Roman"/>
                <w:sz w:val="12"/>
                <w:szCs w:val="12"/>
                <w:color w:val="auto"/>
                <w:vertAlign w:val="superscript"/>
              </w:rPr>
              <w:t>(5)</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10/29/2024</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Short-Term U.S. Government Securities</w:t>
            </w:r>
          </w:p>
        </w:tc>
        <w:tc>
          <w:tcPr>
            <w:tcW w:w="640" w:type="dxa"/>
            <w:vAlign w:val="bottom"/>
          </w:tcPr>
          <w:p>
            <w:pPr>
              <w:spacing w:after="0"/>
              <w:rPr>
                <w:sz w:val="10"/>
                <w:szCs w:val="10"/>
                <w:color w:val="auto"/>
              </w:rPr>
            </w:pP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1"/>
              </w:rPr>
              <w:t>4.72 %</w:t>
            </w:r>
          </w:p>
        </w:tc>
        <w:tc>
          <w:tcPr>
            <w:tcW w:w="86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100,000</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99,652</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99,632</w:t>
            </w:r>
          </w:p>
        </w:tc>
      </w:tr>
      <w:tr>
        <w:trPr>
          <w:trHeight w:val="120"/>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US Government Securities</w:t>
            </w:r>
          </w:p>
        </w:tc>
        <w:tc>
          <w:tcPr>
            <w:tcW w:w="960" w:type="dxa"/>
            <w:vAlign w:val="bottom"/>
            <w:shd w:val="clear" w:color="auto" w:fill="CCECFF"/>
          </w:tcPr>
          <w:p>
            <w:pPr>
              <w:spacing w:after="0"/>
              <w:rPr>
                <w:sz w:val="10"/>
                <w:szCs w:val="10"/>
                <w:color w:val="auto"/>
              </w:rPr>
            </w:pPr>
          </w:p>
        </w:tc>
        <w:tc>
          <w:tcPr>
            <w:tcW w:w="216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38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99,652</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99,632</w:t>
            </w:r>
          </w:p>
        </w:tc>
      </w:tr>
      <w:tr>
        <w:trPr>
          <w:trHeight w:val="120"/>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Non-Controlled, Non-Affiliated Portfolio Companies</w:t>
            </w:r>
          </w:p>
        </w:tc>
        <w:tc>
          <w:tcPr>
            <w:tcW w:w="9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916,168</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910,323</w:t>
            </w:r>
          </w:p>
        </w:tc>
      </w:tr>
      <w:tr>
        <w:trPr>
          <w:trHeight w:val="121"/>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Investments in Non-Controlled, Affiliated Portfolio Companies - 6.8% of Net</w:t>
            </w:r>
          </w:p>
        </w:tc>
        <w:tc>
          <w:tcPr>
            <w:tcW w:w="960" w:type="dxa"/>
            <w:vAlign w:val="bottom"/>
            <w:shd w:val="clear" w:color="auto" w:fill="CCECFF"/>
          </w:tcPr>
          <w:p>
            <w:pPr>
              <w:spacing w:after="0"/>
              <w:rPr>
                <w:sz w:val="10"/>
                <w:szCs w:val="10"/>
                <w:color w:val="auto"/>
              </w:rPr>
            </w:pPr>
          </w:p>
        </w:tc>
        <w:tc>
          <w:tcPr>
            <w:tcW w:w="216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38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r>
      <w:tr>
        <w:trPr>
          <w:trHeight w:val="120"/>
        </w:trPr>
        <w:tc>
          <w:tcPr>
            <w:tcW w:w="3300" w:type="dxa"/>
            <w:vAlign w:val="bottom"/>
            <w:shd w:val="clear" w:color="auto" w:fill="CCECFF"/>
          </w:tcPr>
          <w:p>
            <w:pPr>
              <w:ind w:left="20"/>
              <w:spacing w:after="0" w:line="119" w:lineRule="exact"/>
              <w:rPr>
                <w:sz w:val="20"/>
                <w:szCs w:val="20"/>
                <w:color w:val="auto"/>
              </w:rPr>
            </w:pPr>
            <w:r>
              <w:rPr>
                <w:rFonts w:ascii="Times New Roman" w:cs="Times New Roman" w:eastAsia="Times New Roman" w:hAnsi="Times New Roman"/>
                <w:sz w:val="13"/>
                <w:szCs w:val="13"/>
                <w:color w:val="auto"/>
                <w:vertAlign w:val="subscript"/>
              </w:rPr>
              <w:t>Assets</w:t>
            </w:r>
            <w:r>
              <w:rPr>
                <w:rFonts w:ascii="Times New Roman" w:cs="Times New Roman" w:eastAsia="Times New Roman" w:hAnsi="Times New Roman"/>
                <w:sz w:val="5"/>
                <w:szCs w:val="5"/>
                <w:color w:val="auto"/>
              </w:rPr>
              <w:t xml:space="preserve"> (1), (2)</w:t>
            </w:r>
          </w:p>
        </w:tc>
        <w:tc>
          <w:tcPr>
            <w:tcW w:w="960" w:type="dxa"/>
            <w:vAlign w:val="bottom"/>
            <w:shd w:val="clear" w:color="auto" w:fill="CCECFF"/>
          </w:tcPr>
          <w:p>
            <w:pPr>
              <w:spacing w:after="0"/>
              <w:rPr>
                <w:sz w:val="10"/>
                <w:szCs w:val="10"/>
                <w:color w:val="auto"/>
              </w:rPr>
            </w:pPr>
          </w:p>
        </w:tc>
        <w:tc>
          <w:tcPr>
            <w:tcW w:w="216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38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r>
      <w:tr>
        <w:trPr>
          <w:trHeight w:val="120"/>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- 0.8%</w:t>
            </w:r>
          </w:p>
        </w:tc>
        <w:tc>
          <w:tcPr>
            <w:tcW w:w="9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20"/>
        </w:trPr>
        <w:tc>
          <w:tcPr>
            <w:tcW w:w="33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w:t>
            </w:r>
            <w:r>
              <w:rPr>
                <w:rFonts w:ascii="Times New Roman" w:cs="Times New Roman" w:eastAsia="Times New Roman" w:hAnsi="Times New Roman"/>
                <w:sz w:val="12"/>
                <w:szCs w:val="12"/>
                <w:color w:val="auto"/>
                <w:vertAlign w:val="superscript"/>
              </w:rPr>
              <w:t>(11)</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03/01/2029</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640" w:type="dxa"/>
            <w:vAlign w:val="bottom"/>
            <w:shd w:val="clear" w:color="auto" w:fill="CCECFF"/>
          </w:tcPr>
          <w:p>
            <w:pPr>
              <w:spacing w:after="0"/>
              <w:rPr>
                <w:sz w:val="10"/>
                <w:szCs w:val="10"/>
                <w:color w:val="auto"/>
              </w:rPr>
            </w:pPr>
          </w:p>
        </w:tc>
        <w:tc>
          <w:tcPr>
            <w:tcW w:w="3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10,877</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10,054</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979</w:t>
            </w:r>
          </w:p>
        </w:tc>
      </w:tr>
      <w:tr>
        <w:trPr>
          <w:trHeight w:val="120"/>
        </w:trPr>
        <w:tc>
          <w:tcPr>
            <w:tcW w:w="33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 Unfunded Term Loan </w:t>
            </w:r>
            <w:r>
              <w:rPr>
                <w:rFonts w:ascii="Times New Roman" w:cs="Times New Roman" w:eastAsia="Times New Roman" w:hAnsi="Times New Roman"/>
                <w:sz w:val="12"/>
                <w:szCs w:val="12"/>
                <w:color w:val="auto"/>
                <w:vertAlign w:val="superscript"/>
              </w:rPr>
              <w:t>(11), (8)</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03/01/2029</w:t>
            </w: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640" w:type="dxa"/>
            <w:vAlign w:val="bottom"/>
          </w:tcPr>
          <w:p>
            <w:pPr>
              <w:spacing w:after="0"/>
              <w:rPr>
                <w:sz w:val="10"/>
                <w:szCs w:val="10"/>
                <w:color w:val="auto"/>
              </w:rPr>
            </w:pP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167</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(152 )</w:t>
            </w:r>
          </w:p>
        </w:tc>
      </w:tr>
      <w:tr>
        <w:trPr>
          <w:trHeight w:val="120"/>
        </w:trPr>
        <w:tc>
          <w:tcPr>
            <w:tcW w:w="33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 Junior Revolver </w:t>
            </w:r>
            <w:r>
              <w:rPr>
                <w:rFonts w:ascii="Times New Roman" w:cs="Times New Roman" w:eastAsia="Times New Roman" w:hAnsi="Times New Roman"/>
                <w:sz w:val="12"/>
                <w:szCs w:val="12"/>
                <w:color w:val="auto"/>
                <w:vertAlign w:val="superscript"/>
              </w:rPr>
              <w:t>(11)</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03/01/2029</w:t>
            </w: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640" w:type="dxa"/>
            <w:vAlign w:val="bottom"/>
            <w:shd w:val="clear" w:color="auto" w:fill="CCECFF"/>
          </w:tcPr>
          <w:p>
            <w:pPr>
              <w:spacing w:after="0"/>
              <w:rPr>
                <w:sz w:val="10"/>
                <w:szCs w:val="10"/>
                <w:color w:val="auto"/>
              </w:rPr>
            </w:pPr>
          </w:p>
        </w:tc>
        <w:tc>
          <w:tcPr>
            <w:tcW w:w="3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3,333</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3,333</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3,333</w:t>
            </w:r>
          </w:p>
        </w:tc>
      </w:tr>
      <w:tr>
        <w:trPr>
          <w:trHeight w:val="120"/>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9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13,387</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4,160</w:t>
            </w:r>
          </w:p>
        </w:tc>
      </w:tr>
      <w:tr>
        <w:trPr>
          <w:trHeight w:val="120"/>
        </w:trPr>
        <w:tc>
          <w:tcPr>
            <w:tcW w:w="33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Preferred Equity/Partnership Interests - 5.9% of Net Assets </w:t>
            </w:r>
            <w:r>
              <w:rPr>
                <w:rFonts w:ascii="Times New Roman" w:cs="Times New Roman" w:eastAsia="Times New Roman" w:hAnsi="Times New Roman"/>
                <w:sz w:val="12"/>
                <w:szCs w:val="12"/>
                <w:b w:val="1"/>
                <w:bCs w:val="1"/>
                <w:color w:val="auto"/>
                <w:vertAlign w:val="superscript"/>
              </w:rPr>
              <w:t>(6)</w:t>
            </w:r>
          </w:p>
        </w:tc>
        <w:tc>
          <w:tcPr>
            <w:tcW w:w="960" w:type="dxa"/>
            <w:vAlign w:val="bottom"/>
            <w:shd w:val="clear" w:color="auto" w:fill="CCECFF"/>
          </w:tcPr>
          <w:p>
            <w:pPr>
              <w:spacing w:after="0"/>
              <w:rPr>
                <w:sz w:val="10"/>
                <w:szCs w:val="10"/>
                <w:color w:val="auto"/>
              </w:rPr>
            </w:pPr>
          </w:p>
        </w:tc>
        <w:tc>
          <w:tcPr>
            <w:tcW w:w="216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38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r>
      <w:tr>
        <w:trPr>
          <w:trHeight w:val="120"/>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Cascade Environmental Holdings, LLC (Preferred)</w:t>
            </w:r>
          </w:p>
        </w:tc>
        <w:tc>
          <w:tcPr>
            <w:tcW w:w="960" w:type="dxa"/>
            <w:vAlign w:val="bottom"/>
          </w:tcPr>
          <w:p>
            <w:pPr>
              <w:spacing w:after="0"/>
              <w:rPr>
                <w:sz w:val="10"/>
                <w:szCs w:val="1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640" w:type="dxa"/>
            <w:vAlign w:val="bottom"/>
          </w:tcPr>
          <w:p>
            <w:pPr>
              <w:spacing w:after="0"/>
              <w:rPr>
                <w:sz w:val="10"/>
                <w:szCs w:val="10"/>
                <w:color w:val="auto"/>
              </w:rPr>
            </w:pP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5,887,236</w:t>
            </w: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32,791</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27,931</w:t>
            </w:r>
          </w:p>
        </w:tc>
      </w:tr>
      <w:tr>
        <w:trPr>
          <w:trHeight w:val="120"/>
        </w:trPr>
        <w:tc>
          <w:tcPr>
            <w:tcW w:w="3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Cascade Environmental Holdings, LLC - Series B</w:t>
            </w:r>
          </w:p>
        </w:tc>
        <w:tc>
          <w:tcPr>
            <w:tcW w:w="960" w:type="dxa"/>
            <w:vAlign w:val="bottom"/>
            <w:shd w:val="clear" w:color="auto" w:fill="CCECFF"/>
          </w:tcPr>
          <w:p>
            <w:pPr>
              <w:spacing w:after="0"/>
              <w:rPr>
                <w:sz w:val="10"/>
                <w:szCs w:val="10"/>
                <w:color w:val="auto"/>
              </w:rPr>
            </w:pPr>
          </w:p>
        </w:tc>
        <w:tc>
          <w:tcPr>
            <w:tcW w:w="21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640" w:type="dxa"/>
            <w:vAlign w:val="bottom"/>
            <w:shd w:val="clear" w:color="auto" w:fill="CCECFF"/>
          </w:tcPr>
          <w:p>
            <w:pPr>
              <w:spacing w:after="0"/>
              <w:rPr>
                <w:sz w:val="10"/>
                <w:szCs w:val="10"/>
                <w:color w:val="auto"/>
              </w:rPr>
            </w:pPr>
          </w:p>
        </w:tc>
        <w:tc>
          <w:tcPr>
            <w:tcW w:w="3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918</w:t>
            </w: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918</w:t>
            </w:r>
          </w:p>
        </w:tc>
        <w:tc>
          <w:tcPr>
            <w:tcW w:w="24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1,331</w:t>
            </w:r>
          </w:p>
        </w:tc>
      </w:tr>
      <w:tr>
        <w:trPr>
          <w:trHeight w:val="126"/>
        </w:trPr>
        <w:tc>
          <w:tcPr>
            <w:tcW w:w="33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Preferred Equity/Partnership Interests</w:t>
            </w:r>
          </w:p>
        </w:tc>
        <w:tc>
          <w:tcPr>
            <w:tcW w:w="9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33,709</w:t>
            </w:r>
          </w:p>
        </w:tc>
        <w:tc>
          <w:tcPr>
            <w:tcW w:w="240" w:type="dxa"/>
            <w:vAlign w:val="bottom"/>
          </w:tcPr>
          <w:p>
            <w:pPr>
              <w:spacing w:after="0"/>
              <w:rPr>
                <w:sz w:val="10"/>
                <w:szCs w:val="1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29,262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0"/>
        </w:trPr>
        <w:tc>
          <w:tcPr>
            <w:tcW w:w="3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2"/>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2"/>
              </w:rPr>
              <w:t>Maturity</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060" w:type="dxa"/>
            <w:vAlign w:val="bottom"/>
          </w:tcPr>
          <w:p>
            <w:pPr>
              <w:ind w:left="380"/>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80" w:type="dxa"/>
            <w:vAlign w:val="bottom"/>
          </w:tcPr>
          <w:p>
            <w:pPr>
              <w:jc w:val="center"/>
              <w:ind w:right="5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200" w:type="dxa"/>
            <w:vAlign w:val="bottom"/>
          </w:tcPr>
          <w:p>
            <w:pPr>
              <w:spacing w:after="0"/>
              <w:rPr>
                <w:sz w:val="10"/>
                <w:szCs w:val="10"/>
                <w:color w:val="auto"/>
              </w:rPr>
            </w:pPr>
          </w:p>
        </w:tc>
        <w:tc>
          <w:tcPr>
            <w:tcW w:w="54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4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(3)</w:t>
            </w: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Common Equity/Partnership Interests/Warrants - 0.0% of Net Assets </w:t>
            </w:r>
            <w:r>
              <w:rPr>
                <w:rFonts w:ascii="Times New Roman" w:cs="Times New Roman" w:eastAsia="Times New Roman" w:hAnsi="Times New Roman"/>
                <w:sz w:val="12"/>
                <w:szCs w:val="12"/>
                <w:b w:val="1"/>
                <w:bCs w:val="1"/>
                <w:color w:val="auto"/>
                <w:vertAlign w:val="superscript"/>
              </w:rPr>
              <w:t>(6)</w:t>
            </w:r>
          </w:p>
        </w:tc>
        <w:tc>
          <w:tcPr>
            <w:tcW w:w="1020" w:type="dxa"/>
            <w:vAlign w:val="bottom"/>
            <w:shd w:val="clear" w:color="auto" w:fill="CCECFF"/>
          </w:tcPr>
          <w:p>
            <w:pPr>
              <w:spacing w:after="0"/>
              <w:rPr>
                <w:sz w:val="10"/>
                <w:szCs w:val="10"/>
                <w:color w:val="auto"/>
              </w:rPr>
            </w:pPr>
          </w:p>
        </w:tc>
        <w:tc>
          <w:tcPr>
            <w:tcW w:w="206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Cascade Environmental Holdings, LLC</w:t>
            </w:r>
          </w:p>
        </w:tc>
        <w:tc>
          <w:tcPr>
            <w:tcW w:w="1020" w:type="dxa"/>
            <w:vAlign w:val="bottom"/>
          </w:tcPr>
          <w:p>
            <w:pPr>
              <w:spacing w:after="0"/>
              <w:rPr>
                <w:sz w:val="10"/>
                <w:szCs w:val="10"/>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7,444,347</w:t>
            </w: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2,852</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w:t>
            </w:r>
            <w:r>
              <w:rPr>
                <w:rFonts w:ascii="Times New Roman" w:cs="Times New Roman" w:eastAsia="Times New Roman" w:hAnsi="Times New Roman"/>
                <w:sz w:val="12"/>
                <w:szCs w:val="12"/>
                <w:color w:val="auto"/>
                <w:vertAlign w:val="superscript"/>
              </w:rPr>
              <w:t>(6)</w:t>
            </w:r>
          </w:p>
        </w:tc>
        <w:tc>
          <w:tcPr>
            <w:tcW w:w="1020" w:type="dxa"/>
            <w:vAlign w:val="bottom"/>
            <w:shd w:val="clear" w:color="auto" w:fill="CCECFF"/>
          </w:tcPr>
          <w:p>
            <w:pPr>
              <w:spacing w:after="0"/>
              <w:rPr>
                <w:sz w:val="10"/>
                <w:szCs w:val="10"/>
                <w:color w:val="auto"/>
              </w:rPr>
            </w:pP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72,917</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6,786</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Common Equity/Partnership Interests/Warrants</w:t>
            </w:r>
          </w:p>
        </w:tc>
        <w:tc>
          <w:tcPr>
            <w:tcW w:w="10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9,638</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Non-Controlled, Affiliated Portfolio Companies</w:t>
            </w:r>
          </w:p>
        </w:tc>
        <w:tc>
          <w:tcPr>
            <w:tcW w:w="1020" w:type="dxa"/>
            <w:vAlign w:val="bottom"/>
            <w:shd w:val="clear" w:color="auto" w:fill="CCECFF"/>
          </w:tcPr>
          <w:p>
            <w:pPr>
              <w:spacing w:after="0"/>
              <w:rPr>
                <w:sz w:val="10"/>
                <w:szCs w:val="10"/>
                <w:color w:val="auto"/>
              </w:rPr>
            </w:pPr>
          </w:p>
        </w:tc>
        <w:tc>
          <w:tcPr>
            <w:tcW w:w="206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56,734</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33,423</w:t>
            </w: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Investments in Controlled, Affiliated Portfolio Companies - 77.8% </w:t>
            </w:r>
            <w:r>
              <w:rPr>
                <w:rFonts w:ascii="Times New Roman" w:cs="Times New Roman" w:eastAsia="Times New Roman" w:hAnsi="Times New Roman"/>
                <w:sz w:val="12"/>
                <w:szCs w:val="12"/>
                <w:color w:val="auto"/>
                <w:vertAlign w:val="superscript"/>
              </w:rPr>
              <w:t>(1), (2)</w:t>
            </w:r>
          </w:p>
        </w:tc>
        <w:tc>
          <w:tcPr>
            <w:tcW w:w="10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- 21.5% of Net Assets</w:t>
            </w:r>
          </w:p>
        </w:tc>
        <w:tc>
          <w:tcPr>
            <w:tcW w:w="1020" w:type="dxa"/>
            <w:vAlign w:val="bottom"/>
            <w:shd w:val="clear" w:color="auto" w:fill="CCECFF"/>
          </w:tcPr>
          <w:p>
            <w:pPr>
              <w:spacing w:after="0"/>
              <w:rPr>
                <w:sz w:val="10"/>
                <w:szCs w:val="10"/>
                <w:color w:val="auto"/>
              </w:rPr>
            </w:pPr>
          </w:p>
        </w:tc>
        <w:tc>
          <w:tcPr>
            <w:tcW w:w="206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r>
      <w:tr>
        <w:trPr>
          <w:trHeight w:val="121"/>
        </w:trPr>
        <w:tc>
          <w:tcPr>
            <w:tcW w:w="3280" w:type="dxa"/>
            <w:vAlign w:val="bottom"/>
          </w:tcPr>
          <w:p>
            <w:pPr>
              <w:ind w:left="20"/>
              <w:spacing w:after="0" w:line="121" w:lineRule="exact"/>
              <w:rPr>
                <w:sz w:val="20"/>
                <w:szCs w:val="20"/>
                <w:color w:val="auto"/>
              </w:rPr>
            </w:pPr>
            <w:r>
              <w:rPr>
                <w:rFonts w:ascii="Times New Roman" w:cs="Times New Roman" w:eastAsia="Times New Roman" w:hAnsi="Times New Roman"/>
                <w:sz w:val="10"/>
                <w:szCs w:val="10"/>
                <w:color w:val="auto"/>
              </w:rPr>
              <w:t xml:space="preserve">AKW Holdings Limited (GBP) </w:t>
            </w:r>
            <w:r>
              <w:rPr>
                <w:rFonts w:ascii="Times New Roman" w:cs="Times New Roman" w:eastAsia="Times New Roman" w:hAnsi="Times New Roman"/>
                <w:sz w:val="12"/>
                <w:szCs w:val="12"/>
                <w:color w:val="auto"/>
                <w:vertAlign w:val="superscript"/>
              </w:rPr>
              <w:t>(9), (12)</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03/15/2027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12.16 %</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SOFR+700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42,457</w:t>
            </w:r>
          </w:p>
        </w:tc>
        <w:tc>
          <w:tcPr>
            <w:tcW w:w="20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58,075</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56,950</w:t>
            </w:r>
          </w:p>
        </w:tc>
      </w:tr>
      <w:tr>
        <w:trPr>
          <w:trHeight w:val="120"/>
        </w:trPr>
        <w:tc>
          <w:tcPr>
            <w:tcW w:w="3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(PIK 5.47%)</w:t>
            </w:r>
          </w:p>
        </w:tc>
        <w:tc>
          <w:tcPr>
            <w:tcW w:w="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JF Holdings Corp.</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07/31/2026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11.30 %</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SOFR+605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49,625</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49,114</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49,129</w:t>
            </w:r>
          </w:p>
        </w:tc>
      </w:tr>
      <w:tr>
        <w:trPr>
          <w:trHeight w:val="120"/>
        </w:trPr>
        <w:tc>
          <w:tcPr>
            <w:tcW w:w="3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1020" w:type="dxa"/>
            <w:vAlign w:val="bottom"/>
            <w:shd w:val="clear" w:color="auto" w:fill="CCECFF"/>
          </w:tcPr>
          <w:p>
            <w:pPr>
              <w:spacing w:after="0"/>
              <w:rPr>
                <w:sz w:val="10"/>
                <w:szCs w:val="10"/>
                <w:color w:val="auto"/>
              </w:rPr>
            </w:pPr>
          </w:p>
        </w:tc>
        <w:tc>
          <w:tcPr>
            <w:tcW w:w="206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107,189</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106,079</w:t>
            </w: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Subordinated Debt - 28.0% of Net Assets</w:t>
            </w:r>
          </w:p>
        </w:tc>
        <w:tc>
          <w:tcPr>
            <w:tcW w:w="10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Flock Financial, LLC </w:t>
            </w:r>
            <w:r>
              <w:rPr>
                <w:rFonts w:ascii="Times New Roman" w:cs="Times New Roman" w:eastAsia="Times New Roman" w:hAnsi="Times New Roman"/>
                <w:sz w:val="12"/>
                <w:szCs w:val="12"/>
                <w:color w:val="auto"/>
                <w:vertAlign w:val="superscript"/>
              </w:rPr>
              <w:t>(12)</w:t>
            </w:r>
          </w:p>
        </w:tc>
        <w:tc>
          <w:tcPr>
            <w:tcW w:w="10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10/19/2027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14.50 %</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22,208</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22,208</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22,208</w:t>
            </w:r>
          </w:p>
        </w:tc>
      </w:tr>
      <w:tr>
        <w:trPr>
          <w:trHeight w:val="120"/>
        </w:trPr>
        <w:tc>
          <w:tcPr>
            <w:tcW w:w="328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2060" w:type="dxa"/>
            <w:vAlign w:val="bottom"/>
            <w:shd w:val="clear" w:color="auto" w:fill="CCECFF"/>
          </w:tcPr>
          <w:p>
            <w:pPr>
              <w:spacing w:after="0"/>
              <w:rPr>
                <w:sz w:val="10"/>
                <w:szCs w:val="10"/>
                <w:color w:val="auto"/>
              </w:rPr>
            </w:pP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14.50%)</w:t>
            </w:r>
          </w:p>
        </w:tc>
        <w:tc>
          <w:tcPr>
            <w:tcW w:w="8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PennantPark Senior Loan Fund, LLC </w:t>
            </w:r>
            <w:r>
              <w:rPr>
                <w:rFonts w:ascii="Times New Roman" w:cs="Times New Roman" w:eastAsia="Times New Roman" w:hAnsi="Times New Roman"/>
                <w:sz w:val="12"/>
                <w:szCs w:val="12"/>
                <w:color w:val="auto"/>
                <w:vertAlign w:val="superscript"/>
              </w:rPr>
              <w:t>(12)</w:t>
            </w:r>
          </w:p>
        </w:tc>
        <w:tc>
          <w:tcPr>
            <w:tcW w:w="10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07/31/2027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13.25 %</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3M SOFR+800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115,886</w:t>
            </w:r>
          </w:p>
        </w:tc>
        <w:tc>
          <w:tcPr>
            <w:tcW w:w="20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115,886</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115,886</w:t>
            </w: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Subordinated Debt</w:t>
            </w:r>
          </w:p>
        </w:tc>
        <w:tc>
          <w:tcPr>
            <w:tcW w:w="1020" w:type="dxa"/>
            <w:vAlign w:val="bottom"/>
            <w:shd w:val="clear" w:color="auto" w:fill="CCECFF"/>
          </w:tcPr>
          <w:p>
            <w:pPr>
              <w:spacing w:after="0"/>
              <w:rPr>
                <w:sz w:val="10"/>
                <w:szCs w:val="10"/>
                <w:color w:val="auto"/>
              </w:rPr>
            </w:pPr>
          </w:p>
        </w:tc>
        <w:tc>
          <w:tcPr>
            <w:tcW w:w="206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138,094</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138,094</w:t>
            </w: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Preferred Equity - 5.4% of Net Assets </w:t>
            </w:r>
            <w:r>
              <w:rPr>
                <w:rFonts w:ascii="Times New Roman" w:cs="Times New Roman" w:eastAsia="Times New Roman" w:hAnsi="Times New Roman"/>
                <w:sz w:val="12"/>
                <w:szCs w:val="12"/>
                <w:color w:val="auto"/>
                <w:vertAlign w:val="superscript"/>
              </w:rPr>
              <w:t>(6)</w:t>
            </w:r>
          </w:p>
        </w:tc>
        <w:tc>
          <w:tcPr>
            <w:tcW w:w="10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Flock Financial Class A Preferred Equity </w:t>
            </w:r>
            <w:r>
              <w:rPr>
                <w:rFonts w:ascii="Times New Roman" w:cs="Times New Roman" w:eastAsia="Times New Roman" w:hAnsi="Times New Roman"/>
                <w:sz w:val="12"/>
                <w:szCs w:val="12"/>
                <w:color w:val="auto"/>
                <w:vertAlign w:val="superscript"/>
              </w:rPr>
              <w:t>(12)</w:t>
            </w:r>
          </w:p>
        </w:tc>
        <w:tc>
          <w:tcPr>
            <w:tcW w:w="1020" w:type="dxa"/>
            <w:vAlign w:val="bottom"/>
            <w:shd w:val="clear" w:color="auto" w:fill="CCECFF"/>
          </w:tcPr>
          <w:p>
            <w:pPr>
              <w:spacing w:after="0"/>
              <w:rPr>
                <w:sz w:val="10"/>
                <w:szCs w:val="10"/>
                <w:color w:val="auto"/>
              </w:rPr>
            </w:pP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2,047,727</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7,313</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7,313</w:t>
            </w: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Flock Financial Class B Preferred Equity </w:t>
            </w:r>
            <w:r>
              <w:rPr>
                <w:rFonts w:ascii="Times New Roman" w:cs="Times New Roman" w:eastAsia="Times New Roman" w:hAnsi="Times New Roman"/>
                <w:sz w:val="12"/>
                <w:szCs w:val="12"/>
                <w:color w:val="auto"/>
                <w:vertAlign w:val="superscript"/>
              </w:rPr>
              <w:t>(12)</w:t>
            </w:r>
          </w:p>
        </w:tc>
        <w:tc>
          <w:tcPr>
            <w:tcW w:w="1020" w:type="dxa"/>
            <w:vAlign w:val="bottom"/>
          </w:tcPr>
          <w:p>
            <w:pPr>
              <w:spacing w:after="0"/>
              <w:rPr>
                <w:sz w:val="10"/>
                <w:szCs w:val="10"/>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5,409,091</w:t>
            </w:r>
          </w:p>
        </w:tc>
        <w:tc>
          <w:tcPr>
            <w:tcW w:w="20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19,318</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19,318</w:t>
            </w: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Preferred Equity</w:t>
            </w:r>
          </w:p>
        </w:tc>
        <w:tc>
          <w:tcPr>
            <w:tcW w:w="1020" w:type="dxa"/>
            <w:vAlign w:val="bottom"/>
            <w:shd w:val="clear" w:color="auto" w:fill="CCECFF"/>
          </w:tcPr>
          <w:p>
            <w:pPr>
              <w:spacing w:after="0"/>
              <w:rPr>
                <w:sz w:val="10"/>
                <w:szCs w:val="10"/>
                <w:color w:val="auto"/>
              </w:rPr>
            </w:pPr>
          </w:p>
        </w:tc>
        <w:tc>
          <w:tcPr>
            <w:tcW w:w="206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26,631</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26,631</w:t>
            </w:r>
          </w:p>
        </w:tc>
      </w:tr>
      <w:tr>
        <w:trPr>
          <w:trHeight w:val="120"/>
        </w:trPr>
        <w:tc>
          <w:tcPr>
            <w:tcW w:w="328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Common Equity - 23.0% of Net Assets </w:t>
            </w:r>
            <w:r>
              <w:rPr>
                <w:rFonts w:ascii="Times New Roman" w:cs="Times New Roman" w:eastAsia="Times New Roman" w:hAnsi="Times New Roman"/>
                <w:sz w:val="12"/>
                <w:szCs w:val="12"/>
                <w:b w:val="1"/>
                <w:bCs w:val="1"/>
                <w:color w:val="auto"/>
                <w:vertAlign w:val="superscript"/>
              </w:rPr>
              <w:t>(6)</w:t>
            </w:r>
          </w:p>
        </w:tc>
        <w:tc>
          <w:tcPr>
            <w:tcW w:w="10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AKW Holdings Limited - Common Equity </w:t>
            </w:r>
            <w:r>
              <w:rPr>
                <w:rFonts w:ascii="Times New Roman" w:cs="Times New Roman" w:eastAsia="Times New Roman" w:hAnsi="Times New Roman"/>
                <w:sz w:val="12"/>
                <w:szCs w:val="12"/>
                <w:color w:val="auto"/>
                <w:vertAlign w:val="superscript"/>
              </w:rPr>
              <w:t>(9), (12)</w:t>
            </w:r>
          </w:p>
        </w:tc>
        <w:tc>
          <w:tcPr>
            <w:tcW w:w="1020" w:type="dxa"/>
            <w:vAlign w:val="bottom"/>
            <w:shd w:val="clear" w:color="auto" w:fill="CCECFF"/>
          </w:tcPr>
          <w:p>
            <w:pPr>
              <w:spacing w:after="0"/>
              <w:rPr>
                <w:sz w:val="10"/>
                <w:szCs w:val="10"/>
                <w:color w:val="auto"/>
              </w:rPr>
            </w:pP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950</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132</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3,848</w:t>
            </w: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JF Intermediate, LLC</w:t>
            </w:r>
          </w:p>
        </w:tc>
        <w:tc>
          <w:tcPr>
            <w:tcW w:w="1020" w:type="dxa"/>
            <w:vAlign w:val="bottom"/>
          </w:tcPr>
          <w:p>
            <w:pPr>
              <w:spacing w:after="0"/>
              <w:rPr>
                <w:sz w:val="10"/>
                <w:szCs w:val="10"/>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43,918</w:t>
            </w:r>
          </w:p>
        </w:tc>
        <w:tc>
          <w:tcPr>
            <w:tcW w:w="20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4,488</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41,729</w:t>
            </w:r>
          </w:p>
        </w:tc>
      </w:tr>
      <w:tr>
        <w:trPr>
          <w:trHeight w:val="120"/>
        </w:trPr>
        <w:tc>
          <w:tcPr>
            <w:tcW w:w="328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PennantPark Senior Loan Fund, LLC </w:t>
            </w:r>
            <w:r>
              <w:rPr>
                <w:rFonts w:ascii="Times New Roman" w:cs="Times New Roman" w:eastAsia="Times New Roman" w:hAnsi="Times New Roman"/>
                <w:sz w:val="12"/>
                <w:szCs w:val="12"/>
                <w:color w:val="auto"/>
                <w:vertAlign w:val="superscript"/>
              </w:rPr>
              <w:t>(12)</w:t>
            </w:r>
          </w:p>
        </w:tc>
        <w:tc>
          <w:tcPr>
            <w:tcW w:w="1020" w:type="dxa"/>
            <w:vAlign w:val="bottom"/>
            <w:shd w:val="clear" w:color="auto" w:fill="CCECFF"/>
          </w:tcPr>
          <w:p>
            <w:pPr>
              <w:spacing w:after="0"/>
              <w:rPr>
                <w:sz w:val="10"/>
                <w:szCs w:val="10"/>
                <w:color w:val="auto"/>
              </w:rPr>
            </w:pP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6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67,373,319</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67,436</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67,923</w:t>
            </w: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Common Equity</w:t>
            </w:r>
          </w:p>
        </w:tc>
        <w:tc>
          <w:tcPr>
            <w:tcW w:w="10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72,056</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113,500</w:t>
            </w: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Controlled, Affiliated Portfolio Companies</w:t>
            </w:r>
          </w:p>
        </w:tc>
        <w:tc>
          <w:tcPr>
            <w:tcW w:w="1020" w:type="dxa"/>
            <w:vAlign w:val="bottom"/>
            <w:shd w:val="clear" w:color="auto" w:fill="CCECFF"/>
          </w:tcPr>
          <w:p>
            <w:pPr>
              <w:spacing w:after="0"/>
              <w:rPr>
                <w:sz w:val="10"/>
                <w:szCs w:val="10"/>
                <w:color w:val="auto"/>
              </w:rPr>
            </w:pPr>
          </w:p>
        </w:tc>
        <w:tc>
          <w:tcPr>
            <w:tcW w:w="206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343,970</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384,304</w:t>
            </w: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- 268.9% of Net Assets</w:t>
            </w:r>
          </w:p>
        </w:tc>
        <w:tc>
          <w:tcPr>
            <w:tcW w:w="10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99"/>
              </w:rPr>
              <w:t>1,316,872</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1,328,050</w:t>
            </w: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- 10.1% of Net Assets</w:t>
            </w:r>
          </w:p>
        </w:tc>
        <w:tc>
          <w:tcPr>
            <w:tcW w:w="1020" w:type="dxa"/>
            <w:vAlign w:val="bottom"/>
            <w:shd w:val="clear" w:color="auto" w:fill="CCECFF"/>
          </w:tcPr>
          <w:p>
            <w:pPr>
              <w:spacing w:after="0"/>
              <w:rPr>
                <w:sz w:val="10"/>
                <w:szCs w:val="10"/>
                <w:color w:val="auto"/>
              </w:rPr>
            </w:pPr>
          </w:p>
        </w:tc>
        <w:tc>
          <w:tcPr>
            <w:tcW w:w="206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81</w:t>
            </w:r>
          </w:p>
        </w:tc>
        <w:tc>
          <w:tcPr>
            <w:tcW w:w="10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5.03 %</w:t>
            </w:r>
          </w:p>
        </w:tc>
        <w:tc>
          <w:tcPr>
            <w:tcW w:w="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38,769</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38,769</w:t>
            </w: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Non-Money Market Cash</w:t>
            </w:r>
          </w:p>
        </w:tc>
        <w:tc>
          <w:tcPr>
            <w:tcW w:w="1020" w:type="dxa"/>
            <w:vAlign w:val="bottom"/>
            <w:shd w:val="clear" w:color="auto" w:fill="CCECFF"/>
          </w:tcPr>
          <w:p>
            <w:pPr>
              <w:spacing w:after="0"/>
              <w:rPr>
                <w:sz w:val="10"/>
                <w:szCs w:val="10"/>
                <w:color w:val="auto"/>
              </w:rPr>
            </w:pPr>
          </w:p>
        </w:tc>
        <w:tc>
          <w:tcPr>
            <w:tcW w:w="206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11,064</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11,092</w:t>
            </w: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10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49,833</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49,861</w:t>
            </w: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and Cash Equivalents - 279.0%</w:t>
            </w:r>
          </w:p>
        </w:tc>
        <w:tc>
          <w:tcPr>
            <w:tcW w:w="1020" w:type="dxa"/>
            <w:vAlign w:val="bottom"/>
            <w:shd w:val="clear" w:color="auto" w:fill="CCECFF"/>
          </w:tcPr>
          <w:p>
            <w:pPr>
              <w:spacing w:after="0"/>
              <w:rPr>
                <w:sz w:val="10"/>
                <w:szCs w:val="10"/>
                <w:color w:val="auto"/>
              </w:rPr>
            </w:pPr>
          </w:p>
        </w:tc>
        <w:tc>
          <w:tcPr>
            <w:tcW w:w="206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99"/>
              </w:rPr>
              <w:t>1,366,705</w:t>
            </w:r>
          </w:p>
        </w:tc>
        <w:tc>
          <w:tcPr>
            <w:tcW w:w="20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1,377,911</w:t>
            </w: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Liabilities in Excess of Other Assets - (179.0)%</w:t>
            </w:r>
          </w:p>
        </w:tc>
        <w:tc>
          <w:tcPr>
            <w:tcW w:w="10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(884,003 )</w:t>
            </w: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Net Assets - 100%</w:t>
            </w:r>
          </w:p>
        </w:tc>
        <w:tc>
          <w:tcPr>
            <w:tcW w:w="1020" w:type="dxa"/>
            <w:vAlign w:val="bottom"/>
            <w:shd w:val="clear" w:color="auto" w:fill="CCECFF"/>
          </w:tcPr>
          <w:p>
            <w:pPr>
              <w:spacing w:after="0"/>
              <w:rPr>
                <w:sz w:val="10"/>
                <w:szCs w:val="10"/>
                <w:color w:val="auto"/>
              </w:rPr>
            </w:pPr>
          </w:p>
        </w:tc>
        <w:tc>
          <w:tcPr>
            <w:tcW w:w="206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0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493,908</w:t>
            </w:r>
          </w:p>
        </w:tc>
      </w:tr>
    </w:tbl>
    <w:p>
      <w:pPr>
        <w:spacing w:after="0" w:line="24" w:lineRule="exact"/>
        <w:rPr>
          <w:sz w:val="20"/>
          <w:szCs w:val="20"/>
          <w:color w:val="auto"/>
        </w:rPr>
      </w:pPr>
    </w:p>
    <w:p>
      <w:pPr>
        <w:jc w:val="both"/>
        <w:ind w:right="40"/>
        <w:spacing w:after="0" w:line="273" w:lineRule="auto"/>
        <w:rPr>
          <w:sz w:val="20"/>
          <w:szCs w:val="20"/>
          <w:color w:val="auto"/>
        </w:rPr>
      </w:pPr>
      <w:r>
        <w:rPr>
          <w:rFonts w:ascii="Times New Roman" w:cs="Times New Roman" w:eastAsia="Times New Roman" w:hAnsi="Times New Roman"/>
          <w:sz w:val="11"/>
          <w:szCs w:val="11"/>
          <w:color w:val="auto"/>
        </w:rPr>
        <w:t>(1)The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73" w:lineRule="auto"/>
        <w:rPr>
          <w:sz w:val="20"/>
          <w:szCs w:val="20"/>
          <w:color w:val="auto"/>
        </w:rPr>
      </w:pPr>
      <w:r>
        <w:rPr>
          <w:rFonts w:ascii="Times New Roman" w:cs="Times New Roman" w:eastAsia="Times New Roman" w:hAnsi="Times New Roman"/>
          <w:sz w:val="11"/>
          <w:szCs w:val="11"/>
          <w:color w:val="auto"/>
        </w:rPr>
        <w:t>(2)The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rPr>
          <w:sz w:val="20"/>
          <w:szCs w:val="20"/>
          <w:color w:val="auto"/>
        </w:rPr>
      </w:pPr>
      <w:r>
        <w:rPr>
          <w:rFonts w:ascii="Times New Roman" w:cs="Times New Roman" w:eastAsia="Times New Roman" w:hAnsi="Times New Roman"/>
          <w:sz w:val="11"/>
          <w:szCs w:val="11"/>
          <w:color w:val="auto"/>
        </w:rPr>
        <w:t>(3)Valued based on our accounting policy (See Note 2).</w:t>
      </w:r>
    </w:p>
    <w:p>
      <w:pPr>
        <w:spacing w:after="0" w:line="3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1"/>
          <w:szCs w:val="11"/>
          <w:color w:val="auto"/>
        </w:rPr>
        <w:t>(4)Represents floating rate instruments that accrue interest at a predetermined spread relative to an index, typically the applicable Secured Overnight Financing Rate, or “SOFR”, or Prime rate, or “P, or Sterling Overnight Index Average, or “SONIA.” The spread may change based on the type of rate used. The terms in the Schedule of Investments disclose the actual interest rate in effect as of the reporting period. SOFR loans are typically indexed to a 30-day, 90-day or 180-day SOFR rates (1M S, 3M S, or 6M S, respectively) at the borrower’s option. SONIA loans are typically indexed daily for GBP loans with a quarterly frequency payment. All securities are subject to a SOFR or Prime rate floor where a spread is provided, unless noted. The spread provided includes PIK interest and other fee rates, if 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(5)The security was not valued using significant unobservable inputs. The value of all other securities was determined using significant unobservable inputs (See Note 5).</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(6)Non-income producing securities.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(7)Partial Non-accrual PIK securities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(8)Represents the purchase of a security with delayed settlement or a revolving line of credit that is currently an unfunded investment. This security does not earn a basis point spread above an index while it is unfunded.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(9)Non-U.S. company or principal place of business is located in The Isle of Man.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(10)Investment is held through our Taxable Subsidiary (See Note 1).</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(11)Non-accrual security</w:t>
      </w:r>
    </w:p>
    <w:p>
      <w:pPr>
        <w:spacing w:after="0" w:line="30"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1"/>
          <w:szCs w:val="11"/>
          <w:color w:val="auto"/>
        </w:rPr>
        <w:t>(12)The investment is treated as a non-qualifying asset under Section 55(a) of the 1940 Act. Under the 1940 Act, we may not acquire any non-qualifying asset unless, at the time the acquisition is made, qualifying assets represent at least 70% of our total assets. As of September 30, 2024, qualifying assets represent 78% of the Company’s total assets and non-qualifying assets represent 22% of the Company’s total assets.</w:t>
      </w:r>
    </w:p>
    <w:p>
      <w:pPr>
        <w:spacing w:after="0"/>
        <w:rPr>
          <w:sz w:val="20"/>
          <w:szCs w:val="20"/>
          <w:color w:val="auto"/>
        </w:rPr>
      </w:pPr>
      <w:r>
        <w:rPr>
          <w:rFonts w:ascii="Times New Roman" w:cs="Times New Roman" w:eastAsia="Times New Roman" w:hAnsi="Times New Roman"/>
          <w:sz w:val="11"/>
          <w:szCs w:val="11"/>
          <w:color w:val="auto"/>
        </w:rPr>
        <w:t>Note: All investments are in US Companies unless noted otherwise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000" w:type="dxa"/>
            <w:vAlign w:val="bottom"/>
          </w:tcPr>
          <w:p>
            <w:pPr>
              <w:spacing w:after="0"/>
              <w:rPr>
                <w:sz w:val="10"/>
                <w:szCs w:val="10"/>
                <w:color w:val="auto"/>
              </w:rPr>
            </w:pPr>
          </w:p>
        </w:tc>
        <w:tc>
          <w:tcPr>
            <w:tcW w:w="820" w:type="dxa"/>
            <w:vAlign w:val="bottom"/>
            <w:vMerge w:val="restart"/>
          </w:tcPr>
          <w:p>
            <w:pPr>
              <w:ind w:left="220"/>
              <w:spacing w:after="0"/>
              <w:rPr>
                <w:sz w:val="20"/>
                <w:szCs w:val="20"/>
                <w:color w:val="auto"/>
              </w:rPr>
            </w:pPr>
            <w:r>
              <w:rPr>
                <w:rFonts w:ascii="Times New Roman" w:cs="Times New Roman" w:eastAsia="Times New Roman" w:hAnsi="Times New Roman"/>
                <w:sz w:val="10"/>
                <w:szCs w:val="10"/>
                <w:b w:val="1"/>
                <w:bCs w:val="1"/>
                <w:color w:val="auto"/>
              </w:rPr>
              <w:t>Maturity /</w:t>
            </w:r>
          </w:p>
        </w:tc>
        <w:tc>
          <w:tcPr>
            <w:tcW w:w="2020" w:type="dxa"/>
            <w:vAlign w:val="bottom"/>
          </w:tcPr>
          <w:p>
            <w:pPr>
              <w:spacing w:after="0"/>
              <w:rPr>
                <w:sz w:val="10"/>
                <w:szCs w:val="10"/>
                <w:color w:val="auto"/>
              </w:rPr>
            </w:pPr>
          </w:p>
        </w:tc>
        <w:tc>
          <w:tcPr>
            <w:tcW w:w="960" w:type="dxa"/>
            <w:vAlign w:val="bottom"/>
            <w:vMerge w:val="restart"/>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000" w:type="dxa"/>
            <w:vAlign w:val="bottom"/>
          </w:tcPr>
          <w:p>
            <w:pPr>
              <w:jc w:val="center"/>
              <w:ind w:right="192"/>
              <w:spacing w:after="0"/>
              <w:rPr>
                <w:sz w:val="20"/>
                <w:szCs w:val="20"/>
                <w:color w:val="auto"/>
              </w:rPr>
            </w:pPr>
            <w:r>
              <w:rPr>
                <w:rFonts w:ascii="Times New Roman" w:cs="Times New Roman" w:eastAsia="Times New Roman" w:hAnsi="Times New Roman"/>
                <w:sz w:val="10"/>
                <w:szCs w:val="10"/>
                <w:color w:val="auto"/>
                <w:w w:val="97"/>
              </w:rPr>
              <w:t>Basis Point</w:t>
            </w:r>
          </w:p>
        </w:tc>
        <w:tc>
          <w:tcPr>
            <w:tcW w:w="880" w:type="dxa"/>
            <w:vAlign w:val="bottom"/>
            <w:vMerge w:val="restart"/>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20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00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4"/>
              </w:rPr>
              <w:t>Spread Above</w:t>
            </w:r>
          </w:p>
        </w:tc>
        <w:tc>
          <w:tcPr>
            <w:tcW w:w="8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Industry</w:t>
            </w: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00" w:type="dxa"/>
            <w:vAlign w:val="bottom"/>
          </w:tcPr>
          <w:p>
            <w:pPr>
              <w:jc w:val="center"/>
              <w:ind w:right="172"/>
              <w:spacing w:after="0" w:line="122" w:lineRule="exact"/>
              <w:rPr>
                <w:sz w:val="20"/>
                <w:szCs w:val="20"/>
                <w:color w:val="auto"/>
              </w:rPr>
            </w:pPr>
            <w:r>
              <w:rPr>
                <w:rFonts w:ascii="Times New Roman" w:cs="Times New Roman" w:eastAsia="Times New Roman" w:hAnsi="Times New Roman"/>
                <w:sz w:val="10"/>
                <w:szCs w:val="10"/>
                <w:color w:val="auto"/>
                <w:w w:val="86"/>
              </w:rPr>
              <w:t xml:space="preserve">Index </w:t>
            </w:r>
            <w:r>
              <w:rPr>
                <w:rFonts w:ascii="Times New Roman" w:cs="Times New Roman" w:eastAsia="Times New Roman" w:hAnsi="Times New Roman"/>
                <w:sz w:val="12"/>
                <w:szCs w:val="12"/>
                <w:color w:val="auto"/>
                <w:w w:val="86"/>
                <w:vertAlign w:val="superscript"/>
              </w:rPr>
              <w:t>(4)</w:t>
            </w: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60" w:type="dxa"/>
            <w:vAlign w:val="bottom"/>
          </w:tcPr>
          <w:p>
            <w:pPr>
              <w:spacing w:after="0"/>
              <w:rPr>
                <w:sz w:val="10"/>
                <w:szCs w:val="10"/>
                <w:color w:val="auto"/>
              </w:rPr>
            </w:pPr>
          </w:p>
        </w:tc>
        <w:tc>
          <w:tcPr>
            <w:tcW w:w="68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0"/>
                <w:szCs w:val="10"/>
                <w:color w:val="auto"/>
              </w:rPr>
            </w:pPr>
          </w:p>
        </w:tc>
        <w:tc>
          <w:tcPr>
            <w:tcW w:w="760" w:type="dxa"/>
            <w:vAlign w:val="bottom"/>
          </w:tcPr>
          <w:p>
            <w:pPr>
              <w:jc w:val="right"/>
              <w:ind w:right="15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(3)</w:t>
            </w:r>
          </w:p>
        </w:tc>
        <w:tc>
          <w:tcPr>
            <w:tcW w:w="0" w:type="dxa"/>
            <w:vAlign w:val="bottom"/>
          </w:tcPr>
          <w:p>
            <w:pPr>
              <w:spacing w:after="0"/>
              <w:rPr>
                <w:sz w:val="1"/>
                <w:szCs w:val="1"/>
                <w:color w:val="auto"/>
              </w:rPr>
            </w:pPr>
          </w:p>
        </w:tc>
      </w:tr>
      <w:tr>
        <w:trPr>
          <w:trHeight w:val="119"/>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Investments in Non-Controlled, Non-Affiliated Portfolio Companies</w:t>
            </w:r>
          </w:p>
        </w:tc>
        <w:tc>
          <w:tcPr>
            <w:tcW w:w="820" w:type="dxa"/>
            <w:vAlign w:val="bottom"/>
            <w:shd w:val="clear" w:color="auto" w:fill="CCECFF"/>
          </w:tcPr>
          <w:p>
            <w:pPr>
              <w:spacing w:after="0"/>
              <w:rPr>
                <w:sz w:val="10"/>
                <w:szCs w:val="10"/>
                <w:color w:val="auto"/>
              </w:rPr>
            </w:pPr>
          </w:p>
        </w:tc>
        <w:tc>
          <w:tcPr>
            <w:tcW w:w="20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0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—165.4% of Net Assets </w:t>
            </w:r>
            <w:r>
              <w:rPr>
                <w:rFonts w:ascii="Times New Roman" w:cs="Times New Roman" w:eastAsia="Times New Roman" w:hAnsi="Times New Roman"/>
                <w:sz w:val="12"/>
                <w:szCs w:val="12"/>
                <w:b w:val="1"/>
                <w:bCs w:val="1"/>
                <w:color w:val="auto"/>
                <w:vertAlign w:val="superscript"/>
              </w:rPr>
              <w:t>(1), (2)</w:t>
            </w:r>
          </w:p>
        </w:tc>
        <w:tc>
          <w:tcPr>
            <w:tcW w:w="820" w:type="dxa"/>
            <w:vAlign w:val="bottom"/>
            <w:shd w:val="clear" w:color="auto" w:fill="CCECFF"/>
          </w:tcPr>
          <w:p>
            <w:pPr>
              <w:spacing w:after="0"/>
              <w:rPr>
                <w:sz w:val="10"/>
                <w:szCs w:val="10"/>
                <w:color w:val="auto"/>
              </w:rPr>
            </w:pPr>
          </w:p>
        </w:tc>
        <w:tc>
          <w:tcPr>
            <w:tcW w:w="20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Debt—93.2% of Net Assets</w:t>
            </w:r>
          </w:p>
        </w:tc>
        <w:tc>
          <w:tcPr>
            <w:tcW w:w="8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12/22/2028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11.99 %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SOFR+660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5,144</w:t>
            </w:r>
          </w:p>
        </w:tc>
        <w:tc>
          <w:tcPr>
            <w:tcW w:w="2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5,073</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5,119</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A1 Garage Merger Sub, LLC - Unfunded Term Loan</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12/21/2024</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1,788</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A1 Garage Merger Sub, LLC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12/22/2028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2,532</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Ad.net Acquisition, LLC (Revolver)</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05/07/2026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11.65 %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SOFR+626</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222</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222</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221</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Ad.net Acquisition, LLC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05/07/2026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222</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05/23/2024</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SOFR+665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1,237</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1,223</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1,221</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Anteriad, LLC (f/k/a MeritDirect, LLC)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05/23/2024</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1,612</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(28 )</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Any Hour Services</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07/21/2027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11.22 %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SOFR+585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3,023</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3,014</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2,962</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Any Hour Services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07/21/2027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1,147</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(23 )</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07/31/2025</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10.77 %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SOFR+525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1,330</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1,330</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1,327</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 Term Loan 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07/31/2025</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10.79 %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SOFR+525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1,863</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1,850</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1,859</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 (Revolver)</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07/31/2025</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10.79 %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SOFR+525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582</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583</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581</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Apex Service Partners, LLC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07/31/2025</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350</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12/29/2026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SOFR+615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824</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818</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808</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 (Revolver)</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12/29/2026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13.25 %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SOFR+475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400</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400</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392</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Applied Technical Services, LLC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12/29/2026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600</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Arcfield Acquisition Corp. (Revolver)</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08/03/2029</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11.62 %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SOFR+615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8,090</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7,970</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8,009</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Arcfield Acquisition Corp.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08/04/2028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3,521</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(35 )</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Berwick Industrial Park</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11/02/2023</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Buildings and Real Estate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11.50 %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4,000</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4,030</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3,924</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07/01/2029</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SOFR+575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4,950</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4,869</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4,604</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BioDerm, Inc. (Revolver)</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01/31/2028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11.81 %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SOFR+650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107</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BioDerm, Inc.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01/31/2028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964</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09/17/2026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SOFR+640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1,851</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1,833</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1,823</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Blackhawk Industrial Distribution, Inc.</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09/17/2026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3,354</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(34 )</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09/17/2026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SOFR+640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343</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343</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338</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Blackhawk Industrial Distribution, Inc.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09/17/2026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3,089</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(46 )</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12/04/2025</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11.65 %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SOFR+626</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9,838</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9,838</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9,838</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06/14/2028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11.39 %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SOFR+600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34,056</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33,496</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34,056</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Cartessa Aesthetics, LLC - (Revolver)</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06/14/2028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1,265</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1,265</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1,265</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Cartessa Aesthetics, LLC -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06/14/2028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2,297</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08/20/2026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6,592</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6,524</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6,460</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CF512, Inc.(Revolver)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08/20/2026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909</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(18 )</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Compex Legal Services, Inc.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02/09/2026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SOFR+555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949</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939</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949</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Compex Legal Services, Inc. (Revolver)</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02/07/2025</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SOFR+555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66</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w:t>
            </w:r>
          </w:p>
        </w:tc>
        <w:tc>
          <w:tcPr>
            <w:tcW w:w="0" w:type="dxa"/>
            <w:vAlign w:val="bottom"/>
          </w:tcPr>
          <w:p>
            <w:pPr>
              <w:spacing w:after="0"/>
              <w:rPr>
                <w:sz w:val="1"/>
                <w:szCs w:val="1"/>
                <w:color w:val="auto"/>
              </w:rPr>
            </w:pPr>
          </w:p>
        </w:tc>
      </w:tr>
      <w:tr>
        <w:trPr>
          <w:trHeight w:val="16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Compex Legal Services, Inc.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02/07/2025</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590</w:t>
            </w:r>
          </w:p>
        </w:tc>
        <w:tc>
          <w:tcPr>
            <w:tcW w:w="260" w:type="dxa"/>
            <w:vAlign w:val="bottom"/>
            <w:shd w:val="clear" w:color="auto" w:fill="CCECFF"/>
          </w:tcPr>
          <w:p>
            <w:pPr>
              <w:spacing w:after="0"/>
              <w:rPr>
                <w:sz w:val="14"/>
                <w:szCs w:val="14"/>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4"/>
                <w:szCs w:val="14"/>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Connatix Buyer, Inc.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07/13/2027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1,875</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(66 )</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Confluent Health, LLC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11/30/2028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12.82 %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SOFR+750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1,990</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1,855</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2,000</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Crane 1 Services, Inc. (Revolver)</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08/16/2027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10.90 %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SOFR+551</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117</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116</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Crane 1 Services, Inc.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08/16/2027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175</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21"/>
        </w:trPr>
        <w:tc>
          <w:tcPr>
            <w:tcW w:w="3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w:t>
            </w:r>
          </w:p>
        </w:tc>
        <w:tc>
          <w:tcPr>
            <w:tcW w:w="9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08/31/2027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Products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11.23 %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SOFR+585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8,276</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8,190</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8,276</w:t>
            </w:r>
          </w:p>
        </w:tc>
        <w:tc>
          <w:tcPr>
            <w:tcW w:w="0" w:type="dxa"/>
            <w:vAlign w:val="bottom"/>
          </w:tcPr>
          <w:p>
            <w:pPr>
              <w:spacing w:after="0"/>
              <w:rPr>
                <w:sz w:val="1"/>
                <w:szCs w:val="1"/>
                <w:color w:val="auto"/>
              </w:rPr>
            </w:pPr>
          </w:p>
        </w:tc>
      </w:tr>
      <w:tr>
        <w:trPr>
          <w:trHeight w:val="121"/>
        </w:trPr>
        <w:tc>
          <w:tcPr>
            <w:tcW w:w="300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w:t>
            </w:r>
          </w:p>
        </w:tc>
        <w:tc>
          <w:tcPr>
            <w:tcW w:w="96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Dr. Squatch, LLC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08/27/2026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Products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2,000</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121"/>
        </w:trPr>
        <w:tc>
          <w:tcPr>
            <w:tcW w:w="3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w:t>
            </w:r>
          </w:p>
        </w:tc>
        <w:tc>
          <w:tcPr>
            <w:tcW w:w="9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Dr. Squatch, LLC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08/31/2027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Products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2,326</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11/03/2025</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SOFR+640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DRS Holdings III, Inc.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11/03/2025</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1,783</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(21 )</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12/22/2028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SOFR+625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6,219</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6,133</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6,125</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EDS Buyer, LLC - Unfunded Term Loan</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12/22/2028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5,625</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(14 )</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EDS Buyer, LLC -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12/22/2028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1,688</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(25 )</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ETE Intermediate II, LLC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05/25/2029</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1,656</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(28 )</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03/15/2027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SOFR+585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24,375</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24,097</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23,888</w:t>
            </w:r>
          </w:p>
        </w:tc>
        <w:tc>
          <w:tcPr>
            <w:tcW w:w="0" w:type="dxa"/>
            <w:vAlign w:val="bottom"/>
          </w:tcPr>
          <w:p>
            <w:pPr>
              <w:spacing w:after="0"/>
              <w:rPr>
                <w:sz w:val="1"/>
                <w:szCs w:val="1"/>
                <w:color w:val="auto"/>
              </w:rPr>
            </w:pPr>
          </w:p>
        </w:tc>
      </w:tr>
      <w:tr>
        <w:trPr>
          <w:trHeight w:val="158"/>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Exigo Intermediate II, LLC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03/15/2027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1,856</w:t>
            </w:r>
          </w:p>
        </w:tc>
        <w:tc>
          <w:tcPr>
            <w:tcW w:w="260" w:type="dxa"/>
            <w:vAlign w:val="bottom"/>
          </w:tcPr>
          <w:p>
            <w:pPr>
              <w:spacing w:after="0"/>
              <w:rPr>
                <w:sz w:val="13"/>
                <w:szCs w:val="13"/>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(37 )</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820" w:type="dxa"/>
            <w:vAlign w:val="bottom"/>
          </w:tcPr>
          <w:p>
            <w:pPr>
              <w:spacing w:after="0"/>
              <w:rPr>
                <w:sz w:val="10"/>
                <w:szCs w:val="10"/>
                <w:color w:val="auto"/>
              </w:rPr>
            </w:pPr>
          </w:p>
        </w:tc>
        <w:tc>
          <w:tcPr>
            <w:tcW w:w="1000" w:type="dxa"/>
            <w:vAlign w:val="bottom"/>
            <w:vMerge w:val="restart"/>
          </w:tcPr>
          <w:p>
            <w:pPr>
              <w:ind w:left="400"/>
              <w:spacing w:after="0"/>
              <w:rPr>
                <w:sz w:val="20"/>
                <w:szCs w:val="20"/>
                <w:color w:val="auto"/>
              </w:rPr>
            </w:pPr>
            <w:r>
              <w:rPr>
                <w:rFonts w:ascii="Times New Roman" w:cs="Times New Roman" w:eastAsia="Times New Roman" w:hAnsi="Times New Roman"/>
                <w:sz w:val="10"/>
                <w:szCs w:val="10"/>
                <w:b w:val="1"/>
                <w:bCs w:val="1"/>
                <w:color w:val="auto"/>
              </w:rPr>
              <w:t>Maturity /</w:t>
            </w:r>
          </w:p>
        </w:tc>
        <w:tc>
          <w:tcPr>
            <w:tcW w:w="2020" w:type="dxa"/>
            <w:vAlign w:val="bottom"/>
          </w:tcPr>
          <w:p>
            <w:pPr>
              <w:spacing w:after="0"/>
              <w:rPr>
                <w:sz w:val="10"/>
                <w:szCs w:val="10"/>
                <w:color w:val="auto"/>
              </w:rPr>
            </w:pPr>
          </w:p>
        </w:tc>
        <w:tc>
          <w:tcPr>
            <w:tcW w:w="960" w:type="dxa"/>
            <w:vAlign w:val="bottom"/>
            <w:vMerge w:val="restart"/>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000" w:type="dxa"/>
            <w:vAlign w:val="bottom"/>
          </w:tcPr>
          <w:p>
            <w:pPr>
              <w:jc w:val="center"/>
              <w:ind w:right="192"/>
              <w:spacing w:after="0"/>
              <w:rPr>
                <w:sz w:val="20"/>
                <w:szCs w:val="20"/>
                <w:color w:val="auto"/>
              </w:rPr>
            </w:pPr>
            <w:r>
              <w:rPr>
                <w:rFonts w:ascii="Times New Roman" w:cs="Times New Roman" w:eastAsia="Times New Roman" w:hAnsi="Times New Roman"/>
                <w:sz w:val="10"/>
                <w:szCs w:val="10"/>
                <w:color w:val="auto"/>
                <w:w w:val="97"/>
              </w:rPr>
              <w:t>Basis Point</w:t>
            </w:r>
          </w:p>
        </w:tc>
        <w:tc>
          <w:tcPr>
            <w:tcW w:w="880" w:type="dxa"/>
            <w:vAlign w:val="bottom"/>
            <w:vMerge w:val="restart"/>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0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00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4"/>
              </w:rPr>
              <w:t>Spread Above</w:t>
            </w:r>
          </w:p>
        </w:tc>
        <w:tc>
          <w:tcPr>
            <w:tcW w:w="8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Industry</w:t>
            </w: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00" w:type="dxa"/>
            <w:vAlign w:val="bottom"/>
          </w:tcPr>
          <w:p>
            <w:pPr>
              <w:jc w:val="center"/>
              <w:ind w:right="172"/>
              <w:spacing w:after="0" w:line="122" w:lineRule="exact"/>
              <w:rPr>
                <w:sz w:val="20"/>
                <w:szCs w:val="20"/>
                <w:color w:val="auto"/>
              </w:rPr>
            </w:pPr>
            <w:r>
              <w:rPr>
                <w:rFonts w:ascii="Times New Roman" w:cs="Times New Roman" w:eastAsia="Times New Roman" w:hAnsi="Times New Roman"/>
                <w:sz w:val="10"/>
                <w:szCs w:val="10"/>
                <w:color w:val="auto"/>
                <w:w w:val="86"/>
              </w:rPr>
              <w:t xml:space="preserve">Index </w:t>
            </w:r>
            <w:r>
              <w:rPr>
                <w:rFonts w:ascii="Times New Roman" w:cs="Times New Roman" w:eastAsia="Times New Roman" w:hAnsi="Times New Roman"/>
                <w:sz w:val="12"/>
                <w:szCs w:val="12"/>
                <w:color w:val="auto"/>
                <w:w w:val="86"/>
                <w:vertAlign w:val="superscript"/>
              </w:rPr>
              <w:t>(4)</w:t>
            </w: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60" w:type="dxa"/>
            <w:vAlign w:val="bottom"/>
          </w:tcPr>
          <w:p>
            <w:pPr>
              <w:spacing w:after="0"/>
              <w:rPr>
                <w:sz w:val="10"/>
                <w:szCs w:val="10"/>
                <w:color w:val="auto"/>
              </w:rPr>
            </w:pPr>
          </w:p>
        </w:tc>
        <w:tc>
          <w:tcPr>
            <w:tcW w:w="68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0"/>
                <w:szCs w:val="10"/>
                <w:color w:val="auto"/>
              </w:rPr>
            </w:pPr>
          </w:p>
        </w:tc>
        <w:tc>
          <w:tcPr>
            <w:tcW w:w="760" w:type="dxa"/>
            <w:vAlign w:val="bottom"/>
          </w:tcPr>
          <w:p>
            <w:pPr>
              <w:jc w:val="right"/>
              <w:ind w:right="15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(3)</w:t>
            </w:r>
          </w:p>
        </w:tc>
        <w:tc>
          <w:tcPr>
            <w:tcW w:w="0" w:type="dxa"/>
            <w:vAlign w:val="bottom"/>
          </w:tcPr>
          <w:p>
            <w:pPr>
              <w:spacing w:after="0"/>
              <w:rPr>
                <w:sz w:val="1"/>
                <w:szCs w:val="1"/>
                <w:color w:val="auto"/>
              </w:rPr>
            </w:pPr>
          </w:p>
        </w:tc>
      </w:tr>
      <w:tr>
        <w:trPr>
          <w:trHeight w:val="121"/>
        </w:trPr>
        <w:tc>
          <w:tcPr>
            <w:tcW w:w="282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Leisure, Amusement, Motion Pictures,</w:t>
            </w:r>
          </w:p>
        </w:tc>
        <w:tc>
          <w:tcPr>
            <w:tcW w:w="96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Five Star Buyer, Inc.</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02/23/2028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12.42 %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SOFR+710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196</w:t>
            </w:r>
          </w:p>
        </w:tc>
        <w:tc>
          <w:tcPr>
            <w:tcW w:w="2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196</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193</w:t>
            </w:r>
          </w:p>
        </w:tc>
        <w:tc>
          <w:tcPr>
            <w:tcW w:w="0" w:type="dxa"/>
            <w:vAlign w:val="bottom"/>
          </w:tcPr>
          <w:p>
            <w:pPr>
              <w:spacing w:after="0"/>
              <w:rPr>
                <w:sz w:val="1"/>
                <w:szCs w:val="1"/>
                <w:color w:val="auto"/>
              </w:rPr>
            </w:pPr>
          </w:p>
        </w:tc>
      </w:tr>
      <w:tr>
        <w:trPr>
          <w:trHeight w:val="121"/>
        </w:trPr>
        <w:tc>
          <w:tcPr>
            <w:tcW w:w="2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Leisure, Amusement, Motion Pictures,</w:t>
            </w:r>
          </w:p>
        </w:tc>
        <w:tc>
          <w:tcPr>
            <w:tcW w:w="9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Five Star Buyer, Inc. - Unfunded Term Loan</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02/23/2028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837</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121"/>
        </w:trPr>
        <w:tc>
          <w:tcPr>
            <w:tcW w:w="282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Leisure, Amusement, Motion Pictures,</w:t>
            </w:r>
          </w:p>
        </w:tc>
        <w:tc>
          <w:tcPr>
            <w:tcW w:w="96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Five Star Buyer, Inc. (Revolver)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02/23/2028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741</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Gauge ETE Blocker, LLC - Promissory Note</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05/19/2029</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12.56 %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215</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215</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215</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08/10/2027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10.98 %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SOFR+560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613</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608</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607</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Graffiti Buyer, Inc. </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12/08/2023</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276</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Graffiti Buyer, Inc. (Revolver)</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08/10/2027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SOFR+560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239</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239</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237</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Graffiti Buyer, Inc. (Revolver) </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08/10/2027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529</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12/31/2026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10.92 %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SOFR+560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335</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335</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327</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Hancock Roofing and Construction L.L.C. (Revolver) </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12/31/2026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415</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Holdco Sands Intermediate, LLC</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11/23/2028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11.32 %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6M SOFR+585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1,898</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1,868</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1,898</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Holdco Sands Intermediate, LLC (Revolver) </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11/23/2027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3,941</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12/17/2026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SOFR+625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279</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278</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279</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HV Watterson Holdings, LLC </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12/17/2026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2,219</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HV Watterson Holdings, LLC - (Revolver)</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12/17/2026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SOFR+625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1,200</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1,200</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1,198</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HV Watterson Holdings, LLC - (Revolver)</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12/17/2026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50</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12/10/2024</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11.28 %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SOFR+640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11,237</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11,167</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11,069</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HW Holdco, LLC (Revolver)</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12/10/2024</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11.82 %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SOFR+640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271</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271</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267</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HW Holdco, LLC (Revolver)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12/10/2024</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3,116</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IG Investments Holdings, LLC (Revolver) </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09/22/2027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477</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Imagine Acquisitionco, LLC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11/15/2027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2,341</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Imagine Acquisitionco, LLC (Revolver) </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11/15/2027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1,685</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Inception Fertility Ventures, LLC</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12/07/2023</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12.49 %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SOFR+715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20,300</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20,100</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20,300</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12/28/2028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12.24 %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SOFR+685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2,089</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2,089</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2,089</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 - Unfunded Term Loan</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12/28/2023</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1,135</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Infinity Home Services Holdco, Inc.(Revolver) </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12/28/2028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1,292</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Infolinks Media Buyco, LLC</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11/01/2026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SOFR+585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1,420</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1,416</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1,420</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Infolinks Media Buyco, LLC </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11/01/2023</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949</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Integrated Data Services - Term Loan</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08/01/2029</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11.87 %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SOFR+650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15,467</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15,161</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15,106</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Integrated Data Services - (Revolver)</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08/01/2029</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2,533</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Integrity Marketing Acquisition, LLC</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08/27/2026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11.41 %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SOFR+615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9,880</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9,839</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9,781</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Integrity Marketing Acquisition, LLC - Unfunded Term Loan</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08/31/2025</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2,500</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Integrity Marketing Acquisition, LLC (Revolver)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08/31/2025</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160</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Inventus Power, Inc.</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06/30/2025</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12.93 %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SOFR+761</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13,234</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12,998</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12,969</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Inventus Power, Inc. (Revolver)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06/30/2025</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1,729</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(35 )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ITI Holdings, Inc.</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03/03/2028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11.06 %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SOFR+615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8,838</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8,718</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8,661</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ITI Holdings, Inc. (Revolver)</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03/03/2028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10.70 %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SOFR+560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1,121</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1,121</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1,098</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ITI Holdings, Inc. (Revolver) </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03/03/2028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370</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K2 Pure Solutions NoCal, L.P.</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12/20/2023</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13.42 %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SOFR+810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9,409</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9,402</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9,409</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K2 Pure Solutions NoCal, L.P. (Revolver) </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12/20/2023</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1,938</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11/10/2027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SOFR+615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9,173</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8,957</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9,035</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Kinetic Purchaser, LLC (Revolver) </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11/10/2026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4,854</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02/18/2027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11.88 %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SOFR+700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2,807</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2,764</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2,779</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Lash OpCo, LLC (Revolver)</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08/16/2026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12.15 %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SOFR+700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1,977</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1,977</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1,957</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Lash OpCo, LLC (Revolver)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08/16/2026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935</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(9 )</w:t>
            </w:r>
          </w:p>
        </w:tc>
        <w:tc>
          <w:tcPr>
            <w:tcW w:w="0" w:type="dxa"/>
            <w:vAlign w:val="bottom"/>
          </w:tcPr>
          <w:p>
            <w:pPr>
              <w:spacing w:after="0"/>
              <w:rPr>
                <w:sz w:val="1"/>
                <w:szCs w:val="1"/>
                <w:color w:val="auto"/>
              </w:rPr>
            </w:pPr>
          </w:p>
        </w:tc>
      </w:tr>
      <w:tr>
        <w:trPr>
          <w:trHeight w:val="121"/>
        </w:trPr>
        <w:tc>
          <w:tcPr>
            <w:tcW w:w="2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Leisure, Amusement, Motion Pictures,</w:t>
            </w:r>
          </w:p>
        </w:tc>
        <w:tc>
          <w:tcPr>
            <w:tcW w:w="9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10/31/2024</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11.79 %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SOFR+640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51</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2020" w:type="dxa"/>
            <w:vAlign w:val="bottom"/>
            <w:shd w:val="clear" w:color="auto" w:fill="CCECFF"/>
          </w:tcPr>
          <w:p>
            <w:pPr>
              <w:spacing w:after="0"/>
              <w:rPr>
                <w:sz w:val="10"/>
                <w:szCs w:val="10"/>
                <w:color w:val="auto"/>
              </w:rPr>
            </w:pP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(PIK 5.50%)</w:t>
            </w: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Ledge Lounger, Inc.</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11/09/2026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11.79 %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SOFR+625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9,085</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8,964</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8,971</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Ledge Lounger, Inc. (Revolver)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11/09/2026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1,933</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02/03/2026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10.67 %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SOFR+535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2,198</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2,187</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2,176</w:t>
            </w:r>
          </w:p>
        </w:tc>
        <w:tc>
          <w:tcPr>
            <w:tcW w:w="0" w:type="dxa"/>
            <w:vAlign w:val="bottom"/>
          </w:tcPr>
          <w:p>
            <w:pPr>
              <w:spacing w:after="0"/>
              <w:rPr>
                <w:sz w:val="1"/>
                <w:szCs w:val="1"/>
                <w:color w:val="auto"/>
              </w:rPr>
            </w:pPr>
          </w:p>
        </w:tc>
      </w:tr>
      <w:tr>
        <w:trPr>
          <w:trHeight w:val="136"/>
        </w:trPr>
        <w:tc>
          <w:tcPr>
            <w:tcW w:w="2820" w:type="dxa"/>
            <w:vAlign w:val="bottom"/>
            <w:tcBorders>
              <w:bottom w:val="single" w:sz="8" w:color="CCECFF"/>
            </w:tcBorders>
            <w:shd w:val="clear" w:color="auto" w:fill="CCECFF"/>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Lightspeed Buyer Inc. (Revolver) </w:t>
            </w:r>
            <w:r>
              <w:rPr>
                <w:rFonts w:ascii="Times New Roman" w:cs="Times New Roman" w:eastAsia="Times New Roman" w:hAnsi="Times New Roman"/>
                <w:sz w:val="12"/>
                <w:szCs w:val="12"/>
                <w:color w:val="auto"/>
                <w:vertAlign w:val="superscript"/>
              </w:rPr>
              <w:t>(7)</w:t>
            </w:r>
          </w:p>
        </w:tc>
        <w:tc>
          <w:tcPr>
            <w:tcW w:w="1000" w:type="dxa"/>
            <w:vAlign w:val="bottom"/>
            <w:tcBorders>
              <w:bottom w:val="single" w:sz="8" w:color="CCECFF"/>
            </w:tcBorders>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02/03/2026</w:t>
            </w:r>
          </w:p>
        </w:tc>
        <w:tc>
          <w:tcPr>
            <w:tcW w:w="20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tcBorders>
              <w:bottom w:val="single" w:sz="8" w:color="CCECFF"/>
            </w:tcBorders>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Borders>
              <w:bottom w:val="single" w:sz="8" w:color="CCECFF"/>
            </w:tcBorders>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Borders>
              <w:bottom w:val="single" w:sz="8" w:color="CCECFF"/>
            </w:tcBorders>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1,166</w:t>
            </w:r>
          </w:p>
        </w:tc>
        <w:tc>
          <w:tcPr>
            <w:tcW w:w="26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07/31/2024</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11.79 %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SOFR+640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208</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205</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204</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Holdings, LLC - Unfunded Term Loan</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07/31/2024</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1,260</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LJ Avalon Holdings, LLC (Revolver)</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01/31/2030</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587</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LSF9 Atlantis Holdings, LLC</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03/31/2029</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1"/>
              </w:rPr>
              <w:t>Retail</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12.64 %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SOFR+725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5,625</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5,436</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5,381</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Loving Tan Intermediate II, Inc.</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05/31/2028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12.39 %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SOFR+700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4,988</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4,892</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4,913</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Loving Tan Intermediate II, Inc. (Revolver)</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05/31/2028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12.39 %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SOFR+700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347</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347</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342</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Loving Tan Intermediate II, Inc. (Revolver)</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05/31/2028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284</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05/14/2026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SOFR+565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1,835</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1,807</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1,817</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Mars Acquisition Holdings Corp. (Revolver)</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05/14/2026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1,209</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MBS Holdings, Inc. (Revolver)</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04/16/2027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SOFR+585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MBS Holdings, Inc. (Revolver) </w:t>
            </w:r>
            <w:r>
              <w:rPr>
                <w:rFonts w:ascii="Times New Roman" w:cs="Times New Roman" w:eastAsia="Times New Roman" w:hAnsi="Times New Roman"/>
                <w:sz w:val="12"/>
                <w:szCs w:val="12"/>
                <w:color w:val="auto"/>
                <w:vertAlign w:val="superscript"/>
              </w:rPr>
              <w:t>(7)</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04/16/2027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583</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MDI Buyer, Inc.</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07/25/2028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20,135</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19,835</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19,685</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MDI Buyer, Inc. (Revolver)</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07/25/2028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10.92 %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SOFR+600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1,039</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1,039</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1,016</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MDI Buyer, Inc. (Revolver)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07/25/2028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1,188</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12/10/2027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10.66 %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SOFR+550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1,937</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1,919</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1,888</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Meadowlark Acquirer, LLC Term Loan I</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12/10/2027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1,038</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Meadowlark Acquirer, LLC Term Loan II</w:t>
            </w: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12/10/2027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8,922</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(134 )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Meadowlark Acquirer, LLC (Revolver)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12/10/2027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1,685</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(43 )</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820" w:type="dxa"/>
            <w:vAlign w:val="bottom"/>
          </w:tcPr>
          <w:p>
            <w:pPr>
              <w:spacing w:after="0"/>
              <w:rPr>
                <w:sz w:val="10"/>
                <w:szCs w:val="10"/>
                <w:color w:val="auto"/>
              </w:rPr>
            </w:pPr>
          </w:p>
        </w:tc>
        <w:tc>
          <w:tcPr>
            <w:tcW w:w="1020" w:type="dxa"/>
            <w:vAlign w:val="bottom"/>
            <w:vMerge w:val="restart"/>
          </w:tcPr>
          <w:p>
            <w:pPr>
              <w:ind w:left="400"/>
              <w:spacing w:after="0"/>
              <w:rPr>
                <w:sz w:val="20"/>
                <w:szCs w:val="20"/>
                <w:color w:val="auto"/>
              </w:rPr>
            </w:pPr>
            <w:r>
              <w:rPr>
                <w:rFonts w:ascii="Times New Roman" w:cs="Times New Roman" w:eastAsia="Times New Roman" w:hAnsi="Times New Roman"/>
                <w:sz w:val="10"/>
                <w:szCs w:val="10"/>
                <w:b w:val="1"/>
                <w:bCs w:val="1"/>
                <w:color w:val="auto"/>
              </w:rPr>
              <w:t>Maturity /</w:t>
            </w:r>
          </w:p>
        </w:tc>
        <w:tc>
          <w:tcPr>
            <w:tcW w:w="1960" w:type="dxa"/>
            <w:vAlign w:val="bottom"/>
          </w:tcPr>
          <w:p>
            <w:pPr>
              <w:spacing w:after="0"/>
              <w:rPr>
                <w:sz w:val="10"/>
                <w:szCs w:val="10"/>
                <w:color w:val="auto"/>
              </w:rPr>
            </w:pPr>
          </w:p>
        </w:tc>
        <w:tc>
          <w:tcPr>
            <w:tcW w:w="1000" w:type="dxa"/>
            <w:vAlign w:val="bottom"/>
            <w:vMerge w:val="restart"/>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000" w:type="dxa"/>
            <w:vAlign w:val="bottom"/>
          </w:tcPr>
          <w:p>
            <w:pPr>
              <w:jc w:val="center"/>
              <w:ind w:right="192"/>
              <w:spacing w:after="0"/>
              <w:rPr>
                <w:sz w:val="20"/>
                <w:szCs w:val="20"/>
                <w:color w:val="auto"/>
              </w:rPr>
            </w:pPr>
            <w:r>
              <w:rPr>
                <w:rFonts w:ascii="Times New Roman" w:cs="Times New Roman" w:eastAsia="Times New Roman" w:hAnsi="Times New Roman"/>
                <w:sz w:val="10"/>
                <w:szCs w:val="10"/>
                <w:color w:val="auto"/>
                <w:w w:val="97"/>
              </w:rPr>
              <w:t>Basis Point</w:t>
            </w:r>
          </w:p>
        </w:tc>
        <w:tc>
          <w:tcPr>
            <w:tcW w:w="880" w:type="dxa"/>
            <w:vAlign w:val="bottom"/>
            <w:vMerge w:val="restart"/>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9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4"/>
              </w:rPr>
              <w:t>Spread Above</w:t>
            </w:r>
          </w:p>
        </w:tc>
        <w:tc>
          <w:tcPr>
            <w:tcW w:w="8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Industry</w:t>
            </w:r>
          </w:p>
        </w:tc>
        <w:tc>
          <w:tcPr>
            <w:tcW w:w="100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00" w:type="dxa"/>
            <w:vAlign w:val="bottom"/>
          </w:tcPr>
          <w:p>
            <w:pPr>
              <w:jc w:val="center"/>
              <w:ind w:right="172"/>
              <w:spacing w:after="0" w:line="122" w:lineRule="exact"/>
              <w:rPr>
                <w:sz w:val="20"/>
                <w:szCs w:val="20"/>
                <w:color w:val="auto"/>
              </w:rPr>
            </w:pPr>
            <w:r>
              <w:rPr>
                <w:rFonts w:ascii="Times New Roman" w:cs="Times New Roman" w:eastAsia="Times New Roman" w:hAnsi="Times New Roman"/>
                <w:sz w:val="10"/>
                <w:szCs w:val="10"/>
                <w:color w:val="auto"/>
                <w:w w:val="86"/>
              </w:rPr>
              <w:t xml:space="preserve">Index </w:t>
            </w:r>
            <w:r>
              <w:rPr>
                <w:rFonts w:ascii="Times New Roman" w:cs="Times New Roman" w:eastAsia="Times New Roman" w:hAnsi="Times New Roman"/>
                <w:sz w:val="12"/>
                <w:szCs w:val="12"/>
                <w:color w:val="auto"/>
                <w:w w:val="86"/>
                <w:vertAlign w:val="superscript"/>
              </w:rPr>
              <w:t>(4)</w:t>
            </w: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60" w:type="dxa"/>
            <w:vAlign w:val="bottom"/>
          </w:tcPr>
          <w:p>
            <w:pPr>
              <w:spacing w:after="0"/>
              <w:rPr>
                <w:sz w:val="10"/>
                <w:szCs w:val="10"/>
                <w:color w:val="auto"/>
              </w:rPr>
            </w:pPr>
          </w:p>
        </w:tc>
        <w:tc>
          <w:tcPr>
            <w:tcW w:w="68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0"/>
                <w:szCs w:val="10"/>
                <w:color w:val="auto"/>
              </w:rPr>
            </w:pPr>
          </w:p>
        </w:tc>
        <w:tc>
          <w:tcPr>
            <w:tcW w:w="760" w:type="dxa"/>
            <w:vAlign w:val="bottom"/>
          </w:tcPr>
          <w:p>
            <w:pPr>
              <w:jc w:val="right"/>
              <w:ind w:right="15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(3)</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09/28/2027</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11.05 %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SOFR+565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484</w:t>
            </w:r>
          </w:p>
        </w:tc>
        <w:tc>
          <w:tcPr>
            <w:tcW w:w="2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484</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474</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 - Unfunded Term Loan A</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06/16/2023</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769</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 - Unfunded Term Loan B</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12/16/2024</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2,510</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(55 )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 (Revolver)</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09/28/2027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11.04 %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SOFR+565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752</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752</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736</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Municipal Emergency Services, Inc.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09/28/2027</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1,128</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NBH Group LLC (Revolver) </w:t>
            </w:r>
            <w:r>
              <w:rPr>
                <w:rFonts w:ascii="Times New Roman" w:cs="Times New Roman" w:eastAsia="Times New Roman" w:hAnsi="Times New Roman"/>
                <w:sz w:val="12"/>
                <w:szCs w:val="12"/>
                <w:color w:val="auto"/>
                <w:vertAlign w:val="superscript"/>
              </w:rPr>
              <w:t>(7)</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08/19/2026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1,163</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Neptune Flood Incorporated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05/09/2029</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541</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NORA Acquisition, LLC</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08/31/2029</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SOFR+635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20,500</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20,092</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20,090</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NORA Acquisition, LLC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08/31/2029</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2,707</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(54 )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ORL Acquisition, Inc.</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09/03/2027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12.84 %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SOFR+725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4,409</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4,347</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4,012</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ORL Acquisition, Inc.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09/03/2027</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597</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(54 )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Ox Two, LLC</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05/18/2026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12.90 %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SOFR+725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13,578</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13,445</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13,340</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Ox Two, LLC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05/18/2026</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2,419</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Pequod Merger Sub, Inc. - Unfunded Term Loan</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12/02/2026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2,847</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Pequod Merger Sub, Inc.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12/02/2026</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757</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PL Acquisitionco, LLC (Revolver) </w:t>
            </w:r>
            <w:r>
              <w:rPr>
                <w:rFonts w:ascii="Times New Roman" w:cs="Times New Roman" w:eastAsia="Times New Roman" w:hAnsi="Times New Roman"/>
                <w:sz w:val="12"/>
                <w:szCs w:val="12"/>
                <w:color w:val="auto"/>
                <w:vertAlign w:val="superscript"/>
              </w:rPr>
              <w:t>(7)</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11/09/2027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1"/>
              </w:rPr>
              <w:t>Retail</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3,236</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(324 )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Pragmatic Institute, LLC</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07/06/2028</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SOFR+575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34,987</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34,547</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33,412</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Pragmatic Institute, LLC Unfunded Term Loan</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07/06/2028</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7,193</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(252 )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Pragmatic Institute, LL (Revolver)</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07/06/2028</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SOFR+575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4,795</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4,795</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4,579</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11/19/2026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SOFR+635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1,484</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1,474</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1,461</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Quantic Electronics, LLC (Revolver)</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11/19/2026</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SOFR+635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528</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528</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521</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Questex, LLC</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09/09/2024</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9.81 %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SOFR+425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20,193</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20,115</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20,193</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Questex, LLC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09/09/2024</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3,590</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Radius Aerospace, Inc. (Revolver)</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03/31/2025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11.29 %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SOFR+575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668</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668</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661</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Radius Aerospace, Inc.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03/31/2025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1,559</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Rancho Health MSO, Inc. </w:t>
            </w:r>
            <w:r>
              <w:rPr>
                <w:rFonts w:ascii="Times New Roman" w:cs="Times New Roman" w:eastAsia="Times New Roman" w:hAnsi="Times New Roman"/>
                <w:sz w:val="12"/>
                <w:szCs w:val="12"/>
                <w:color w:val="auto"/>
                <w:vertAlign w:val="superscript"/>
              </w:rPr>
              <w:t>(7)</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12/18/2025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11.22 %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SOFR+575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79</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Rancho Health MSO, Inc. - Unfunded Term Loan</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12/18/2025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494</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8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000" w:type="dxa"/>
            <w:vAlign w:val="bottom"/>
          </w:tcPr>
          <w:p>
            <w:pPr>
              <w:jc w:val="right"/>
              <w:ind w:right="172"/>
              <w:spacing w:after="0" w:line="109" w:lineRule="exact"/>
              <w:rPr>
                <w:sz w:val="20"/>
                <w:szCs w:val="20"/>
                <w:color w:val="auto"/>
              </w:rPr>
            </w:pPr>
            <w:r>
              <w:rPr>
                <w:rFonts w:ascii="Times New Roman" w:cs="Times New Roman" w:eastAsia="Times New Roman" w:hAnsi="Times New Roman"/>
                <w:sz w:val="10"/>
                <w:szCs w:val="10"/>
                <w:color w:val="auto"/>
              </w:rPr>
              <w:t>11.24</w:t>
            </w:r>
          </w:p>
        </w:tc>
        <w:tc>
          <w:tcPr>
            <w:tcW w:w="1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Rancho Health MSO, Inc. (Revolver)</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12/18/2025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SOFR+575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210</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210</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210</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Rancho Health MSO, Inc.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12/18/2025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315</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02/28/2028</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SOFR+615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5,863</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5,791</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5,628</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Recteq, LLC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01/29/2026</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1,127</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(34 )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Research Now Group, Inc. and Dynata, LLC</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12/20/2024</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11.13 %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SOFR+576</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124</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Riverpoint Medical, LLC (Revolver)</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06/20/2025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10.42 %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SOFR+510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45</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Riverpoint Medical, LLC (Revolver) </w:t>
            </w:r>
            <w:r>
              <w:rPr>
                <w:rFonts w:ascii="Times New Roman" w:cs="Times New Roman" w:eastAsia="Times New Roman" w:hAnsi="Times New Roman"/>
                <w:sz w:val="12"/>
                <w:szCs w:val="12"/>
                <w:color w:val="auto"/>
                <w:vertAlign w:val="superscript"/>
              </w:rPr>
              <w:t>(7)</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06/20/2025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318</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Riverside Assessments, LLC</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03/10/2025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SOFR+575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11,699</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11,588</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11,582</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Rural Sourcing Holdings, Inc. - Unfunded Term Loan</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06/15/2029</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1,146</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Rural Sourcing Holdings, Inc.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06/15/2029</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861</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Sales Benchmark Index LLC (Revolver) </w:t>
            </w:r>
            <w:r>
              <w:rPr>
                <w:rFonts w:ascii="Times New Roman" w:cs="Times New Roman" w:eastAsia="Times New Roman" w:hAnsi="Times New Roman"/>
                <w:sz w:val="12"/>
                <w:szCs w:val="12"/>
                <w:color w:val="auto"/>
                <w:vertAlign w:val="superscript"/>
              </w:rPr>
              <w:t>(7)</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01/03/2025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732</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Sargent &amp; Greenleaf Inc. (Revolver)</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12/20/2024</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12.92 %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SOFR+650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158</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158</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157</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Sargent &amp; Greenleaf Inc. (Revolver) </w:t>
            </w:r>
            <w:r>
              <w:rPr>
                <w:rFonts w:ascii="Times New Roman" w:cs="Times New Roman" w:eastAsia="Times New Roman" w:hAnsi="Times New Roman"/>
                <w:sz w:val="12"/>
                <w:szCs w:val="12"/>
                <w:color w:val="auto"/>
                <w:vertAlign w:val="superscript"/>
              </w:rPr>
              <w:t>(7)</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12/20/2024</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453</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Schlesinger Global, Inc.</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07/14/2025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13.15 %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SOFR+775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4,647</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4,611</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4,496</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Schlesinger Global, Inc. (Revolver)</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07/14/2025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12.52 %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SOFR+775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196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(PIK 0.5%)</w:t>
            </w: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Schlesinger Global, Inc. (Revolver)</w:t>
            </w:r>
            <w:r>
              <w:rPr>
                <w:rFonts w:ascii="Times New Roman" w:cs="Times New Roman" w:eastAsia="Times New Roman" w:hAnsi="Times New Roman"/>
                <w:sz w:val="12"/>
                <w:szCs w:val="12"/>
                <w:color w:val="auto"/>
                <w:vertAlign w:val="superscript"/>
              </w:rPr>
              <w:t>(7)</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07/14/2025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06/13/2029</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SOFR+605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4,752</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4,691</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4,609</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Seaway Buyer, LLC (Revolver)</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06/13/2029</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SOFR+605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729</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729</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708</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Seaway Buyer, LLC (Revolver)</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06/13/2029</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2,397</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(72 )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Shiftkey, LLC</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06/21/2027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11.40 %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SOFR+601</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17,775</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17,636</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17,331</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12/18/2025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14.04 %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SOFR+865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29,681</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29,190</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29,236</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Sigma Defense Systems, LLC (Revolver)</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12/18/2025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14.04 %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SOFR+865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2,083</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2,083</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2,052</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Sigma Defense Systems, LLC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12/18/2025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893</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Signature Systems Holding Company (Revolver) </w:t>
            </w:r>
            <w:r>
              <w:rPr>
                <w:rFonts w:ascii="Times New Roman" w:cs="Times New Roman" w:eastAsia="Times New Roman" w:hAnsi="Times New Roman"/>
                <w:sz w:val="12"/>
                <w:szCs w:val="12"/>
                <w:color w:val="auto"/>
                <w:vertAlign w:val="superscript"/>
              </w:rPr>
              <w:t>(7)</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05/03/2024</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2,016</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Solutionreach, Inc.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07/17/2025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Communications</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1,665</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03/01/2028</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11.04 %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SOFR+565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99</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Spendmend Holdings LLC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03/01/2028</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2,684</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(39 )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Spendmend Holdings LLC - Funded Revolver</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03/01/2028</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11.20 %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SOFR+565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561</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561</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548</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Spendmend Holdings LLC -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03/01/2028</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841</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(18 )</w:t>
            </w:r>
          </w:p>
        </w:tc>
        <w:tc>
          <w:tcPr>
            <w:tcW w:w="0" w:type="dxa"/>
            <w:vAlign w:val="bottom"/>
          </w:tcPr>
          <w:p>
            <w:pPr>
              <w:spacing w:after="0"/>
              <w:rPr>
                <w:sz w:val="1"/>
                <w:szCs w:val="1"/>
                <w:color w:val="auto"/>
              </w:rPr>
            </w:pPr>
          </w:p>
        </w:tc>
      </w:tr>
      <w:tr>
        <w:trPr>
          <w:trHeight w:val="121"/>
        </w:trPr>
        <w:tc>
          <w:tcPr>
            <w:tcW w:w="2820" w:type="dxa"/>
            <w:vAlign w:val="bottom"/>
          </w:tcPr>
          <w:p>
            <w:pPr>
              <w:ind w:left="20"/>
              <w:spacing w:after="0" w:line="121" w:lineRule="exact"/>
              <w:rPr>
                <w:sz w:val="20"/>
                <w:szCs w:val="20"/>
                <w:color w:val="auto"/>
              </w:rPr>
            </w:pPr>
            <w:r>
              <w:rPr>
                <w:rFonts w:ascii="Times New Roman" w:cs="Times New Roman" w:eastAsia="Times New Roman" w:hAnsi="Times New Roman"/>
                <w:sz w:val="10"/>
                <w:szCs w:val="10"/>
                <w:color w:val="auto"/>
              </w:rPr>
              <w:t xml:space="preserve">System Planning and Analysis, Inc. - (Revolver) </w:t>
            </w:r>
            <w:r>
              <w:rPr>
                <w:rFonts w:ascii="Times New Roman" w:cs="Times New Roman" w:eastAsia="Times New Roman" w:hAnsi="Times New Roman"/>
                <w:sz w:val="12"/>
                <w:szCs w:val="12"/>
                <w:color w:val="auto"/>
                <w:vertAlign w:val="superscript"/>
              </w:rPr>
              <w:t>(7)</w:t>
            </w:r>
          </w:p>
        </w:tc>
        <w:tc>
          <w:tcPr>
            <w:tcW w:w="1020" w:type="dxa"/>
            <w:vAlign w:val="bottom"/>
          </w:tcPr>
          <w:p>
            <w:pPr>
              <w:spacing w:after="0"/>
              <w:rPr>
                <w:sz w:val="10"/>
                <w:szCs w:val="10"/>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(f/k/a Management Consulting &amp; Research, LLC)</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08/16/2027</w:t>
            </w:r>
          </w:p>
        </w:tc>
        <w:tc>
          <w:tcPr>
            <w:tcW w:w="1960" w:type="dxa"/>
            <w:vAlign w:val="bottom"/>
            <w:vMerge w:val="continue"/>
          </w:tcPr>
          <w:p>
            <w:pPr>
              <w:spacing w:after="0"/>
              <w:rPr>
                <w:sz w:val="10"/>
                <w:szCs w:val="10"/>
                <w:color w:val="auto"/>
              </w:rPr>
            </w:pP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2,925</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Aegis Technologies Group, LLC</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10/31/2025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11.66 %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SOFR+665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1,121</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1,097</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1,104</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07/27/2026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12.79 %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SOFR+740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2,271</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2,239</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2,262</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The Bluebird Group LLC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07/27/2026</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734</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08/30/2027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11.93 %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SOFR+635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186</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182</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185</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Vertex Companies, LLC (Revolver)</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08/30/2027</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SOFR+635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248</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248</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246</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The Vertex Companies, LLC (Revolver) </w:t>
            </w:r>
            <w:r>
              <w:rPr>
                <w:rFonts w:ascii="Times New Roman" w:cs="Times New Roman" w:eastAsia="Times New Roman" w:hAnsi="Times New Roman"/>
                <w:sz w:val="12"/>
                <w:szCs w:val="12"/>
                <w:color w:val="auto"/>
                <w:vertAlign w:val="superscript"/>
              </w:rPr>
              <w:t>(7)</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08/30/2027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492</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TWS Acquisition Corporation (Revolver) </w:t>
            </w:r>
            <w:r>
              <w:rPr>
                <w:rFonts w:ascii="Times New Roman" w:cs="Times New Roman" w:eastAsia="Times New Roman" w:hAnsi="Times New Roman"/>
                <w:sz w:val="12"/>
                <w:szCs w:val="12"/>
                <w:color w:val="auto"/>
                <w:vertAlign w:val="superscript"/>
              </w:rPr>
              <w:t>(7)</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06/16/2025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1,644</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Tyto Athene, LLC (Revolver) </w:t>
            </w:r>
            <w:r>
              <w:rPr>
                <w:rFonts w:ascii="Times New Roman" w:cs="Times New Roman" w:eastAsia="Times New Roman" w:hAnsi="Times New Roman"/>
                <w:sz w:val="12"/>
                <w:szCs w:val="12"/>
                <w:color w:val="auto"/>
                <w:vertAlign w:val="superscript"/>
              </w:rPr>
              <w:t>(7)</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04/01/2026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364</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 - Unfunded Term Loan</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02/01/2024</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7,222</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(150 )</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02/27/2026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10.57 %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SOFR+515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3,805</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3,762</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3,767</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Wildcat Buyerco, Inc. (Revolver)</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02/27/2026</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10.17 %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SOFR+585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88</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Wildcat Buyerco, Inc. (Revolver) </w:t>
            </w:r>
            <w:r>
              <w:rPr>
                <w:rFonts w:ascii="Times New Roman" w:cs="Times New Roman" w:eastAsia="Times New Roman" w:hAnsi="Times New Roman"/>
                <w:sz w:val="12"/>
                <w:szCs w:val="12"/>
                <w:color w:val="auto"/>
                <w:vertAlign w:val="superscript"/>
              </w:rPr>
              <w:t>(7)</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02/27/2026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486</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102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03/01/2024</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12.67 %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SOFR+735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2,589</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2,583</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2,504</w:t>
            </w: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10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472,975</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468,007</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U.S. Government Securities—19.9% of Net Assets</w:t>
            </w:r>
          </w:p>
        </w:tc>
        <w:tc>
          <w:tcPr>
            <w:tcW w:w="1020" w:type="dxa"/>
            <w:vAlign w:val="bottom"/>
            <w:shd w:val="clear" w:color="auto" w:fill="CCECFF"/>
          </w:tcPr>
          <w:p>
            <w:pPr>
              <w:spacing w:after="0"/>
              <w:rPr>
                <w:sz w:val="10"/>
                <w:szCs w:val="10"/>
                <w:color w:val="auto"/>
              </w:rPr>
            </w:pPr>
          </w:p>
        </w:tc>
        <w:tc>
          <w:tcPr>
            <w:tcW w:w="196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U.S. Treasury Bill </w:t>
            </w:r>
            <w:r>
              <w:rPr>
                <w:rFonts w:ascii="Times New Roman" w:cs="Times New Roman" w:eastAsia="Times New Roman" w:hAnsi="Times New Roman"/>
                <w:sz w:val="12"/>
                <w:szCs w:val="12"/>
                <w:color w:val="auto"/>
                <w:vertAlign w:val="superscript"/>
              </w:rPr>
              <w:t>(5)</w:t>
            </w:r>
          </w:p>
        </w:tc>
        <w:tc>
          <w:tcPr>
            <w:tcW w:w="102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10/19/2023</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Short-Term U.S. Government Securities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5.31 %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100,000</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99,768</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99,751</w:t>
            </w:r>
          </w:p>
        </w:tc>
        <w:tc>
          <w:tcPr>
            <w:tcW w:w="0" w:type="dxa"/>
            <w:vAlign w:val="bottom"/>
          </w:tcPr>
          <w:p>
            <w:pPr>
              <w:spacing w:after="0"/>
              <w:rPr>
                <w:sz w:val="1"/>
                <w:szCs w:val="1"/>
                <w:color w:val="auto"/>
              </w:rPr>
            </w:pPr>
          </w:p>
        </w:tc>
      </w:tr>
      <w:tr>
        <w:trPr>
          <w:trHeight w:val="120"/>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U.S. Government Securities</w:t>
            </w:r>
          </w:p>
        </w:tc>
        <w:tc>
          <w:tcPr>
            <w:tcW w:w="1020" w:type="dxa"/>
            <w:vAlign w:val="bottom"/>
            <w:shd w:val="clear" w:color="auto" w:fill="CCECFF"/>
          </w:tcPr>
          <w:p>
            <w:pPr>
              <w:spacing w:after="0"/>
              <w:rPr>
                <w:sz w:val="10"/>
                <w:szCs w:val="10"/>
                <w:color w:val="auto"/>
              </w:rPr>
            </w:pPr>
          </w:p>
        </w:tc>
        <w:tc>
          <w:tcPr>
            <w:tcW w:w="196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99,768</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99,751</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80" w:name="page81"/>
    <w:bookmarkEnd w:id="80"/>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900" w:type="dxa"/>
            <w:vAlign w:val="bottom"/>
          </w:tcPr>
          <w:p>
            <w:pPr>
              <w:spacing w:after="0"/>
              <w:rPr>
                <w:sz w:val="10"/>
                <w:szCs w:val="10"/>
                <w:color w:val="auto"/>
              </w:rPr>
            </w:pPr>
          </w:p>
        </w:tc>
        <w:tc>
          <w:tcPr>
            <w:tcW w:w="920" w:type="dxa"/>
            <w:vAlign w:val="bottom"/>
            <w:vMerge w:val="restart"/>
          </w:tcPr>
          <w:p>
            <w:pPr>
              <w:ind w:left="240"/>
              <w:spacing w:after="0"/>
              <w:rPr>
                <w:sz w:val="20"/>
                <w:szCs w:val="20"/>
                <w:color w:val="auto"/>
              </w:rPr>
            </w:pPr>
            <w:r>
              <w:rPr>
                <w:rFonts w:ascii="Times New Roman" w:cs="Times New Roman" w:eastAsia="Times New Roman" w:hAnsi="Times New Roman"/>
                <w:sz w:val="10"/>
                <w:szCs w:val="10"/>
                <w:b w:val="1"/>
                <w:bCs w:val="1"/>
                <w:color w:val="auto"/>
              </w:rPr>
              <w:t>Maturity /</w:t>
            </w:r>
          </w:p>
        </w:tc>
        <w:tc>
          <w:tcPr>
            <w:tcW w:w="2020" w:type="dxa"/>
            <w:vAlign w:val="bottom"/>
          </w:tcPr>
          <w:p>
            <w:pPr>
              <w:spacing w:after="0"/>
              <w:rPr>
                <w:sz w:val="10"/>
                <w:szCs w:val="10"/>
                <w:color w:val="auto"/>
              </w:rPr>
            </w:pPr>
          </w:p>
        </w:tc>
        <w:tc>
          <w:tcPr>
            <w:tcW w:w="960" w:type="dxa"/>
            <w:vAlign w:val="bottom"/>
            <w:vMerge w:val="restart"/>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000" w:type="dxa"/>
            <w:vAlign w:val="bottom"/>
          </w:tcPr>
          <w:p>
            <w:pPr>
              <w:jc w:val="center"/>
              <w:ind w:right="192"/>
              <w:spacing w:after="0"/>
              <w:rPr>
                <w:sz w:val="20"/>
                <w:szCs w:val="20"/>
                <w:color w:val="auto"/>
              </w:rPr>
            </w:pPr>
            <w:r>
              <w:rPr>
                <w:rFonts w:ascii="Times New Roman" w:cs="Times New Roman" w:eastAsia="Times New Roman" w:hAnsi="Times New Roman"/>
                <w:sz w:val="10"/>
                <w:szCs w:val="10"/>
                <w:color w:val="auto"/>
                <w:w w:val="97"/>
              </w:rPr>
              <w:t>Basis Point</w:t>
            </w:r>
          </w:p>
        </w:tc>
        <w:tc>
          <w:tcPr>
            <w:tcW w:w="880" w:type="dxa"/>
            <w:vAlign w:val="bottom"/>
            <w:vMerge w:val="restart"/>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20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000" w:type="dxa"/>
            <w:vAlign w:val="bottom"/>
          </w:tcPr>
          <w:p>
            <w:pPr>
              <w:jc w:val="center"/>
              <w:ind w:right="172"/>
              <w:spacing w:after="0"/>
              <w:rPr>
                <w:sz w:val="20"/>
                <w:szCs w:val="20"/>
                <w:color w:val="auto"/>
              </w:rPr>
            </w:pPr>
            <w:r>
              <w:rPr>
                <w:rFonts w:ascii="Times New Roman" w:cs="Times New Roman" w:eastAsia="Times New Roman" w:hAnsi="Times New Roman"/>
                <w:sz w:val="10"/>
                <w:szCs w:val="10"/>
                <w:color w:val="auto"/>
                <w:w w:val="94"/>
              </w:rPr>
              <w:t>Spread Above</w:t>
            </w:r>
          </w:p>
        </w:tc>
        <w:tc>
          <w:tcPr>
            <w:tcW w:w="8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92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Industry</w:t>
            </w: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00" w:type="dxa"/>
            <w:vAlign w:val="bottom"/>
          </w:tcPr>
          <w:p>
            <w:pPr>
              <w:jc w:val="center"/>
              <w:ind w:right="172"/>
              <w:spacing w:after="0" w:line="122" w:lineRule="exact"/>
              <w:rPr>
                <w:sz w:val="20"/>
                <w:szCs w:val="20"/>
                <w:color w:val="auto"/>
              </w:rPr>
            </w:pPr>
            <w:r>
              <w:rPr>
                <w:rFonts w:ascii="Times New Roman" w:cs="Times New Roman" w:eastAsia="Times New Roman" w:hAnsi="Times New Roman"/>
                <w:sz w:val="10"/>
                <w:szCs w:val="10"/>
                <w:color w:val="auto"/>
                <w:w w:val="86"/>
              </w:rPr>
              <w:t xml:space="preserve">Index </w:t>
            </w:r>
            <w:r>
              <w:rPr>
                <w:rFonts w:ascii="Times New Roman" w:cs="Times New Roman" w:eastAsia="Times New Roman" w:hAnsi="Times New Roman"/>
                <w:sz w:val="12"/>
                <w:szCs w:val="12"/>
                <w:color w:val="auto"/>
                <w:w w:val="86"/>
                <w:vertAlign w:val="superscript"/>
              </w:rPr>
              <w:t>(4)</w:t>
            </w: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60" w:type="dxa"/>
            <w:vAlign w:val="bottom"/>
          </w:tcPr>
          <w:p>
            <w:pPr>
              <w:spacing w:after="0"/>
              <w:rPr>
                <w:sz w:val="10"/>
                <w:szCs w:val="10"/>
                <w:color w:val="auto"/>
              </w:rPr>
            </w:pPr>
          </w:p>
        </w:tc>
        <w:tc>
          <w:tcPr>
            <w:tcW w:w="68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0"/>
                <w:szCs w:val="10"/>
                <w:color w:val="auto"/>
              </w:rPr>
            </w:pPr>
          </w:p>
        </w:tc>
        <w:tc>
          <w:tcPr>
            <w:tcW w:w="760" w:type="dxa"/>
            <w:vAlign w:val="bottom"/>
          </w:tcPr>
          <w:p>
            <w:pPr>
              <w:jc w:val="right"/>
              <w:ind w:right="15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(3)</w:t>
            </w:r>
          </w:p>
        </w:tc>
        <w:tc>
          <w:tcPr>
            <w:tcW w:w="0" w:type="dxa"/>
            <w:vAlign w:val="bottom"/>
          </w:tcPr>
          <w:p>
            <w:pPr>
              <w:spacing w:after="0"/>
              <w:rPr>
                <w:sz w:val="1"/>
                <w:szCs w:val="1"/>
                <w:color w:val="auto"/>
              </w:rPr>
            </w:pPr>
          </w:p>
        </w:tc>
      </w:tr>
      <w:tr>
        <w:trPr>
          <w:trHeight w:val="120"/>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Second Lien Secured Debt—16.0% of Net Assets</w:t>
            </w:r>
          </w:p>
        </w:tc>
        <w:tc>
          <w:tcPr>
            <w:tcW w:w="920" w:type="dxa"/>
            <w:vAlign w:val="bottom"/>
            <w:shd w:val="clear" w:color="auto" w:fill="CCECFF"/>
          </w:tcPr>
          <w:p>
            <w:pPr>
              <w:spacing w:after="0"/>
              <w:rPr>
                <w:sz w:val="10"/>
                <w:szCs w:val="10"/>
                <w:color w:val="auto"/>
              </w:rPr>
            </w:pPr>
          </w:p>
        </w:tc>
        <w:tc>
          <w:tcPr>
            <w:tcW w:w="20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Ascensus Holdings, Inc.</w:t>
            </w:r>
          </w:p>
        </w:tc>
        <w:tc>
          <w:tcPr>
            <w:tcW w:w="92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08/02/2028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12.03 %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SOFR+676</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3,000</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2,717</w:t>
            </w: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2,837</w:t>
            </w:r>
          </w:p>
        </w:tc>
        <w:tc>
          <w:tcPr>
            <w:tcW w:w="0" w:type="dxa"/>
            <w:vAlign w:val="bottom"/>
          </w:tcPr>
          <w:p>
            <w:pPr>
              <w:spacing w:after="0"/>
              <w:rPr>
                <w:sz w:val="1"/>
                <w:szCs w:val="1"/>
                <w:color w:val="auto"/>
              </w:rPr>
            </w:pPr>
          </w:p>
        </w:tc>
      </w:tr>
      <w:tr>
        <w:trPr>
          <w:trHeight w:val="120"/>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Atlas Purchaser, Inc</w:t>
            </w:r>
          </w:p>
        </w:tc>
        <w:tc>
          <w:tcPr>
            <w:tcW w:w="9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0"/>
                <w:szCs w:val="10"/>
                <w:color w:val="auto"/>
              </w:rPr>
              <w:t>05/07/2029</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14.66 %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SOFR+900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17,000</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16,600</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13,821</w:t>
            </w:r>
          </w:p>
        </w:tc>
        <w:tc>
          <w:tcPr>
            <w:tcW w:w="0" w:type="dxa"/>
            <w:vAlign w:val="bottom"/>
          </w:tcPr>
          <w:p>
            <w:pPr>
              <w:spacing w:after="0"/>
              <w:rPr>
                <w:sz w:val="1"/>
                <w:szCs w:val="1"/>
                <w:color w:val="auto"/>
              </w:rPr>
            </w:pPr>
          </w:p>
        </w:tc>
      </w:tr>
      <w:tr>
        <w:trPr>
          <w:trHeight w:val="12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Best Practice Associates LLC</w:t>
            </w:r>
          </w:p>
        </w:tc>
        <w:tc>
          <w:tcPr>
            <w:tcW w:w="92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06/29/2027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14.54 %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SOFR+915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17,825</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17,559</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17,469</w:t>
            </w:r>
          </w:p>
        </w:tc>
        <w:tc>
          <w:tcPr>
            <w:tcW w:w="0" w:type="dxa"/>
            <w:vAlign w:val="bottom"/>
          </w:tcPr>
          <w:p>
            <w:pPr>
              <w:spacing w:after="0"/>
              <w:rPr>
                <w:sz w:val="1"/>
                <w:szCs w:val="1"/>
                <w:color w:val="auto"/>
              </w:rPr>
            </w:pPr>
          </w:p>
        </w:tc>
      </w:tr>
      <w:tr>
        <w:trPr>
          <w:trHeight w:val="120"/>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9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0"/>
                <w:szCs w:val="10"/>
                <w:color w:val="auto"/>
              </w:rPr>
              <w:t>07/28/2030</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14.42 %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SOFR+910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8,000</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7,680</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7,920</w:t>
            </w:r>
          </w:p>
        </w:tc>
        <w:tc>
          <w:tcPr>
            <w:tcW w:w="0" w:type="dxa"/>
            <w:vAlign w:val="bottom"/>
          </w:tcPr>
          <w:p>
            <w:pPr>
              <w:spacing w:after="0"/>
              <w:rPr>
                <w:sz w:val="1"/>
                <w:szCs w:val="1"/>
                <w:color w:val="auto"/>
              </w:rPr>
            </w:pPr>
          </w:p>
        </w:tc>
      </w:tr>
      <w:tr>
        <w:trPr>
          <w:trHeight w:val="12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ENC Parent Corporation</w:t>
            </w:r>
          </w:p>
        </w:tc>
        <w:tc>
          <w:tcPr>
            <w:tcW w:w="92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08/19/2029</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13.15 %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SOFR+776</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7,500</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7,440</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6,675</w:t>
            </w:r>
          </w:p>
        </w:tc>
        <w:tc>
          <w:tcPr>
            <w:tcW w:w="0" w:type="dxa"/>
            <w:vAlign w:val="bottom"/>
          </w:tcPr>
          <w:p>
            <w:pPr>
              <w:spacing w:after="0"/>
              <w:rPr>
                <w:sz w:val="1"/>
                <w:szCs w:val="1"/>
                <w:color w:val="auto"/>
              </w:rPr>
            </w:pPr>
          </w:p>
        </w:tc>
      </w:tr>
      <w:tr>
        <w:trPr>
          <w:trHeight w:val="120"/>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Halo Buyer, Inc.</w:t>
            </w:r>
          </w:p>
        </w:tc>
        <w:tc>
          <w:tcPr>
            <w:tcW w:w="9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0"/>
                <w:szCs w:val="10"/>
                <w:color w:val="auto"/>
              </w:rPr>
              <w:t>07/06/2026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13.67 %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SOFR+835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32,500</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32,232</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31,525</w:t>
            </w:r>
          </w:p>
        </w:tc>
        <w:tc>
          <w:tcPr>
            <w:tcW w:w="0" w:type="dxa"/>
            <w:vAlign w:val="bottom"/>
          </w:tcPr>
          <w:p>
            <w:pPr>
              <w:spacing w:after="0"/>
              <w:rPr>
                <w:sz w:val="1"/>
                <w:szCs w:val="1"/>
                <w:color w:val="auto"/>
              </w:rPr>
            </w:pPr>
          </w:p>
        </w:tc>
      </w:tr>
      <w:tr>
        <w:trPr>
          <w:trHeight w:val="12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QuantiTech LLC</w:t>
            </w:r>
          </w:p>
        </w:tc>
        <w:tc>
          <w:tcPr>
            <w:tcW w:w="92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02/04/2027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SOFR+635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150</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148</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149</w:t>
            </w:r>
          </w:p>
        </w:tc>
        <w:tc>
          <w:tcPr>
            <w:tcW w:w="0" w:type="dxa"/>
            <w:vAlign w:val="bottom"/>
          </w:tcPr>
          <w:p>
            <w:pPr>
              <w:spacing w:after="0"/>
              <w:rPr>
                <w:sz w:val="1"/>
                <w:szCs w:val="1"/>
                <w:color w:val="auto"/>
              </w:rPr>
            </w:pPr>
          </w:p>
        </w:tc>
      </w:tr>
      <w:tr>
        <w:trPr>
          <w:trHeight w:val="120"/>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Second Lien Secured Debt</w:t>
            </w:r>
          </w:p>
        </w:tc>
        <w:tc>
          <w:tcPr>
            <w:tcW w:w="920" w:type="dxa"/>
            <w:vAlign w:val="bottom"/>
            <w:shd w:val="clear" w:color="auto" w:fill="CCECFF"/>
          </w:tcPr>
          <w:p>
            <w:pPr>
              <w:spacing w:after="0"/>
              <w:rPr>
                <w:sz w:val="10"/>
                <w:szCs w:val="10"/>
                <w:color w:val="auto"/>
              </w:rPr>
            </w:pPr>
          </w:p>
        </w:tc>
        <w:tc>
          <w:tcPr>
            <w:tcW w:w="20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84,376</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80,396</w:t>
            </w:r>
          </w:p>
        </w:tc>
        <w:tc>
          <w:tcPr>
            <w:tcW w:w="0" w:type="dxa"/>
            <w:vAlign w:val="bottom"/>
          </w:tcPr>
          <w:p>
            <w:pPr>
              <w:spacing w:after="0"/>
              <w:rPr>
                <w:sz w:val="1"/>
                <w:szCs w:val="1"/>
                <w:color w:val="auto"/>
              </w:rPr>
            </w:pPr>
          </w:p>
        </w:tc>
      </w:tr>
      <w:tr>
        <w:trPr>
          <w:trHeight w:val="12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Subordinated Debt/Corporate Notes—10.7% of Net Assets</w:t>
            </w:r>
          </w:p>
        </w:tc>
        <w:tc>
          <w:tcPr>
            <w:tcW w:w="9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Express Wash Acquisition Company, LLC</w:t>
            </w:r>
          </w:p>
        </w:tc>
        <w:tc>
          <w:tcPr>
            <w:tcW w:w="9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0"/>
                <w:szCs w:val="10"/>
                <w:color w:val="auto"/>
              </w:rPr>
              <w:t>01/15/2029</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15.15 %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SOFR+976</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22,219</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21,568</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21,597</w:t>
            </w:r>
          </w:p>
        </w:tc>
        <w:tc>
          <w:tcPr>
            <w:tcW w:w="0" w:type="dxa"/>
            <w:vAlign w:val="bottom"/>
          </w:tcPr>
          <w:p>
            <w:pPr>
              <w:spacing w:after="0"/>
              <w:rPr>
                <w:sz w:val="1"/>
                <w:szCs w:val="1"/>
                <w:color w:val="auto"/>
              </w:rPr>
            </w:pPr>
          </w:p>
        </w:tc>
      </w:tr>
      <w:tr>
        <w:trPr>
          <w:trHeight w:val="120"/>
        </w:trPr>
        <w:tc>
          <w:tcPr>
            <w:tcW w:w="29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Flock Financial, LLC </w:t>
            </w:r>
            <w:r>
              <w:rPr>
                <w:rFonts w:ascii="Times New Roman" w:cs="Times New Roman" w:eastAsia="Times New Roman" w:hAnsi="Times New Roman"/>
                <w:sz w:val="12"/>
                <w:szCs w:val="12"/>
                <w:color w:val="auto"/>
                <w:vertAlign w:val="superscript"/>
              </w:rPr>
              <w:t>(11)</w:t>
            </w:r>
          </w:p>
        </w:tc>
        <w:tc>
          <w:tcPr>
            <w:tcW w:w="92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05/26/2027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14.50 %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34,000</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33,329</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32,300</w:t>
            </w:r>
          </w:p>
        </w:tc>
        <w:tc>
          <w:tcPr>
            <w:tcW w:w="0" w:type="dxa"/>
            <w:vAlign w:val="bottom"/>
          </w:tcPr>
          <w:p>
            <w:pPr>
              <w:spacing w:after="0"/>
              <w:rPr>
                <w:sz w:val="1"/>
                <w:szCs w:val="1"/>
                <w:color w:val="auto"/>
              </w:rPr>
            </w:pPr>
          </w:p>
        </w:tc>
      </w:tr>
      <w:tr>
        <w:trPr>
          <w:trHeight w:val="120"/>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Subordinated Debt/Corporate Notes</w:t>
            </w:r>
          </w:p>
        </w:tc>
        <w:tc>
          <w:tcPr>
            <w:tcW w:w="920" w:type="dxa"/>
            <w:vAlign w:val="bottom"/>
            <w:shd w:val="clear" w:color="auto" w:fill="CCECFF"/>
          </w:tcPr>
          <w:p>
            <w:pPr>
              <w:spacing w:after="0"/>
              <w:rPr>
                <w:sz w:val="10"/>
                <w:szCs w:val="10"/>
                <w:color w:val="auto"/>
              </w:rPr>
            </w:pPr>
          </w:p>
        </w:tc>
        <w:tc>
          <w:tcPr>
            <w:tcW w:w="20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54,897</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53,897</w:t>
            </w:r>
          </w:p>
        </w:tc>
        <w:tc>
          <w:tcPr>
            <w:tcW w:w="0" w:type="dxa"/>
            <w:vAlign w:val="bottom"/>
          </w:tcPr>
          <w:p>
            <w:pPr>
              <w:spacing w:after="0"/>
              <w:rPr>
                <w:sz w:val="1"/>
                <w:szCs w:val="1"/>
                <w:color w:val="auto"/>
              </w:rPr>
            </w:pPr>
          </w:p>
        </w:tc>
      </w:tr>
      <w:tr>
        <w:trPr>
          <w:trHeight w:val="120"/>
        </w:trPr>
        <w:tc>
          <w:tcPr>
            <w:tcW w:w="29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Preferred Equity/Partnership Interests—2.6% of Net Assets </w:t>
            </w:r>
            <w:r>
              <w:rPr>
                <w:rFonts w:ascii="Times New Roman" w:cs="Times New Roman" w:eastAsia="Times New Roman" w:hAnsi="Times New Roman"/>
                <w:sz w:val="12"/>
                <w:szCs w:val="12"/>
                <w:b w:val="1"/>
                <w:bCs w:val="1"/>
                <w:color w:val="auto"/>
                <w:vertAlign w:val="superscript"/>
              </w:rPr>
              <w:t>(6)</w:t>
            </w:r>
          </w:p>
        </w:tc>
        <w:tc>
          <w:tcPr>
            <w:tcW w:w="9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Ad.net Holdings, Inc.</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2,400</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240</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271</w:t>
            </w:r>
          </w:p>
        </w:tc>
        <w:tc>
          <w:tcPr>
            <w:tcW w:w="0" w:type="dxa"/>
            <w:vAlign w:val="bottom"/>
          </w:tcPr>
          <w:p>
            <w:pPr>
              <w:spacing w:after="0"/>
              <w:rPr>
                <w:sz w:val="1"/>
                <w:szCs w:val="1"/>
                <w:color w:val="auto"/>
              </w:rPr>
            </w:pPr>
          </w:p>
        </w:tc>
      </w:tr>
      <w:tr>
        <w:trPr>
          <w:trHeight w:val="12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AH Newco Equityholdings, LLC</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6.00 %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211</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500</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1,066</w:t>
            </w:r>
          </w:p>
        </w:tc>
        <w:tc>
          <w:tcPr>
            <w:tcW w:w="0" w:type="dxa"/>
            <w:vAlign w:val="bottom"/>
          </w:tcPr>
          <w:p>
            <w:pPr>
              <w:spacing w:after="0"/>
              <w:rPr>
                <w:sz w:val="1"/>
                <w:szCs w:val="1"/>
                <w:color w:val="auto"/>
              </w:rPr>
            </w:pPr>
          </w:p>
        </w:tc>
      </w:tr>
      <w:tr>
        <w:trPr>
          <w:trHeight w:val="120"/>
        </w:trPr>
        <w:tc>
          <w:tcPr>
            <w:tcW w:w="29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Anteriad Holdings, LP (f/k/a MeritDirect Holdings, LP) </w:t>
            </w:r>
            <w:r>
              <w:rPr>
                <w:rFonts w:ascii="Times New Roman" w:cs="Times New Roman" w:eastAsia="Times New Roman" w:hAnsi="Times New Roman"/>
                <w:sz w:val="12"/>
                <w:szCs w:val="12"/>
                <w:color w:val="auto"/>
                <w:vertAlign w:val="superscript"/>
              </w:rPr>
              <w:t>(9)</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1,135</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1,135</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918</w:t>
            </w:r>
          </w:p>
        </w:tc>
        <w:tc>
          <w:tcPr>
            <w:tcW w:w="0" w:type="dxa"/>
            <w:vAlign w:val="bottom"/>
          </w:tcPr>
          <w:p>
            <w:pPr>
              <w:spacing w:after="0"/>
              <w:rPr>
                <w:sz w:val="1"/>
                <w:szCs w:val="1"/>
                <w:color w:val="auto"/>
              </w:rPr>
            </w:pPr>
          </w:p>
        </w:tc>
      </w:tr>
      <w:tr>
        <w:trPr>
          <w:trHeight w:val="120"/>
        </w:trPr>
        <w:tc>
          <w:tcPr>
            <w:tcW w:w="29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Cartessa Aesthetics, LLC </w:t>
            </w:r>
            <w:r>
              <w:rPr>
                <w:rFonts w:ascii="Times New Roman" w:cs="Times New Roman" w:eastAsia="Times New Roman" w:hAnsi="Times New Roman"/>
                <w:sz w:val="12"/>
                <w:szCs w:val="12"/>
                <w:color w:val="auto"/>
                <w:vertAlign w:val="superscript"/>
              </w:rPr>
              <w:t>(9)</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3,562,500</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3,563</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4,975</w:t>
            </w:r>
          </w:p>
        </w:tc>
        <w:tc>
          <w:tcPr>
            <w:tcW w:w="0" w:type="dxa"/>
            <w:vAlign w:val="bottom"/>
          </w:tcPr>
          <w:p>
            <w:pPr>
              <w:spacing w:after="0"/>
              <w:rPr>
                <w:sz w:val="1"/>
                <w:szCs w:val="1"/>
                <w:color w:val="auto"/>
              </w:rPr>
            </w:pPr>
          </w:p>
        </w:tc>
      </w:tr>
      <w:tr>
        <w:trPr>
          <w:trHeight w:val="120"/>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Gauge Lash Coinvest, LLC - Preferred Equity</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64,967</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351</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789</w:t>
            </w:r>
          </w:p>
        </w:tc>
        <w:tc>
          <w:tcPr>
            <w:tcW w:w="0" w:type="dxa"/>
            <w:vAlign w:val="bottom"/>
          </w:tcPr>
          <w:p>
            <w:pPr>
              <w:spacing w:after="0"/>
              <w:rPr>
                <w:sz w:val="1"/>
                <w:szCs w:val="1"/>
                <w:color w:val="auto"/>
              </w:rPr>
            </w:pPr>
          </w:p>
        </w:tc>
      </w:tr>
      <w:tr>
        <w:trPr>
          <w:trHeight w:val="12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Gauge Schlesinger Coinvest, LLC - Class A-2 Preferred Equity</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20"/>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Imagine Topco, LP</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8.00 %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743,826</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744</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750</w:t>
            </w:r>
          </w:p>
        </w:tc>
        <w:tc>
          <w:tcPr>
            <w:tcW w:w="0" w:type="dxa"/>
            <w:vAlign w:val="bottom"/>
          </w:tcPr>
          <w:p>
            <w:pPr>
              <w:spacing w:after="0"/>
              <w:rPr>
                <w:sz w:val="1"/>
                <w:szCs w:val="1"/>
                <w:color w:val="auto"/>
              </w:rPr>
            </w:pPr>
          </w:p>
        </w:tc>
      </w:tr>
      <w:tr>
        <w:trPr>
          <w:trHeight w:val="120"/>
        </w:trPr>
        <w:tc>
          <w:tcPr>
            <w:tcW w:w="29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A Preferred Equity </w:t>
            </w:r>
            <w:r>
              <w:rPr>
                <w:rFonts w:ascii="Times New Roman" w:cs="Times New Roman" w:eastAsia="Times New Roman" w:hAnsi="Times New Roman"/>
                <w:sz w:val="12"/>
                <w:szCs w:val="12"/>
                <w:color w:val="auto"/>
                <w:vertAlign w:val="superscript"/>
              </w:rPr>
              <w:t>(9)</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169</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169</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172</w:t>
            </w:r>
          </w:p>
        </w:tc>
        <w:tc>
          <w:tcPr>
            <w:tcW w:w="0" w:type="dxa"/>
            <w:vAlign w:val="bottom"/>
          </w:tcPr>
          <w:p>
            <w:pPr>
              <w:spacing w:after="0"/>
              <w:rPr>
                <w:sz w:val="1"/>
                <w:szCs w:val="1"/>
                <w:color w:val="auto"/>
              </w:rPr>
            </w:pPr>
          </w:p>
        </w:tc>
      </w:tr>
      <w:tr>
        <w:trPr>
          <w:trHeight w:val="120"/>
        </w:trPr>
        <w:tc>
          <w:tcPr>
            <w:tcW w:w="29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B Preferred Equity </w:t>
            </w:r>
            <w:r>
              <w:rPr>
                <w:rFonts w:ascii="Times New Roman" w:cs="Times New Roman" w:eastAsia="Times New Roman" w:hAnsi="Times New Roman"/>
                <w:sz w:val="12"/>
                <w:szCs w:val="12"/>
                <w:color w:val="auto"/>
                <w:vertAlign w:val="superscript"/>
              </w:rPr>
              <w:t>(9)</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929</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554</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794</w:t>
            </w:r>
          </w:p>
        </w:tc>
        <w:tc>
          <w:tcPr>
            <w:tcW w:w="0" w:type="dxa"/>
            <w:vAlign w:val="bottom"/>
          </w:tcPr>
          <w:p>
            <w:pPr>
              <w:spacing w:after="0"/>
              <w:rPr>
                <w:sz w:val="1"/>
                <w:szCs w:val="1"/>
                <w:color w:val="auto"/>
              </w:rPr>
            </w:pPr>
          </w:p>
        </w:tc>
      </w:tr>
      <w:tr>
        <w:trPr>
          <w:trHeight w:val="124"/>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Mars Intermediate Holdings II, Inc</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414</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414</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551</w:t>
            </w:r>
          </w:p>
        </w:tc>
        <w:tc>
          <w:tcPr>
            <w:tcW w:w="0" w:type="dxa"/>
            <w:vAlign w:val="bottom"/>
          </w:tcPr>
          <w:p>
            <w:pPr>
              <w:spacing w:after="0"/>
              <w:rPr>
                <w:sz w:val="1"/>
                <w:szCs w:val="1"/>
                <w:color w:val="auto"/>
              </w:rPr>
            </w:pPr>
          </w:p>
        </w:tc>
      </w:tr>
      <w:tr>
        <w:trPr>
          <w:trHeight w:val="80"/>
        </w:trPr>
        <w:tc>
          <w:tcPr>
            <w:tcW w:w="290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202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NXOF Holdings, Inc. (Tyto Athene, LLC)</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160</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160</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w:t>
            </w:r>
          </w:p>
        </w:tc>
        <w:tc>
          <w:tcPr>
            <w:tcW w:w="0" w:type="dxa"/>
            <w:vAlign w:val="bottom"/>
          </w:tcPr>
          <w:p>
            <w:pPr>
              <w:spacing w:after="0"/>
              <w:rPr>
                <w:sz w:val="1"/>
                <w:szCs w:val="1"/>
                <w:color w:val="auto"/>
              </w:rPr>
            </w:pPr>
          </w:p>
        </w:tc>
      </w:tr>
      <w:tr>
        <w:trPr>
          <w:trHeight w:val="12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ORL Holdco, Inc.</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575</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57</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 Acquisitionco, LLC - Preferred Equity</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1"/>
              </w:rPr>
              <w:t>Retail</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w:t>
            </w:r>
          </w:p>
        </w:tc>
        <w:tc>
          <w:tcPr>
            <w:tcW w:w="0" w:type="dxa"/>
            <w:vAlign w:val="bottom"/>
          </w:tcPr>
          <w:p>
            <w:pPr>
              <w:spacing w:after="0"/>
              <w:rPr>
                <w:sz w:val="1"/>
                <w:szCs w:val="1"/>
                <w:color w:val="auto"/>
              </w:rPr>
            </w:pPr>
          </w:p>
        </w:tc>
      </w:tr>
      <w:tr>
        <w:trPr>
          <w:trHeight w:val="12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Signature CR Intermediate Holdco, Inc.</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12.00 %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1,527</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1,527</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2,490</w:t>
            </w:r>
          </w:p>
        </w:tc>
        <w:tc>
          <w:tcPr>
            <w:tcW w:w="0" w:type="dxa"/>
            <w:vAlign w:val="bottom"/>
          </w:tcPr>
          <w:p>
            <w:pPr>
              <w:spacing w:after="0"/>
              <w:rPr>
                <w:sz w:val="1"/>
                <w:szCs w:val="1"/>
                <w:color w:val="auto"/>
              </w:rPr>
            </w:pPr>
          </w:p>
        </w:tc>
      </w:tr>
      <w:tr>
        <w:trPr>
          <w:trHeight w:val="120"/>
        </w:trPr>
        <w:tc>
          <w:tcPr>
            <w:tcW w:w="29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TPC Holding Company, LP </w:t>
            </w:r>
            <w:r>
              <w:rPr>
                <w:rFonts w:ascii="Times New Roman" w:cs="Times New Roman" w:eastAsia="Times New Roman" w:hAnsi="Times New Roman"/>
                <w:sz w:val="12"/>
                <w:szCs w:val="12"/>
                <w:color w:val="auto"/>
                <w:vertAlign w:val="superscript"/>
              </w:rPr>
              <w:t>(8),(11)</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Food</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219</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219</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320</w:t>
            </w:r>
          </w:p>
        </w:tc>
        <w:tc>
          <w:tcPr>
            <w:tcW w:w="0" w:type="dxa"/>
            <w:vAlign w:val="bottom"/>
          </w:tcPr>
          <w:p>
            <w:pPr>
              <w:spacing w:after="0"/>
              <w:rPr>
                <w:sz w:val="1"/>
                <w:szCs w:val="1"/>
                <w:color w:val="auto"/>
              </w:rPr>
            </w:pPr>
          </w:p>
        </w:tc>
      </w:tr>
      <w:tr>
        <w:trPr>
          <w:trHeight w:val="12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TWD Parent Holdings, LLC</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w:t>
            </w:r>
          </w:p>
        </w:tc>
        <w:tc>
          <w:tcPr>
            <w:tcW w:w="0" w:type="dxa"/>
            <w:vAlign w:val="bottom"/>
          </w:tcPr>
          <w:p>
            <w:pPr>
              <w:spacing w:after="0"/>
              <w:rPr>
                <w:sz w:val="1"/>
                <w:szCs w:val="1"/>
                <w:color w:val="auto"/>
              </w:rPr>
            </w:pPr>
          </w:p>
        </w:tc>
      </w:tr>
      <w:tr>
        <w:trPr>
          <w:trHeight w:val="120"/>
        </w:trPr>
        <w:tc>
          <w:tcPr>
            <w:tcW w:w="29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(The Vertex Companies, LLC)</w:t>
            </w:r>
          </w:p>
        </w:tc>
        <w:tc>
          <w:tcPr>
            <w:tcW w:w="920" w:type="dxa"/>
            <w:vAlign w:val="bottom"/>
            <w:shd w:val="clear" w:color="auto" w:fill="CCECFF"/>
          </w:tcPr>
          <w:p>
            <w:pPr>
              <w:spacing w:after="0"/>
              <w:rPr>
                <w:sz w:val="10"/>
                <w:szCs w:val="10"/>
                <w:color w:val="auto"/>
              </w:rPr>
            </w:pPr>
          </w:p>
        </w:tc>
        <w:tc>
          <w:tcPr>
            <w:tcW w:w="20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Preferred Equity/Partnership Interests</w:t>
            </w:r>
          </w:p>
        </w:tc>
        <w:tc>
          <w:tcPr>
            <w:tcW w:w="9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9,701</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13,280</w:t>
            </w:r>
          </w:p>
        </w:tc>
        <w:tc>
          <w:tcPr>
            <w:tcW w:w="0" w:type="dxa"/>
            <w:vAlign w:val="bottom"/>
          </w:tcPr>
          <w:p>
            <w:pPr>
              <w:spacing w:after="0"/>
              <w:rPr>
                <w:sz w:val="1"/>
                <w:szCs w:val="1"/>
                <w:color w:val="auto"/>
              </w:rPr>
            </w:pPr>
          </w:p>
        </w:tc>
      </w:tr>
      <w:tr>
        <w:trPr>
          <w:trHeight w:val="119"/>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Common Equity/Partnership Interests/Warrants—23.0% of Net</w:t>
            </w:r>
          </w:p>
        </w:tc>
        <w:tc>
          <w:tcPr>
            <w:tcW w:w="920" w:type="dxa"/>
            <w:vAlign w:val="bottom"/>
            <w:shd w:val="clear" w:color="auto" w:fill="CCECFF"/>
          </w:tcPr>
          <w:p>
            <w:pPr>
              <w:spacing w:after="0"/>
              <w:rPr>
                <w:sz w:val="10"/>
                <w:szCs w:val="10"/>
                <w:color w:val="auto"/>
              </w:rPr>
            </w:pPr>
          </w:p>
        </w:tc>
        <w:tc>
          <w:tcPr>
            <w:tcW w:w="20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0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Assets </w:t>
            </w:r>
            <w:r>
              <w:rPr>
                <w:rFonts w:ascii="Times New Roman" w:cs="Times New Roman" w:eastAsia="Times New Roman" w:hAnsi="Times New Roman"/>
                <w:sz w:val="12"/>
                <w:szCs w:val="12"/>
                <w:b w:val="1"/>
                <w:bCs w:val="1"/>
                <w:color w:val="auto"/>
                <w:vertAlign w:val="superscript"/>
              </w:rPr>
              <w:t>(6)</w:t>
            </w:r>
          </w:p>
        </w:tc>
        <w:tc>
          <w:tcPr>
            <w:tcW w:w="920" w:type="dxa"/>
            <w:vAlign w:val="bottom"/>
            <w:shd w:val="clear" w:color="auto" w:fill="CCECFF"/>
          </w:tcPr>
          <w:p>
            <w:pPr>
              <w:spacing w:after="0"/>
              <w:rPr>
                <w:sz w:val="10"/>
                <w:szCs w:val="10"/>
                <w:color w:val="auto"/>
              </w:rPr>
            </w:pPr>
          </w:p>
        </w:tc>
        <w:tc>
          <w:tcPr>
            <w:tcW w:w="20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A1 Garage Equity, LLC </w:t>
            </w:r>
            <w:r>
              <w:rPr>
                <w:rFonts w:ascii="Times New Roman" w:cs="Times New Roman" w:eastAsia="Times New Roman" w:hAnsi="Times New Roman"/>
                <w:sz w:val="12"/>
                <w:szCs w:val="12"/>
                <w:color w:val="auto"/>
                <w:vertAlign w:val="superscript"/>
              </w:rPr>
              <w:t>(9)</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2,193,038</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2,193</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2,340</w:t>
            </w:r>
          </w:p>
        </w:tc>
        <w:tc>
          <w:tcPr>
            <w:tcW w:w="0" w:type="dxa"/>
            <w:vAlign w:val="bottom"/>
          </w:tcPr>
          <w:p>
            <w:pPr>
              <w:spacing w:after="0"/>
              <w:rPr>
                <w:sz w:val="1"/>
                <w:szCs w:val="1"/>
                <w:color w:val="auto"/>
              </w:rPr>
            </w:pPr>
          </w:p>
        </w:tc>
      </w:tr>
      <w:tr>
        <w:trPr>
          <w:trHeight w:val="120"/>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Ad.net Holdings, Inc.</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2,667</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Affinion Group Holdings, Inc. (Warrants)</w:t>
            </w:r>
          </w:p>
        </w:tc>
        <w:tc>
          <w:tcPr>
            <w:tcW w:w="92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04/10/2024</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77,190</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2,126</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AG Investco LP </w:t>
            </w:r>
            <w:r>
              <w:rPr>
                <w:rFonts w:ascii="Times New Roman" w:cs="Times New Roman" w:eastAsia="Times New Roman" w:hAnsi="Times New Roman"/>
                <w:sz w:val="12"/>
                <w:szCs w:val="12"/>
                <w:color w:val="auto"/>
                <w:vertAlign w:val="superscript"/>
              </w:rPr>
              <w:t>(9)</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805,164</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805</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1,074</w:t>
            </w:r>
          </w:p>
        </w:tc>
        <w:tc>
          <w:tcPr>
            <w:tcW w:w="0" w:type="dxa"/>
            <w:vAlign w:val="bottom"/>
          </w:tcPr>
          <w:p>
            <w:pPr>
              <w:spacing w:after="0"/>
              <w:rPr>
                <w:sz w:val="1"/>
                <w:szCs w:val="1"/>
                <w:color w:val="auto"/>
              </w:rPr>
            </w:pPr>
          </w:p>
        </w:tc>
      </w:tr>
      <w:tr>
        <w:trPr>
          <w:trHeight w:val="120"/>
        </w:trPr>
        <w:tc>
          <w:tcPr>
            <w:tcW w:w="29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AG Investco LP </w:t>
            </w:r>
            <w:r>
              <w:rPr>
                <w:rFonts w:ascii="Times New Roman" w:cs="Times New Roman" w:eastAsia="Times New Roman" w:hAnsi="Times New Roman"/>
                <w:sz w:val="12"/>
                <w:szCs w:val="12"/>
                <w:color w:val="auto"/>
                <w:vertAlign w:val="superscript"/>
              </w:rPr>
              <w:t>(7), (9)</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194,836</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Altamira Intermediate Company II, Inc.</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125,000</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127</w:t>
            </w:r>
          </w:p>
        </w:tc>
        <w:tc>
          <w:tcPr>
            <w:tcW w:w="0" w:type="dxa"/>
            <w:vAlign w:val="bottom"/>
          </w:tcPr>
          <w:p>
            <w:pPr>
              <w:spacing w:after="0"/>
              <w:rPr>
                <w:sz w:val="1"/>
                <w:szCs w:val="1"/>
                <w:color w:val="auto"/>
              </w:rPr>
            </w:pPr>
          </w:p>
        </w:tc>
      </w:tr>
      <w:tr>
        <w:trPr>
          <w:trHeight w:val="12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AMCSI Crash Co-Invest, LP</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2,489,777</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2,490</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3,318</w:t>
            </w:r>
          </w:p>
        </w:tc>
        <w:tc>
          <w:tcPr>
            <w:tcW w:w="0" w:type="dxa"/>
            <w:vAlign w:val="bottom"/>
          </w:tcPr>
          <w:p>
            <w:pPr>
              <w:spacing w:after="0"/>
              <w:rPr>
                <w:sz w:val="1"/>
                <w:szCs w:val="1"/>
                <w:color w:val="auto"/>
              </w:rPr>
            </w:pPr>
          </w:p>
        </w:tc>
      </w:tr>
      <w:tr>
        <w:trPr>
          <w:trHeight w:val="120"/>
        </w:trPr>
        <w:tc>
          <w:tcPr>
            <w:tcW w:w="29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AMCSI Crash Co-Invest, LP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510,223</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Anteriad Holdings, LP (f/k/a MeritDirect Holdings, LP) </w:t>
            </w:r>
            <w:r>
              <w:rPr>
                <w:rFonts w:ascii="Times New Roman" w:cs="Times New Roman" w:eastAsia="Times New Roman" w:hAnsi="Times New Roman"/>
                <w:sz w:val="12"/>
                <w:szCs w:val="12"/>
                <w:color w:val="auto"/>
                <w:vertAlign w:val="superscript"/>
              </w:rPr>
              <w:t>(9)</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1,135</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Athletico Holdings, LLC </w:t>
            </w:r>
            <w:r>
              <w:rPr>
                <w:rFonts w:ascii="Times New Roman" w:cs="Times New Roman" w:eastAsia="Times New Roman" w:hAnsi="Times New Roman"/>
                <w:sz w:val="12"/>
                <w:szCs w:val="12"/>
                <w:color w:val="auto"/>
                <w:vertAlign w:val="superscript"/>
              </w:rPr>
              <w:t>(9)</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9,357</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10,000</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9,032</w:t>
            </w:r>
          </w:p>
        </w:tc>
        <w:tc>
          <w:tcPr>
            <w:tcW w:w="0" w:type="dxa"/>
            <w:vAlign w:val="bottom"/>
          </w:tcPr>
          <w:p>
            <w:pPr>
              <w:spacing w:after="0"/>
              <w:rPr>
                <w:sz w:val="1"/>
                <w:szCs w:val="1"/>
                <w:color w:val="auto"/>
              </w:rPr>
            </w:pPr>
          </w:p>
        </w:tc>
      </w:tr>
      <w:tr>
        <w:trPr>
          <w:trHeight w:val="12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Atlas Investment Aggregator, LLC</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1,700,000</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1,613</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293</w:t>
            </w:r>
          </w:p>
        </w:tc>
        <w:tc>
          <w:tcPr>
            <w:tcW w:w="0" w:type="dxa"/>
            <w:vAlign w:val="bottom"/>
          </w:tcPr>
          <w:p>
            <w:pPr>
              <w:spacing w:after="0"/>
              <w:rPr>
                <w:sz w:val="1"/>
                <w:szCs w:val="1"/>
                <w:color w:val="auto"/>
              </w:rPr>
            </w:pPr>
          </w:p>
        </w:tc>
      </w:tr>
      <w:tr>
        <w:trPr>
          <w:trHeight w:val="120"/>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1,312</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1,312</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1,513</w:t>
            </w:r>
          </w:p>
        </w:tc>
        <w:tc>
          <w:tcPr>
            <w:tcW w:w="0" w:type="dxa"/>
            <w:vAlign w:val="bottom"/>
          </w:tcPr>
          <w:p>
            <w:pPr>
              <w:spacing w:after="0"/>
              <w:rPr>
                <w:sz w:val="1"/>
                <w:szCs w:val="1"/>
                <w:color w:val="auto"/>
              </w:rPr>
            </w:pPr>
          </w:p>
        </w:tc>
      </w:tr>
      <w:tr>
        <w:trPr>
          <w:trHeight w:val="12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Burgess Point Holdings, LP</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680</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680</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740</w:t>
            </w:r>
          </w:p>
        </w:tc>
        <w:tc>
          <w:tcPr>
            <w:tcW w:w="0" w:type="dxa"/>
            <w:vAlign w:val="bottom"/>
          </w:tcPr>
          <w:p>
            <w:pPr>
              <w:spacing w:after="0"/>
              <w:rPr>
                <w:sz w:val="1"/>
                <w:szCs w:val="1"/>
                <w:color w:val="auto"/>
              </w:rPr>
            </w:pPr>
          </w:p>
        </w:tc>
      </w:tr>
      <w:tr>
        <w:trPr>
          <w:trHeight w:val="120"/>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Connatix Parent, LLC</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57,416</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632</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333</w:t>
            </w:r>
          </w:p>
        </w:tc>
        <w:tc>
          <w:tcPr>
            <w:tcW w:w="0" w:type="dxa"/>
            <w:vAlign w:val="bottom"/>
          </w:tcPr>
          <w:p>
            <w:pPr>
              <w:spacing w:after="0"/>
              <w:rPr>
                <w:sz w:val="1"/>
                <w:szCs w:val="1"/>
                <w:color w:val="auto"/>
              </w:rPr>
            </w:pPr>
          </w:p>
        </w:tc>
      </w:tr>
      <w:tr>
        <w:trPr>
          <w:trHeight w:val="12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Cowboy Parent LLC</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27,778</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3,015</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5,451</w:t>
            </w:r>
          </w:p>
        </w:tc>
        <w:tc>
          <w:tcPr>
            <w:tcW w:w="0" w:type="dxa"/>
            <w:vAlign w:val="bottom"/>
          </w:tcPr>
          <w:p>
            <w:pPr>
              <w:spacing w:after="0"/>
              <w:rPr>
                <w:sz w:val="1"/>
                <w:szCs w:val="1"/>
                <w:color w:val="auto"/>
              </w:rPr>
            </w:pPr>
          </w:p>
        </w:tc>
      </w:tr>
      <w:tr>
        <w:trPr>
          <w:trHeight w:val="120"/>
        </w:trPr>
        <w:tc>
          <w:tcPr>
            <w:tcW w:w="29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920" w:type="dxa"/>
            <w:vAlign w:val="bottom"/>
            <w:shd w:val="clear" w:color="auto" w:fill="CCECFF"/>
          </w:tcPr>
          <w:p>
            <w:pPr>
              <w:spacing w:after="0"/>
              <w:rPr>
                <w:sz w:val="10"/>
                <w:szCs w:val="10"/>
                <w:color w:val="auto"/>
              </w:rPr>
            </w:pPr>
          </w:p>
        </w:tc>
        <w:tc>
          <w:tcPr>
            <w:tcW w:w="20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Crane 1 Acquisition Parent Holdings, L.P.</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104</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173</w:t>
            </w:r>
          </w:p>
        </w:tc>
        <w:tc>
          <w:tcPr>
            <w:tcW w:w="0" w:type="dxa"/>
            <w:vAlign w:val="bottom"/>
          </w:tcPr>
          <w:p>
            <w:pPr>
              <w:spacing w:after="0"/>
              <w:rPr>
                <w:sz w:val="1"/>
                <w:szCs w:val="1"/>
                <w:color w:val="auto"/>
              </w:rPr>
            </w:pPr>
          </w:p>
        </w:tc>
      </w:tr>
      <w:tr>
        <w:trPr>
          <w:trHeight w:val="120"/>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Delta InvestCo LP</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863,299</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848</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1,542</w:t>
            </w:r>
          </w:p>
        </w:tc>
        <w:tc>
          <w:tcPr>
            <w:tcW w:w="0" w:type="dxa"/>
            <w:vAlign w:val="bottom"/>
          </w:tcPr>
          <w:p>
            <w:pPr>
              <w:spacing w:after="0"/>
              <w:rPr>
                <w:sz w:val="1"/>
                <w:szCs w:val="1"/>
                <w:color w:val="auto"/>
              </w:rPr>
            </w:pPr>
          </w:p>
        </w:tc>
      </w:tr>
      <w:tr>
        <w:trPr>
          <w:trHeight w:val="120"/>
        </w:trPr>
        <w:tc>
          <w:tcPr>
            <w:tcW w:w="2900" w:type="dxa"/>
            <w:vAlign w:val="bottom"/>
          </w:tcPr>
          <w:p>
            <w:pPr>
              <w:ind w:left="80"/>
              <w:spacing w:after="0" w:line="120" w:lineRule="exact"/>
              <w:rPr>
                <w:sz w:val="20"/>
                <w:szCs w:val="20"/>
                <w:color w:val="auto"/>
              </w:rPr>
            </w:pPr>
            <w:r>
              <w:rPr>
                <w:rFonts w:ascii="Times New Roman" w:cs="Times New Roman" w:eastAsia="Times New Roman" w:hAnsi="Times New Roman"/>
                <w:sz w:val="10"/>
                <w:szCs w:val="10"/>
                <w:color w:val="auto"/>
              </w:rPr>
              <w:t xml:space="preserve">(Sigma Defense Systems, LLC) </w:t>
            </w:r>
            <w:r>
              <w:rPr>
                <w:rFonts w:ascii="Times New Roman" w:cs="Times New Roman" w:eastAsia="Times New Roman" w:hAnsi="Times New Roman"/>
                <w:sz w:val="12"/>
                <w:szCs w:val="12"/>
                <w:color w:val="auto"/>
                <w:vertAlign w:val="superscript"/>
              </w:rPr>
              <w:t>(9)</w:t>
            </w:r>
          </w:p>
        </w:tc>
        <w:tc>
          <w:tcPr>
            <w:tcW w:w="9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Delta InvestCo LP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277,745</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00" w:type="dxa"/>
            <w:vAlign w:val="bottom"/>
          </w:tcPr>
          <w:p>
            <w:pPr>
              <w:ind w:left="80"/>
              <w:spacing w:after="0" w:line="120" w:lineRule="exact"/>
              <w:rPr>
                <w:sz w:val="20"/>
                <w:szCs w:val="20"/>
                <w:color w:val="auto"/>
              </w:rPr>
            </w:pPr>
            <w:r>
              <w:rPr>
                <w:rFonts w:ascii="Times New Roman" w:cs="Times New Roman" w:eastAsia="Times New Roman" w:hAnsi="Times New Roman"/>
                <w:sz w:val="10"/>
                <w:szCs w:val="10"/>
                <w:color w:val="auto"/>
              </w:rPr>
              <w:t xml:space="preserve">(Sigma Defense Systems, LLC) </w:t>
            </w:r>
            <w:r>
              <w:rPr>
                <w:rFonts w:ascii="Times New Roman" w:cs="Times New Roman" w:eastAsia="Times New Roman" w:hAnsi="Times New Roman"/>
                <w:sz w:val="12"/>
                <w:szCs w:val="12"/>
                <w:color w:val="auto"/>
                <w:vertAlign w:val="superscript"/>
              </w:rPr>
              <w:t>(7), (9)</w:t>
            </w:r>
          </w:p>
        </w:tc>
        <w:tc>
          <w:tcPr>
            <w:tcW w:w="9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eCommission Holding Corporation </w:t>
            </w:r>
            <w:r>
              <w:rPr>
                <w:rFonts w:ascii="Times New Roman" w:cs="Times New Roman" w:eastAsia="Times New Roman" w:hAnsi="Times New Roman"/>
                <w:sz w:val="12"/>
                <w:szCs w:val="12"/>
                <w:color w:val="auto"/>
                <w:vertAlign w:val="superscript"/>
              </w:rPr>
              <w:t>(11)</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1,005</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1,854</w:t>
            </w:r>
          </w:p>
        </w:tc>
        <w:tc>
          <w:tcPr>
            <w:tcW w:w="0" w:type="dxa"/>
            <w:vAlign w:val="bottom"/>
          </w:tcPr>
          <w:p>
            <w:pPr>
              <w:spacing w:after="0"/>
              <w:rPr>
                <w:sz w:val="1"/>
                <w:szCs w:val="1"/>
                <w:color w:val="auto"/>
              </w:rPr>
            </w:pPr>
          </w:p>
        </w:tc>
      </w:tr>
      <w:tr>
        <w:trPr>
          <w:trHeight w:val="124"/>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EDS Topco, LP</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937,500</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938</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885</w:t>
            </w:r>
          </w:p>
        </w:tc>
        <w:tc>
          <w:tcPr>
            <w:tcW w:w="0" w:type="dxa"/>
            <w:vAlign w:val="bottom"/>
          </w:tcPr>
          <w:p>
            <w:pPr>
              <w:spacing w:after="0"/>
              <w:rPr>
                <w:sz w:val="1"/>
                <w:szCs w:val="1"/>
                <w:color w:val="auto"/>
              </w:rPr>
            </w:pPr>
          </w:p>
        </w:tc>
      </w:tr>
      <w:tr>
        <w:trPr>
          <w:trHeight w:val="80"/>
        </w:trPr>
        <w:tc>
          <w:tcPr>
            <w:tcW w:w="29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Exigo, LLC</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1,458,333</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1,458</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1,648</w:t>
            </w:r>
          </w:p>
        </w:tc>
        <w:tc>
          <w:tcPr>
            <w:tcW w:w="0" w:type="dxa"/>
            <w:vAlign w:val="bottom"/>
          </w:tcPr>
          <w:p>
            <w:pPr>
              <w:spacing w:after="0"/>
              <w:rPr>
                <w:sz w:val="1"/>
                <w:szCs w:val="1"/>
                <w:color w:val="auto"/>
              </w:rPr>
            </w:pPr>
          </w:p>
        </w:tc>
      </w:tr>
      <w:tr>
        <w:trPr>
          <w:trHeight w:val="120"/>
        </w:trPr>
        <w:tc>
          <w:tcPr>
            <w:tcW w:w="29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FedHC InvestCo LP </w:t>
            </w:r>
            <w:r>
              <w:rPr>
                <w:rFonts w:ascii="Times New Roman" w:cs="Times New Roman" w:eastAsia="Times New Roman" w:hAnsi="Times New Roman"/>
                <w:sz w:val="12"/>
                <w:szCs w:val="12"/>
                <w:color w:val="auto"/>
                <w:vertAlign w:val="superscript"/>
              </w:rPr>
              <w:t>(9)</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14,578</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489</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2,060</w:t>
            </w:r>
          </w:p>
        </w:tc>
        <w:tc>
          <w:tcPr>
            <w:tcW w:w="0" w:type="dxa"/>
            <w:vAlign w:val="bottom"/>
          </w:tcPr>
          <w:p>
            <w:pPr>
              <w:spacing w:after="0"/>
              <w:rPr>
                <w:sz w:val="1"/>
                <w:szCs w:val="1"/>
                <w:color w:val="auto"/>
              </w:rPr>
            </w:pPr>
          </w:p>
        </w:tc>
      </w:tr>
      <w:tr>
        <w:trPr>
          <w:trHeight w:val="120"/>
        </w:trPr>
        <w:tc>
          <w:tcPr>
            <w:tcW w:w="29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FedHC InvestCo LP </w:t>
            </w:r>
            <w:r>
              <w:rPr>
                <w:rFonts w:ascii="Times New Roman" w:cs="Times New Roman" w:eastAsia="Times New Roman" w:hAnsi="Times New Roman"/>
                <w:sz w:val="12"/>
                <w:szCs w:val="12"/>
                <w:color w:val="auto"/>
                <w:vertAlign w:val="superscript"/>
              </w:rPr>
              <w:t>(7),(9)</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5,150</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9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FedHC InvestCo II LP </w:t>
            </w:r>
            <w:r>
              <w:rPr>
                <w:rFonts w:ascii="Times New Roman" w:cs="Times New Roman" w:eastAsia="Times New Roman" w:hAnsi="Times New Roman"/>
                <w:sz w:val="12"/>
                <w:szCs w:val="12"/>
                <w:color w:val="auto"/>
                <w:vertAlign w:val="superscript"/>
              </w:rPr>
              <w:t>(9)</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20,882</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2,175</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2,951</w:t>
            </w:r>
          </w:p>
        </w:tc>
        <w:tc>
          <w:tcPr>
            <w:tcW w:w="0" w:type="dxa"/>
            <w:vAlign w:val="bottom"/>
          </w:tcPr>
          <w:p>
            <w:pPr>
              <w:spacing w:after="0"/>
              <w:rPr>
                <w:sz w:val="1"/>
                <w:szCs w:val="1"/>
                <w:color w:val="auto"/>
              </w:rPr>
            </w:pPr>
          </w:p>
        </w:tc>
      </w:tr>
      <w:tr>
        <w:trPr>
          <w:trHeight w:val="121"/>
        </w:trPr>
        <w:tc>
          <w:tcPr>
            <w:tcW w:w="2900" w:type="dxa"/>
            <w:vAlign w:val="bottom"/>
            <w:shd w:val="clear" w:color="auto" w:fill="CCECFF"/>
          </w:tcPr>
          <w:p>
            <w:pPr>
              <w:spacing w:after="0"/>
              <w:rPr>
                <w:sz w:val="10"/>
                <w:szCs w:val="10"/>
                <w:color w:val="auto"/>
              </w:rPr>
            </w:pP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Leisure, Amusement, Motion Pictures,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Five Star Parent Holdings, LLC</w:t>
            </w:r>
          </w:p>
        </w:tc>
        <w:tc>
          <w:tcPr>
            <w:tcW w:w="920" w:type="dxa"/>
            <w:vAlign w:val="bottom"/>
            <w:shd w:val="clear" w:color="auto" w:fill="CCECFF"/>
          </w:tcPr>
          <w:p>
            <w:pPr>
              <w:spacing w:after="0"/>
              <w:rPr>
                <w:sz w:val="10"/>
                <w:szCs w:val="10"/>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96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655,714</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656</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800</w:t>
            </w:r>
          </w:p>
        </w:tc>
        <w:tc>
          <w:tcPr>
            <w:tcW w:w="0" w:type="dxa"/>
            <w:vAlign w:val="bottom"/>
          </w:tcPr>
          <w:p>
            <w:pPr>
              <w:spacing w:after="0"/>
              <w:rPr>
                <w:sz w:val="1"/>
                <w:szCs w:val="1"/>
                <w:color w:val="auto"/>
              </w:rPr>
            </w:pPr>
          </w:p>
        </w:tc>
      </w:tr>
      <w:tr>
        <w:trPr>
          <w:trHeight w:val="12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Gauge ETE Blocker, LLC - Common Equity</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374,444</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374</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371</w:t>
            </w:r>
          </w:p>
        </w:tc>
        <w:tc>
          <w:tcPr>
            <w:tcW w:w="0" w:type="dxa"/>
            <w:vAlign w:val="bottom"/>
          </w:tcPr>
          <w:p>
            <w:pPr>
              <w:spacing w:after="0"/>
              <w:rPr>
                <w:sz w:val="1"/>
                <w:szCs w:val="1"/>
                <w:color w:val="auto"/>
              </w:rPr>
            </w:pPr>
          </w:p>
        </w:tc>
      </w:tr>
      <w:tr>
        <w:trPr>
          <w:trHeight w:val="120"/>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Gauge Lash Coinvest LLC</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889,376</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136</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4,076</w:t>
            </w:r>
          </w:p>
        </w:tc>
        <w:tc>
          <w:tcPr>
            <w:tcW w:w="0" w:type="dxa"/>
            <w:vAlign w:val="bottom"/>
          </w:tcPr>
          <w:p>
            <w:pPr>
              <w:spacing w:after="0"/>
              <w:rPr>
                <w:sz w:val="1"/>
                <w:szCs w:val="1"/>
                <w:color w:val="auto"/>
              </w:rPr>
            </w:pPr>
          </w:p>
        </w:tc>
      </w:tr>
      <w:tr>
        <w:trPr>
          <w:trHeight w:val="12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Gauge Loving Tan, LP - Common Equity</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462,827</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463</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389</w:t>
            </w:r>
          </w:p>
        </w:tc>
        <w:tc>
          <w:tcPr>
            <w:tcW w:w="0" w:type="dxa"/>
            <w:vAlign w:val="bottom"/>
          </w:tcPr>
          <w:p>
            <w:pPr>
              <w:spacing w:after="0"/>
              <w:rPr>
                <w:sz w:val="1"/>
                <w:szCs w:val="1"/>
                <w:color w:val="auto"/>
              </w:rPr>
            </w:pPr>
          </w:p>
        </w:tc>
      </w:tr>
      <w:tr>
        <w:trPr>
          <w:trHeight w:val="120"/>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Gauge Schlesinger Coinvest, LLC</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12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Gauge TVC Coinvest, LLC</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810,645</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2,390</w:t>
            </w:r>
          </w:p>
        </w:tc>
        <w:tc>
          <w:tcPr>
            <w:tcW w:w="0" w:type="dxa"/>
            <w:vAlign w:val="bottom"/>
          </w:tcPr>
          <w:p>
            <w:pPr>
              <w:spacing w:after="0"/>
              <w:rPr>
                <w:sz w:val="1"/>
                <w:szCs w:val="1"/>
                <w:color w:val="auto"/>
              </w:rPr>
            </w:pPr>
          </w:p>
        </w:tc>
      </w:tr>
      <w:tr>
        <w:trPr>
          <w:trHeight w:val="120"/>
        </w:trPr>
        <w:tc>
          <w:tcPr>
            <w:tcW w:w="29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(TVC Enterprises, LLC)</w:t>
            </w:r>
          </w:p>
        </w:tc>
        <w:tc>
          <w:tcPr>
            <w:tcW w:w="920" w:type="dxa"/>
            <w:vAlign w:val="bottom"/>
            <w:shd w:val="clear" w:color="auto" w:fill="CCECFF"/>
          </w:tcPr>
          <w:p>
            <w:pPr>
              <w:spacing w:after="0"/>
              <w:rPr>
                <w:sz w:val="10"/>
                <w:szCs w:val="10"/>
                <w:color w:val="auto"/>
              </w:rPr>
            </w:pPr>
          </w:p>
        </w:tc>
        <w:tc>
          <w:tcPr>
            <w:tcW w:w="20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5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Maturity /</w:t>
            </w:r>
          </w:p>
        </w:tc>
        <w:tc>
          <w:tcPr>
            <w:tcW w:w="2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900" w:type="dxa"/>
            <w:vAlign w:val="bottom"/>
            <w:vMerge w:val="restart"/>
          </w:tcPr>
          <w:p>
            <w:pPr>
              <w:ind w:left="200"/>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7"/>
              </w:rPr>
              <w:t>Basis Point</w:t>
            </w:r>
          </w:p>
        </w:tc>
        <w:tc>
          <w:tcPr>
            <w:tcW w:w="880" w:type="dxa"/>
            <w:vAlign w:val="bottom"/>
            <w:vMerge w:val="restart"/>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5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4"/>
              </w:rPr>
              <w:t>Spread Above</w:t>
            </w:r>
          </w:p>
        </w:tc>
        <w:tc>
          <w:tcPr>
            <w:tcW w:w="8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260" w:type="dxa"/>
            <w:vAlign w:val="bottom"/>
          </w:tcPr>
          <w:p>
            <w:pPr>
              <w:spacing w:after="0"/>
              <w:rPr>
                <w:sz w:val="10"/>
                <w:szCs w:val="1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Industry</w:t>
            </w:r>
          </w:p>
        </w:tc>
        <w:tc>
          <w:tcPr>
            <w:tcW w:w="90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60" w:type="dxa"/>
            <w:vAlign w:val="bottom"/>
          </w:tcPr>
          <w:p>
            <w:pPr>
              <w:jc w:val="center"/>
              <w:ind w:right="112"/>
              <w:spacing w:after="0" w:line="122" w:lineRule="exact"/>
              <w:rPr>
                <w:sz w:val="20"/>
                <w:szCs w:val="20"/>
                <w:color w:val="auto"/>
              </w:rPr>
            </w:pPr>
            <w:r>
              <w:rPr>
                <w:rFonts w:ascii="Times New Roman" w:cs="Times New Roman" w:eastAsia="Times New Roman" w:hAnsi="Times New Roman"/>
                <w:sz w:val="10"/>
                <w:szCs w:val="10"/>
                <w:color w:val="auto"/>
                <w:w w:val="86"/>
              </w:rPr>
              <w:t xml:space="preserve">Index </w:t>
            </w:r>
            <w:r>
              <w:rPr>
                <w:rFonts w:ascii="Times New Roman" w:cs="Times New Roman" w:eastAsia="Times New Roman" w:hAnsi="Times New Roman"/>
                <w:sz w:val="12"/>
                <w:szCs w:val="12"/>
                <w:color w:val="auto"/>
                <w:w w:val="86"/>
                <w:vertAlign w:val="superscript"/>
              </w:rPr>
              <w:t>(4)</w:t>
            </w: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60" w:type="dxa"/>
            <w:vAlign w:val="bottom"/>
          </w:tcPr>
          <w:p>
            <w:pPr>
              <w:spacing w:after="0"/>
              <w:rPr>
                <w:sz w:val="10"/>
                <w:szCs w:val="10"/>
                <w:color w:val="auto"/>
              </w:rPr>
            </w:pPr>
          </w:p>
        </w:tc>
        <w:tc>
          <w:tcPr>
            <w:tcW w:w="68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0"/>
                <w:szCs w:val="10"/>
                <w:color w:val="auto"/>
              </w:rPr>
            </w:pPr>
          </w:p>
        </w:tc>
        <w:tc>
          <w:tcPr>
            <w:tcW w:w="760" w:type="dxa"/>
            <w:vAlign w:val="bottom"/>
          </w:tcPr>
          <w:p>
            <w:pPr>
              <w:jc w:val="right"/>
              <w:ind w:right="15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(3)</w:t>
            </w:r>
          </w:p>
        </w:tc>
        <w:tc>
          <w:tcPr>
            <w:tcW w:w="0" w:type="dxa"/>
            <w:vAlign w:val="bottom"/>
          </w:tcPr>
          <w:p>
            <w:pPr>
              <w:spacing w:after="0"/>
              <w:rPr>
                <w:sz w:val="1"/>
                <w:szCs w:val="1"/>
                <w:color w:val="auto"/>
              </w:rPr>
            </w:pPr>
          </w:p>
        </w:tc>
      </w:tr>
      <w:tr>
        <w:trPr>
          <w:trHeight w:val="120"/>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GCOM InvestCo LP</w:t>
            </w:r>
          </w:p>
        </w:tc>
        <w:tc>
          <w:tcPr>
            <w:tcW w:w="104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2,434</w:t>
            </w:r>
          </w:p>
        </w:tc>
        <w:tc>
          <w:tcPr>
            <w:tcW w:w="2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1,003</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401</w:t>
            </w:r>
          </w:p>
        </w:tc>
        <w:tc>
          <w:tcPr>
            <w:tcW w:w="0" w:type="dxa"/>
            <w:vAlign w:val="bottom"/>
          </w:tcPr>
          <w:p>
            <w:pPr>
              <w:spacing w:after="0"/>
              <w:rPr>
                <w:sz w:val="1"/>
                <w:szCs w:val="1"/>
                <w:color w:val="auto"/>
              </w:rPr>
            </w:pPr>
          </w:p>
        </w:tc>
      </w:tr>
      <w:tr>
        <w:trPr>
          <w:trHeight w:val="12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Go Dawgs Capital III, LP</w:t>
            </w:r>
          </w:p>
        </w:tc>
        <w:tc>
          <w:tcPr>
            <w:tcW w:w="104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675,325</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675</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1,479</w:t>
            </w:r>
          </w:p>
        </w:tc>
        <w:tc>
          <w:tcPr>
            <w:tcW w:w="0" w:type="dxa"/>
            <w:vAlign w:val="bottom"/>
          </w:tcPr>
          <w:p>
            <w:pPr>
              <w:spacing w:after="0"/>
              <w:rPr>
                <w:sz w:val="1"/>
                <w:szCs w:val="1"/>
                <w:color w:val="auto"/>
              </w:rPr>
            </w:pPr>
          </w:p>
        </w:tc>
      </w:tr>
      <w:tr>
        <w:trPr>
          <w:trHeight w:val="120"/>
        </w:trPr>
        <w:tc>
          <w:tcPr>
            <w:tcW w:w="2520" w:type="dxa"/>
            <w:vAlign w:val="bottom"/>
            <w:shd w:val="clear" w:color="auto" w:fill="CCECFF"/>
          </w:tcPr>
          <w:p>
            <w:pPr>
              <w:ind w:left="80"/>
              <w:spacing w:after="0" w:line="120" w:lineRule="exact"/>
              <w:rPr>
                <w:sz w:val="20"/>
                <w:szCs w:val="20"/>
                <w:color w:val="auto"/>
              </w:rPr>
            </w:pPr>
            <w:r>
              <w:rPr>
                <w:rFonts w:ascii="Times New Roman" w:cs="Times New Roman" w:eastAsia="Times New Roman" w:hAnsi="Times New Roman"/>
                <w:sz w:val="10"/>
                <w:szCs w:val="10"/>
                <w:color w:val="auto"/>
              </w:rPr>
              <w:t xml:space="preserve">(American Insulated Glass, LLC) </w:t>
            </w:r>
            <w:r>
              <w:rPr>
                <w:rFonts w:ascii="Times New Roman" w:cs="Times New Roman" w:eastAsia="Times New Roman" w:hAnsi="Times New Roman"/>
                <w:sz w:val="12"/>
                <w:szCs w:val="12"/>
                <w:color w:val="auto"/>
                <w:vertAlign w:val="superscript"/>
              </w:rPr>
              <w:t>(9)</w:t>
            </w:r>
          </w:p>
        </w:tc>
        <w:tc>
          <w:tcPr>
            <w:tcW w:w="104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202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Hancock Claims Consultants Investors, LLC </w:t>
            </w:r>
            <w:r>
              <w:rPr>
                <w:rFonts w:ascii="Times New Roman" w:cs="Times New Roman" w:eastAsia="Times New Roman" w:hAnsi="Times New Roman"/>
                <w:sz w:val="12"/>
                <w:szCs w:val="12"/>
                <w:color w:val="auto"/>
                <w:vertAlign w:val="superscript"/>
              </w:rPr>
              <w:t>(9)</w:t>
            </w:r>
          </w:p>
        </w:tc>
        <w:tc>
          <w:tcPr>
            <w:tcW w:w="104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450,000</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450</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338</w:t>
            </w:r>
          </w:p>
        </w:tc>
        <w:tc>
          <w:tcPr>
            <w:tcW w:w="0" w:type="dxa"/>
            <w:vAlign w:val="bottom"/>
          </w:tcPr>
          <w:p>
            <w:pPr>
              <w:spacing w:after="0"/>
              <w:rPr>
                <w:sz w:val="1"/>
                <w:szCs w:val="1"/>
                <w:color w:val="auto"/>
              </w:rPr>
            </w:pPr>
          </w:p>
        </w:tc>
      </w:tr>
      <w:tr>
        <w:trPr>
          <w:trHeight w:val="120"/>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HPA SPQ Aggregator LP- Common Equity</w:t>
            </w:r>
          </w:p>
        </w:tc>
        <w:tc>
          <w:tcPr>
            <w:tcW w:w="104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750,399</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750</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751</w:t>
            </w:r>
          </w:p>
        </w:tc>
        <w:tc>
          <w:tcPr>
            <w:tcW w:w="0" w:type="dxa"/>
            <w:vAlign w:val="bottom"/>
          </w:tcPr>
          <w:p>
            <w:pPr>
              <w:spacing w:after="0"/>
              <w:rPr>
                <w:sz w:val="1"/>
                <w:szCs w:val="1"/>
                <w:color w:val="auto"/>
              </w:rPr>
            </w:pPr>
          </w:p>
        </w:tc>
      </w:tr>
      <w:tr>
        <w:trPr>
          <w:trHeight w:val="12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104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1,600,000</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1,600</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1,778</w:t>
            </w:r>
          </w:p>
        </w:tc>
        <w:tc>
          <w:tcPr>
            <w:tcW w:w="0" w:type="dxa"/>
            <w:vAlign w:val="bottom"/>
          </w:tcPr>
          <w:p>
            <w:pPr>
              <w:spacing w:after="0"/>
              <w:rPr>
                <w:sz w:val="1"/>
                <w:szCs w:val="1"/>
                <w:color w:val="auto"/>
              </w:rPr>
            </w:pPr>
          </w:p>
        </w:tc>
      </w:tr>
      <w:tr>
        <w:trPr>
          <w:trHeight w:val="120"/>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Icon Partners V C, L.P.</w:t>
            </w:r>
          </w:p>
        </w:tc>
        <w:tc>
          <w:tcPr>
            <w:tcW w:w="104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1,118,318</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1,118</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1,002</w:t>
            </w:r>
          </w:p>
        </w:tc>
        <w:tc>
          <w:tcPr>
            <w:tcW w:w="0" w:type="dxa"/>
            <w:vAlign w:val="bottom"/>
          </w:tcPr>
          <w:p>
            <w:pPr>
              <w:spacing w:after="0"/>
              <w:rPr>
                <w:sz w:val="1"/>
                <w:szCs w:val="1"/>
                <w:color w:val="auto"/>
              </w:rPr>
            </w:pPr>
          </w:p>
        </w:tc>
      </w:tr>
      <w:tr>
        <w:trPr>
          <w:trHeight w:val="120"/>
        </w:trPr>
        <w:tc>
          <w:tcPr>
            <w:tcW w:w="2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Icon Partners V C, L.P. </w:t>
            </w:r>
            <w:r>
              <w:rPr>
                <w:rFonts w:ascii="Times New Roman" w:cs="Times New Roman" w:eastAsia="Times New Roman" w:hAnsi="Times New Roman"/>
                <w:sz w:val="12"/>
                <w:szCs w:val="12"/>
                <w:color w:val="auto"/>
                <w:vertAlign w:val="superscript"/>
              </w:rPr>
              <w:t>(7)</w:t>
            </w:r>
          </w:p>
        </w:tc>
        <w:tc>
          <w:tcPr>
            <w:tcW w:w="104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381,682</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(40 )</w:t>
            </w:r>
          </w:p>
        </w:tc>
        <w:tc>
          <w:tcPr>
            <w:tcW w:w="0" w:type="dxa"/>
            <w:vAlign w:val="bottom"/>
          </w:tcPr>
          <w:p>
            <w:pPr>
              <w:spacing w:after="0"/>
              <w:rPr>
                <w:sz w:val="1"/>
                <w:szCs w:val="1"/>
                <w:color w:val="auto"/>
              </w:rPr>
            </w:pPr>
          </w:p>
        </w:tc>
      </w:tr>
      <w:tr>
        <w:trPr>
          <w:trHeight w:val="120"/>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IHS Parent Holdngs, L.P.</w:t>
            </w:r>
          </w:p>
        </w:tc>
        <w:tc>
          <w:tcPr>
            <w:tcW w:w="104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0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1,218,045</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1,218</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1,642</w:t>
            </w:r>
          </w:p>
        </w:tc>
        <w:tc>
          <w:tcPr>
            <w:tcW w:w="0" w:type="dxa"/>
            <w:vAlign w:val="bottom"/>
          </w:tcPr>
          <w:p>
            <w:pPr>
              <w:spacing w:after="0"/>
              <w:rPr>
                <w:sz w:val="1"/>
                <w:szCs w:val="1"/>
                <w:color w:val="auto"/>
              </w:rPr>
            </w:pPr>
          </w:p>
        </w:tc>
      </w:tr>
      <w:tr>
        <w:trPr>
          <w:trHeight w:val="12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Imagine Topco, LP</w:t>
            </w:r>
          </w:p>
        </w:tc>
        <w:tc>
          <w:tcPr>
            <w:tcW w:w="104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743,826</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Infogroup Parent Holdings, Inc.</w:t>
            </w:r>
          </w:p>
        </w:tc>
        <w:tc>
          <w:tcPr>
            <w:tcW w:w="104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Other Media</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181,495</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2,040</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2,327</w:t>
            </w:r>
          </w:p>
        </w:tc>
        <w:tc>
          <w:tcPr>
            <w:tcW w:w="0" w:type="dxa"/>
            <w:vAlign w:val="bottom"/>
          </w:tcPr>
          <w:p>
            <w:pPr>
              <w:spacing w:after="0"/>
              <w:rPr>
                <w:sz w:val="1"/>
                <w:szCs w:val="1"/>
                <w:color w:val="auto"/>
              </w:rPr>
            </w:pPr>
          </w:p>
        </w:tc>
      </w:tr>
      <w:tr>
        <w:trPr>
          <w:trHeight w:val="120"/>
        </w:trPr>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(Data Axle, Inc.)</w:t>
            </w: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Ironclad Holdco, LLC</w:t>
            </w:r>
          </w:p>
        </w:tc>
        <w:tc>
          <w:tcPr>
            <w:tcW w:w="104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4,566</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450</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663</w:t>
            </w:r>
          </w:p>
        </w:tc>
        <w:tc>
          <w:tcPr>
            <w:tcW w:w="0" w:type="dxa"/>
            <w:vAlign w:val="bottom"/>
          </w:tcPr>
          <w:p>
            <w:pPr>
              <w:spacing w:after="0"/>
              <w:rPr>
                <w:sz w:val="1"/>
                <w:szCs w:val="1"/>
                <w:color w:val="auto"/>
              </w:rPr>
            </w:pPr>
          </w:p>
        </w:tc>
      </w:tr>
      <w:tr>
        <w:trPr>
          <w:trHeight w:val="120"/>
        </w:trPr>
        <w:tc>
          <w:tcPr>
            <w:tcW w:w="2520" w:type="dxa"/>
            <w:vAlign w:val="bottom"/>
          </w:tcPr>
          <w:p>
            <w:pPr>
              <w:ind w:left="80"/>
              <w:spacing w:after="0" w:line="120" w:lineRule="exact"/>
              <w:rPr>
                <w:sz w:val="20"/>
                <w:szCs w:val="20"/>
                <w:color w:val="auto"/>
              </w:rPr>
            </w:pPr>
            <w:r>
              <w:rPr>
                <w:rFonts w:ascii="Times New Roman" w:cs="Times New Roman" w:eastAsia="Times New Roman" w:hAnsi="Times New Roman"/>
                <w:sz w:val="10"/>
                <w:szCs w:val="10"/>
                <w:color w:val="auto"/>
              </w:rPr>
              <w:t xml:space="preserve">(Applied Technical Services, LLC) </w:t>
            </w:r>
            <w:r>
              <w:rPr>
                <w:rFonts w:ascii="Times New Roman" w:cs="Times New Roman" w:eastAsia="Times New Roman" w:hAnsi="Times New Roman"/>
                <w:sz w:val="12"/>
                <w:szCs w:val="12"/>
                <w:color w:val="auto"/>
                <w:vertAlign w:val="superscript"/>
              </w:rPr>
              <w:t>(9)</w:t>
            </w: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ITC Infusion Co-invest, LP</w:t>
            </w:r>
            <w:r>
              <w:rPr>
                <w:rFonts w:ascii="Times New Roman" w:cs="Times New Roman" w:eastAsia="Times New Roman" w:hAnsi="Times New Roman"/>
                <w:sz w:val="12"/>
                <w:szCs w:val="12"/>
                <w:color w:val="auto"/>
                <w:vertAlign w:val="superscript"/>
              </w:rPr>
              <w:t>(9)</w:t>
            </w:r>
          </w:p>
        </w:tc>
        <w:tc>
          <w:tcPr>
            <w:tcW w:w="104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162,445</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1,624</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1,775</w:t>
            </w:r>
          </w:p>
        </w:tc>
        <w:tc>
          <w:tcPr>
            <w:tcW w:w="0" w:type="dxa"/>
            <w:vAlign w:val="bottom"/>
          </w:tcPr>
          <w:p>
            <w:pPr>
              <w:spacing w:after="0"/>
              <w:rPr>
                <w:sz w:val="1"/>
                <w:szCs w:val="1"/>
                <w:color w:val="auto"/>
              </w:rPr>
            </w:pPr>
          </w:p>
        </w:tc>
      </w:tr>
      <w:tr>
        <w:trPr>
          <w:trHeight w:val="12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ITC Rumba, LLC</w:t>
            </w:r>
          </w:p>
        </w:tc>
        <w:tc>
          <w:tcPr>
            <w:tcW w:w="104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375,675</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1,158</w:t>
            </w:r>
          </w:p>
        </w:tc>
        <w:tc>
          <w:tcPr>
            <w:tcW w:w="0" w:type="dxa"/>
            <w:vAlign w:val="bottom"/>
          </w:tcPr>
          <w:p>
            <w:pPr>
              <w:spacing w:after="0"/>
              <w:rPr>
                <w:sz w:val="1"/>
                <w:szCs w:val="1"/>
                <w:color w:val="auto"/>
              </w:rPr>
            </w:pPr>
          </w:p>
        </w:tc>
      </w:tr>
      <w:tr>
        <w:trPr>
          <w:trHeight w:val="120"/>
        </w:trPr>
        <w:tc>
          <w:tcPr>
            <w:tcW w:w="2520" w:type="dxa"/>
            <w:vAlign w:val="bottom"/>
            <w:shd w:val="clear" w:color="auto" w:fill="CCECFF"/>
          </w:tcPr>
          <w:p>
            <w:pPr>
              <w:ind w:left="80"/>
              <w:spacing w:after="0" w:line="120" w:lineRule="exact"/>
              <w:rPr>
                <w:sz w:val="20"/>
                <w:szCs w:val="20"/>
                <w:color w:val="auto"/>
              </w:rPr>
            </w:pPr>
            <w:r>
              <w:rPr>
                <w:rFonts w:ascii="Times New Roman" w:cs="Times New Roman" w:eastAsia="Times New Roman" w:hAnsi="Times New Roman"/>
                <w:sz w:val="10"/>
                <w:szCs w:val="10"/>
                <w:color w:val="auto"/>
              </w:rPr>
              <w:t xml:space="preserve">(Cano Health, LLC) </w:t>
            </w:r>
            <w:r>
              <w:rPr>
                <w:rFonts w:ascii="Times New Roman" w:cs="Times New Roman" w:eastAsia="Times New Roman" w:hAnsi="Times New Roman"/>
                <w:sz w:val="12"/>
                <w:szCs w:val="12"/>
                <w:color w:val="auto"/>
                <w:vertAlign w:val="superscript"/>
              </w:rPr>
              <w:t>(9)</w:t>
            </w:r>
          </w:p>
        </w:tc>
        <w:tc>
          <w:tcPr>
            <w:tcW w:w="104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202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Kentucky Racing Holdco, LLC (Warrants)</w:t>
            </w:r>
            <w:r>
              <w:rPr>
                <w:rFonts w:ascii="Times New Roman" w:cs="Times New Roman" w:eastAsia="Times New Roman" w:hAnsi="Times New Roman"/>
                <w:sz w:val="12"/>
                <w:szCs w:val="12"/>
                <w:color w:val="auto"/>
                <w:vertAlign w:val="superscript"/>
              </w:rPr>
              <w:t>(9)</w:t>
            </w:r>
          </w:p>
        </w:tc>
        <w:tc>
          <w:tcPr>
            <w:tcW w:w="104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Hotels, Motels, Inns and Gaming</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161,252</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1,630</w:t>
            </w:r>
          </w:p>
        </w:tc>
        <w:tc>
          <w:tcPr>
            <w:tcW w:w="0" w:type="dxa"/>
            <w:vAlign w:val="bottom"/>
          </w:tcPr>
          <w:p>
            <w:pPr>
              <w:spacing w:after="0"/>
              <w:rPr>
                <w:sz w:val="1"/>
                <w:szCs w:val="1"/>
                <w:color w:val="auto"/>
              </w:rPr>
            </w:pPr>
          </w:p>
        </w:tc>
      </w:tr>
      <w:tr>
        <w:trPr>
          <w:trHeight w:val="120"/>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104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1,308,814</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1,309</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1,892</w:t>
            </w:r>
          </w:p>
        </w:tc>
        <w:tc>
          <w:tcPr>
            <w:tcW w:w="0" w:type="dxa"/>
            <w:vAlign w:val="bottom"/>
          </w:tcPr>
          <w:p>
            <w:pPr>
              <w:spacing w:after="0"/>
              <w:rPr>
                <w:sz w:val="1"/>
                <w:szCs w:val="1"/>
                <w:color w:val="auto"/>
              </w:rPr>
            </w:pPr>
          </w:p>
        </w:tc>
      </w:tr>
      <w:tr>
        <w:trPr>
          <w:trHeight w:val="12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KL Stockton Co-Invest LP</w:t>
            </w:r>
          </w:p>
        </w:tc>
        <w:tc>
          <w:tcPr>
            <w:tcW w:w="104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382,353</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382</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775</w:t>
            </w:r>
          </w:p>
        </w:tc>
        <w:tc>
          <w:tcPr>
            <w:tcW w:w="0" w:type="dxa"/>
            <w:vAlign w:val="bottom"/>
          </w:tcPr>
          <w:p>
            <w:pPr>
              <w:spacing w:after="0"/>
              <w:rPr>
                <w:sz w:val="1"/>
                <w:szCs w:val="1"/>
                <w:color w:val="auto"/>
              </w:rPr>
            </w:pPr>
          </w:p>
        </w:tc>
      </w:tr>
      <w:tr>
        <w:trPr>
          <w:trHeight w:val="120"/>
        </w:trPr>
        <w:tc>
          <w:tcPr>
            <w:tcW w:w="2520" w:type="dxa"/>
            <w:vAlign w:val="bottom"/>
            <w:shd w:val="clear" w:color="auto" w:fill="CCECFF"/>
          </w:tcPr>
          <w:p>
            <w:pPr>
              <w:ind w:left="80"/>
              <w:spacing w:after="0" w:line="120" w:lineRule="exact"/>
              <w:rPr>
                <w:sz w:val="20"/>
                <w:szCs w:val="20"/>
                <w:color w:val="auto"/>
              </w:rPr>
            </w:pPr>
            <w:r>
              <w:rPr>
                <w:rFonts w:ascii="Times New Roman" w:cs="Times New Roman" w:eastAsia="Times New Roman" w:hAnsi="Times New Roman"/>
                <w:sz w:val="10"/>
                <w:szCs w:val="10"/>
                <w:color w:val="auto"/>
              </w:rPr>
              <w:t xml:space="preserve">(Any Hour Services) </w:t>
            </w:r>
            <w:r>
              <w:rPr>
                <w:rFonts w:ascii="Times New Roman" w:cs="Times New Roman" w:eastAsia="Times New Roman" w:hAnsi="Times New Roman"/>
                <w:sz w:val="12"/>
                <w:szCs w:val="12"/>
                <w:color w:val="auto"/>
                <w:vertAlign w:val="superscript"/>
              </w:rPr>
              <w:t>(9)</w:t>
            </w:r>
          </w:p>
        </w:tc>
        <w:tc>
          <w:tcPr>
            <w:tcW w:w="104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202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Lariat ecoserv Co-Invest Holdings, LLC </w:t>
            </w:r>
            <w:r>
              <w:rPr>
                <w:rFonts w:ascii="Times New Roman" w:cs="Times New Roman" w:eastAsia="Times New Roman" w:hAnsi="Times New Roman"/>
                <w:sz w:val="12"/>
                <w:szCs w:val="12"/>
                <w:color w:val="auto"/>
                <w:vertAlign w:val="superscript"/>
              </w:rPr>
              <w:t>(9)</w:t>
            </w:r>
          </w:p>
        </w:tc>
        <w:tc>
          <w:tcPr>
            <w:tcW w:w="104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363,656</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w:t>
            </w:r>
          </w:p>
        </w:tc>
        <w:tc>
          <w:tcPr>
            <w:tcW w:w="0" w:type="dxa"/>
            <w:vAlign w:val="bottom"/>
          </w:tcPr>
          <w:p>
            <w:pPr>
              <w:spacing w:after="0"/>
              <w:rPr>
                <w:sz w:val="1"/>
                <w:szCs w:val="1"/>
                <w:color w:val="auto"/>
              </w:rPr>
            </w:pPr>
          </w:p>
        </w:tc>
      </w:tr>
      <w:tr>
        <w:trPr>
          <w:trHeight w:val="120"/>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LEP Pequod Holdings, LP</w:t>
            </w:r>
          </w:p>
        </w:tc>
        <w:tc>
          <w:tcPr>
            <w:tcW w:w="104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350</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865</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1,006</w:t>
            </w:r>
          </w:p>
        </w:tc>
        <w:tc>
          <w:tcPr>
            <w:tcW w:w="0" w:type="dxa"/>
            <w:vAlign w:val="bottom"/>
          </w:tcPr>
          <w:p>
            <w:pPr>
              <w:spacing w:after="0"/>
              <w:rPr>
                <w:sz w:val="1"/>
                <w:szCs w:val="1"/>
                <w:color w:val="auto"/>
              </w:rPr>
            </w:pPr>
          </w:p>
        </w:tc>
      </w:tr>
      <w:tr>
        <w:trPr>
          <w:trHeight w:val="12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Lightspeed Investment Holdco LLC</w:t>
            </w:r>
          </w:p>
        </w:tc>
        <w:tc>
          <w:tcPr>
            <w:tcW w:w="104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273,143</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273</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741</w:t>
            </w:r>
          </w:p>
        </w:tc>
        <w:tc>
          <w:tcPr>
            <w:tcW w:w="0" w:type="dxa"/>
            <w:vAlign w:val="bottom"/>
          </w:tcPr>
          <w:p>
            <w:pPr>
              <w:spacing w:after="0"/>
              <w:rPr>
                <w:sz w:val="1"/>
                <w:szCs w:val="1"/>
                <w:color w:val="auto"/>
              </w:rPr>
            </w:pPr>
          </w:p>
        </w:tc>
      </w:tr>
      <w:tr>
        <w:trPr>
          <w:trHeight w:val="120"/>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LP</w:t>
            </w:r>
          </w:p>
        </w:tc>
        <w:tc>
          <w:tcPr>
            <w:tcW w:w="104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851,087</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851</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902</w:t>
            </w:r>
          </w:p>
        </w:tc>
        <w:tc>
          <w:tcPr>
            <w:tcW w:w="0" w:type="dxa"/>
            <w:vAlign w:val="bottom"/>
          </w:tcPr>
          <w:p>
            <w:pPr>
              <w:spacing w:after="0"/>
              <w:rPr>
                <w:sz w:val="1"/>
                <w:szCs w:val="1"/>
                <w:color w:val="auto"/>
              </w:rPr>
            </w:pPr>
          </w:p>
        </w:tc>
      </w:tr>
      <w:tr>
        <w:trPr>
          <w:trHeight w:val="12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Lorient Peregrine Investments, LP</w:t>
            </w:r>
          </w:p>
        </w:tc>
        <w:tc>
          <w:tcPr>
            <w:tcW w:w="104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335,590</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4,530</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4,452</w:t>
            </w:r>
          </w:p>
        </w:tc>
        <w:tc>
          <w:tcPr>
            <w:tcW w:w="0" w:type="dxa"/>
            <w:vAlign w:val="bottom"/>
          </w:tcPr>
          <w:p>
            <w:pPr>
              <w:spacing w:after="0"/>
              <w:rPr>
                <w:sz w:val="1"/>
                <w:szCs w:val="1"/>
                <w:color w:val="auto"/>
              </w:rPr>
            </w:pPr>
          </w:p>
        </w:tc>
      </w:tr>
      <w:tr>
        <w:trPr>
          <w:trHeight w:val="120"/>
        </w:trPr>
        <w:tc>
          <w:tcPr>
            <w:tcW w:w="2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A Common Equity </w:t>
            </w:r>
            <w:r>
              <w:rPr>
                <w:rFonts w:ascii="Times New Roman" w:cs="Times New Roman" w:eastAsia="Times New Roman" w:hAnsi="Times New Roman"/>
                <w:sz w:val="12"/>
                <w:szCs w:val="12"/>
                <w:color w:val="auto"/>
                <w:vertAlign w:val="superscript"/>
              </w:rPr>
              <w:t>(9)</w:t>
            </w:r>
          </w:p>
        </w:tc>
        <w:tc>
          <w:tcPr>
            <w:tcW w:w="104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169,230</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B Common Equity </w:t>
            </w:r>
            <w:r>
              <w:rPr>
                <w:rFonts w:ascii="Times New Roman" w:cs="Times New Roman" w:eastAsia="Times New Roman" w:hAnsi="Times New Roman"/>
                <w:sz w:val="12"/>
                <w:szCs w:val="12"/>
                <w:color w:val="auto"/>
                <w:vertAlign w:val="superscript"/>
              </w:rPr>
              <w:t>(9)</w:t>
            </w:r>
          </w:p>
        </w:tc>
        <w:tc>
          <w:tcPr>
            <w:tcW w:w="104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929,200</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Mars Intermidiate Holdings II, Inc.</w:t>
            </w:r>
          </w:p>
        </w:tc>
        <w:tc>
          <w:tcPr>
            <w:tcW w:w="104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414</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232</w:t>
            </w:r>
          </w:p>
        </w:tc>
        <w:tc>
          <w:tcPr>
            <w:tcW w:w="0" w:type="dxa"/>
            <w:vAlign w:val="bottom"/>
          </w:tcPr>
          <w:p>
            <w:pPr>
              <w:spacing w:after="0"/>
              <w:rPr>
                <w:sz w:val="1"/>
                <w:szCs w:val="1"/>
                <w:color w:val="auto"/>
              </w:rPr>
            </w:pPr>
          </w:p>
        </w:tc>
      </w:tr>
      <w:tr>
        <w:trPr>
          <w:trHeight w:val="12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MDI Aggregator, LP</w:t>
            </w:r>
          </w:p>
        </w:tc>
        <w:tc>
          <w:tcPr>
            <w:tcW w:w="104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30,993</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3,103</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3,326</w:t>
            </w:r>
          </w:p>
        </w:tc>
        <w:tc>
          <w:tcPr>
            <w:tcW w:w="0" w:type="dxa"/>
            <w:vAlign w:val="bottom"/>
          </w:tcPr>
          <w:p>
            <w:pPr>
              <w:spacing w:after="0"/>
              <w:rPr>
                <w:sz w:val="1"/>
                <w:szCs w:val="1"/>
                <w:color w:val="auto"/>
              </w:rPr>
            </w:pPr>
          </w:p>
        </w:tc>
      </w:tr>
      <w:tr>
        <w:trPr>
          <w:trHeight w:val="120"/>
        </w:trPr>
        <w:tc>
          <w:tcPr>
            <w:tcW w:w="2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Meadowlark Title, LLC </w:t>
            </w:r>
            <w:r>
              <w:rPr>
                <w:rFonts w:ascii="Times New Roman" w:cs="Times New Roman" w:eastAsia="Times New Roman" w:hAnsi="Times New Roman"/>
                <w:sz w:val="12"/>
                <w:szCs w:val="12"/>
                <w:color w:val="auto"/>
                <w:vertAlign w:val="superscript"/>
              </w:rPr>
              <w:t>(9)</w:t>
            </w:r>
          </w:p>
        </w:tc>
        <w:tc>
          <w:tcPr>
            <w:tcW w:w="104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815,385</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802</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104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3,920,145</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3,984</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4,430</w:t>
            </w:r>
          </w:p>
        </w:tc>
        <w:tc>
          <w:tcPr>
            <w:tcW w:w="0" w:type="dxa"/>
            <w:vAlign w:val="bottom"/>
          </w:tcPr>
          <w:p>
            <w:pPr>
              <w:spacing w:after="0"/>
              <w:rPr>
                <w:sz w:val="1"/>
                <w:szCs w:val="1"/>
                <w:color w:val="auto"/>
              </w:rPr>
            </w:pPr>
          </w:p>
        </w:tc>
      </w:tr>
      <w:tr>
        <w:trPr>
          <w:trHeight w:val="120"/>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NEPRT Parent Holdings, LLC</w:t>
            </w:r>
          </w:p>
        </w:tc>
        <w:tc>
          <w:tcPr>
            <w:tcW w:w="104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1,299</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1,259</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w:t>
            </w:r>
          </w:p>
        </w:tc>
        <w:tc>
          <w:tcPr>
            <w:tcW w:w="0" w:type="dxa"/>
            <w:vAlign w:val="bottom"/>
          </w:tcPr>
          <w:p>
            <w:pPr>
              <w:spacing w:after="0"/>
              <w:rPr>
                <w:sz w:val="1"/>
                <w:szCs w:val="1"/>
                <w:color w:val="auto"/>
              </w:rPr>
            </w:pPr>
          </w:p>
        </w:tc>
      </w:tr>
      <w:tr>
        <w:trPr>
          <w:trHeight w:val="120"/>
        </w:trPr>
        <w:tc>
          <w:tcPr>
            <w:tcW w:w="2520" w:type="dxa"/>
            <w:vAlign w:val="bottom"/>
          </w:tcPr>
          <w:p>
            <w:pPr>
              <w:ind w:left="80"/>
              <w:spacing w:after="0" w:line="120" w:lineRule="exact"/>
              <w:rPr>
                <w:sz w:val="20"/>
                <w:szCs w:val="20"/>
                <w:color w:val="auto"/>
              </w:rPr>
            </w:pPr>
            <w:r>
              <w:rPr>
                <w:rFonts w:ascii="Times New Roman" w:cs="Times New Roman" w:eastAsia="Times New Roman" w:hAnsi="Times New Roman"/>
                <w:sz w:val="10"/>
                <w:szCs w:val="10"/>
                <w:color w:val="auto"/>
              </w:rPr>
              <w:t xml:space="preserve">(Recteq, LLC) </w:t>
            </w:r>
            <w:r>
              <w:rPr>
                <w:rFonts w:ascii="Times New Roman" w:cs="Times New Roman" w:eastAsia="Times New Roman" w:hAnsi="Times New Roman"/>
                <w:sz w:val="12"/>
                <w:szCs w:val="12"/>
                <w:color w:val="auto"/>
                <w:vertAlign w:val="superscript"/>
              </w:rPr>
              <w:t>(9)</w:t>
            </w: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NORA Parent Holdings, LLC</w:t>
            </w:r>
          </w:p>
        </w:tc>
        <w:tc>
          <w:tcPr>
            <w:tcW w:w="104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1,257</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1,257</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1,257</w:t>
            </w:r>
          </w:p>
        </w:tc>
        <w:tc>
          <w:tcPr>
            <w:tcW w:w="0" w:type="dxa"/>
            <w:vAlign w:val="bottom"/>
          </w:tcPr>
          <w:p>
            <w:pPr>
              <w:spacing w:after="0"/>
              <w:rPr>
                <w:sz w:val="1"/>
                <w:szCs w:val="1"/>
                <w:color w:val="auto"/>
              </w:rPr>
            </w:pPr>
          </w:p>
        </w:tc>
      </w:tr>
      <w:tr>
        <w:trPr>
          <w:trHeight w:val="120"/>
        </w:trPr>
        <w:tc>
          <w:tcPr>
            <w:tcW w:w="2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North Haven Saints Equity Holdings, LP</w:t>
            </w:r>
            <w:r>
              <w:rPr>
                <w:rFonts w:ascii="Times New Roman" w:cs="Times New Roman" w:eastAsia="Times New Roman" w:hAnsi="Times New Roman"/>
                <w:sz w:val="12"/>
                <w:szCs w:val="12"/>
                <w:color w:val="auto"/>
                <w:vertAlign w:val="superscript"/>
              </w:rPr>
              <w:t>(9)</w:t>
            </w:r>
          </w:p>
        </w:tc>
        <w:tc>
          <w:tcPr>
            <w:tcW w:w="104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351,553</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352</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351</w:t>
            </w:r>
          </w:p>
        </w:tc>
        <w:tc>
          <w:tcPr>
            <w:tcW w:w="0" w:type="dxa"/>
            <w:vAlign w:val="bottom"/>
          </w:tcPr>
          <w:p>
            <w:pPr>
              <w:spacing w:after="0"/>
              <w:rPr>
                <w:sz w:val="1"/>
                <w:szCs w:val="1"/>
                <w:color w:val="auto"/>
              </w:rPr>
            </w:pPr>
          </w:p>
        </w:tc>
      </w:tr>
      <w:tr>
        <w:trPr>
          <w:trHeight w:val="120"/>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NXOF Holdings, Inc.</w:t>
            </w:r>
          </w:p>
        </w:tc>
        <w:tc>
          <w:tcPr>
            <w:tcW w:w="104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3,261</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4"/>
        </w:trPr>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(Tyto Athene, LLC)</w:t>
            </w: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5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OceanSound Discovery Equity, LP</w:t>
            </w:r>
          </w:p>
        </w:tc>
        <w:tc>
          <w:tcPr>
            <w:tcW w:w="104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98,286</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913</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2,133</w:t>
            </w:r>
          </w:p>
        </w:tc>
        <w:tc>
          <w:tcPr>
            <w:tcW w:w="0" w:type="dxa"/>
            <w:vAlign w:val="bottom"/>
          </w:tcPr>
          <w:p>
            <w:pPr>
              <w:spacing w:after="0"/>
              <w:rPr>
                <w:sz w:val="1"/>
                <w:szCs w:val="1"/>
                <w:color w:val="auto"/>
              </w:rPr>
            </w:pPr>
          </w:p>
        </w:tc>
      </w:tr>
      <w:tr>
        <w:trPr>
          <w:trHeight w:val="120"/>
        </w:trPr>
        <w:tc>
          <w:tcPr>
            <w:tcW w:w="2520" w:type="dxa"/>
            <w:vAlign w:val="bottom"/>
          </w:tcPr>
          <w:p>
            <w:pPr>
              <w:ind w:left="80"/>
              <w:spacing w:after="0" w:line="120" w:lineRule="exact"/>
              <w:rPr>
                <w:sz w:val="20"/>
                <w:szCs w:val="20"/>
                <w:color w:val="auto"/>
              </w:rPr>
            </w:pPr>
            <w:r>
              <w:rPr>
                <w:rFonts w:ascii="Times New Roman" w:cs="Times New Roman" w:eastAsia="Times New Roman" w:hAnsi="Times New Roman"/>
                <w:sz w:val="10"/>
                <w:szCs w:val="10"/>
                <w:color w:val="auto"/>
              </w:rPr>
              <w:t xml:space="preserve">(Holdco Sands Intermediate, LLC) </w:t>
            </w:r>
            <w:r>
              <w:rPr>
                <w:rFonts w:ascii="Times New Roman" w:cs="Times New Roman" w:eastAsia="Times New Roman" w:hAnsi="Times New Roman"/>
                <w:sz w:val="12"/>
                <w:szCs w:val="12"/>
                <w:color w:val="auto"/>
                <w:vertAlign w:val="superscript"/>
              </w:rPr>
              <w:t>(9)</w:t>
            </w: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OHCP V BC COI, L.P.</w:t>
            </w:r>
          </w:p>
        </w:tc>
        <w:tc>
          <w:tcPr>
            <w:tcW w:w="104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446,250</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446</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390</w:t>
            </w:r>
          </w:p>
        </w:tc>
        <w:tc>
          <w:tcPr>
            <w:tcW w:w="0" w:type="dxa"/>
            <w:vAlign w:val="bottom"/>
          </w:tcPr>
          <w:p>
            <w:pPr>
              <w:spacing w:after="0"/>
              <w:rPr>
                <w:sz w:val="1"/>
                <w:szCs w:val="1"/>
                <w:color w:val="auto"/>
              </w:rPr>
            </w:pPr>
          </w:p>
        </w:tc>
      </w:tr>
      <w:tr>
        <w:trPr>
          <w:trHeight w:val="120"/>
        </w:trPr>
        <w:tc>
          <w:tcPr>
            <w:tcW w:w="2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OHCP V BC COI, L.P. </w:t>
            </w:r>
            <w:r>
              <w:rPr>
                <w:rFonts w:ascii="Times New Roman" w:cs="Times New Roman" w:eastAsia="Times New Roman" w:hAnsi="Times New Roman"/>
                <w:sz w:val="12"/>
                <w:szCs w:val="12"/>
                <w:color w:val="auto"/>
                <w:vertAlign w:val="superscript"/>
              </w:rPr>
              <w:t>(7)</w:t>
            </w:r>
          </w:p>
        </w:tc>
        <w:tc>
          <w:tcPr>
            <w:tcW w:w="104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303,750</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(38 )</w:t>
            </w:r>
          </w:p>
        </w:tc>
        <w:tc>
          <w:tcPr>
            <w:tcW w:w="0" w:type="dxa"/>
            <w:vAlign w:val="bottom"/>
          </w:tcPr>
          <w:p>
            <w:pPr>
              <w:spacing w:after="0"/>
              <w:rPr>
                <w:sz w:val="1"/>
                <w:szCs w:val="1"/>
                <w:color w:val="auto"/>
              </w:rPr>
            </w:pPr>
          </w:p>
        </w:tc>
      </w:tr>
      <w:tr>
        <w:trPr>
          <w:trHeight w:val="120"/>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ORL Holdco, Inc.</w:t>
            </w:r>
          </w:p>
        </w:tc>
        <w:tc>
          <w:tcPr>
            <w:tcW w:w="104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638</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PennantPark-TSO Senior Loan Fund II, LP </w:t>
            </w:r>
            <w:r>
              <w:rPr>
                <w:rFonts w:ascii="Times New Roman" w:cs="Times New Roman" w:eastAsia="Times New Roman" w:hAnsi="Times New Roman"/>
                <w:sz w:val="12"/>
                <w:szCs w:val="12"/>
                <w:color w:val="auto"/>
                <w:vertAlign w:val="superscript"/>
              </w:rPr>
              <w:t>(11)</w:t>
            </w:r>
          </w:p>
        </w:tc>
        <w:tc>
          <w:tcPr>
            <w:tcW w:w="104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12,269,640</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12,270</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12,485</w:t>
            </w:r>
          </w:p>
        </w:tc>
        <w:tc>
          <w:tcPr>
            <w:tcW w:w="0" w:type="dxa"/>
            <w:vAlign w:val="bottom"/>
          </w:tcPr>
          <w:p>
            <w:pPr>
              <w:spacing w:after="0"/>
              <w:rPr>
                <w:sz w:val="1"/>
                <w:szCs w:val="1"/>
                <w:color w:val="auto"/>
              </w:rPr>
            </w:pPr>
          </w:p>
        </w:tc>
      </w:tr>
      <w:tr>
        <w:trPr>
          <w:trHeight w:val="120"/>
        </w:trPr>
        <w:tc>
          <w:tcPr>
            <w:tcW w:w="2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Pink Lily Holdco, LLC </w:t>
            </w:r>
            <w:r>
              <w:rPr>
                <w:rFonts w:ascii="Times New Roman" w:cs="Times New Roman" w:eastAsia="Times New Roman" w:hAnsi="Times New Roman"/>
                <w:sz w:val="12"/>
                <w:szCs w:val="12"/>
                <w:color w:val="auto"/>
                <w:vertAlign w:val="superscript"/>
              </w:rPr>
              <w:t>(9)</w:t>
            </w:r>
          </w:p>
        </w:tc>
        <w:tc>
          <w:tcPr>
            <w:tcW w:w="104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1"/>
              </w:rPr>
              <w:t>Retail</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1,044</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1,044</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w:t>
            </w:r>
          </w:p>
        </w:tc>
        <w:tc>
          <w:tcPr>
            <w:tcW w:w="0" w:type="dxa"/>
            <w:vAlign w:val="bottom"/>
          </w:tcPr>
          <w:p>
            <w:pPr>
              <w:spacing w:after="0"/>
              <w:rPr>
                <w:sz w:val="1"/>
                <w:szCs w:val="1"/>
                <w:color w:val="auto"/>
              </w:rPr>
            </w:pPr>
          </w:p>
        </w:tc>
      </w:tr>
      <w:tr>
        <w:trPr>
          <w:trHeight w:val="12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Pragmatic Institute, LLC</w:t>
            </w:r>
          </w:p>
        </w:tc>
        <w:tc>
          <w:tcPr>
            <w:tcW w:w="104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1,918,047</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1,918</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747</w:t>
            </w:r>
          </w:p>
        </w:tc>
        <w:tc>
          <w:tcPr>
            <w:tcW w:w="0" w:type="dxa"/>
            <w:vAlign w:val="bottom"/>
          </w:tcPr>
          <w:p>
            <w:pPr>
              <w:spacing w:after="0"/>
              <w:rPr>
                <w:sz w:val="1"/>
                <w:szCs w:val="1"/>
                <w:color w:val="auto"/>
              </w:rPr>
            </w:pPr>
          </w:p>
        </w:tc>
      </w:tr>
      <w:tr>
        <w:trPr>
          <w:trHeight w:val="120"/>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Quad (U.S.) Co-Invest, L.P.</w:t>
            </w:r>
          </w:p>
        </w:tc>
        <w:tc>
          <w:tcPr>
            <w:tcW w:w="104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2,958,706</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2,959</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3,461</w:t>
            </w:r>
          </w:p>
        </w:tc>
        <w:tc>
          <w:tcPr>
            <w:tcW w:w="0" w:type="dxa"/>
            <w:vAlign w:val="bottom"/>
          </w:tcPr>
          <w:p>
            <w:pPr>
              <w:spacing w:after="0"/>
              <w:rPr>
                <w:sz w:val="1"/>
                <w:szCs w:val="1"/>
                <w:color w:val="auto"/>
              </w:rPr>
            </w:pPr>
          </w:p>
        </w:tc>
      </w:tr>
      <w:tr>
        <w:trPr>
          <w:trHeight w:val="120"/>
        </w:trPr>
        <w:tc>
          <w:tcPr>
            <w:tcW w:w="2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QuantiTech InvestCo LP </w:t>
            </w:r>
            <w:r>
              <w:rPr>
                <w:rFonts w:ascii="Times New Roman" w:cs="Times New Roman" w:eastAsia="Times New Roman" w:hAnsi="Times New Roman"/>
                <w:sz w:val="12"/>
                <w:szCs w:val="12"/>
                <w:color w:val="auto"/>
                <w:vertAlign w:val="superscript"/>
              </w:rPr>
              <w:t>(9)</w:t>
            </w:r>
          </w:p>
        </w:tc>
        <w:tc>
          <w:tcPr>
            <w:tcW w:w="104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712</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68</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446</w:t>
            </w:r>
          </w:p>
        </w:tc>
        <w:tc>
          <w:tcPr>
            <w:tcW w:w="0" w:type="dxa"/>
            <w:vAlign w:val="bottom"/>
          </w:tcPr>
          <w:p>
            <w:pPr>
              <w:spacing w:after="0"/>
              <w:rPr>
                <w:sz w:val="1"/>
                <w:szCs w:val="1"/>
                <w:color w:val="auto"/>
              </w:rPr>
            </w:pPr>
          </w:p>
        </w:tc>
      </w:tr>
      <w:tr>
        <w:trPr>
          <w:trHeight w:val="120"/>
        </w:trPr>
        <w:tc>
          <w:tcPr>
            <w:tcW w:w="2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QuantiTech InvestCo LP </w:t>
            </w:r>
            <w:r>
              <w:rPr>
                <w:rFonts w:ascii="Times New Roman" w:cs="Times New Roman" w:eastAsia="Times New Roman" w:hAnsi="Times New Roman"/>
                <w:sz w:val="12"/>
                <w:szCs w:val="12"/>
                <w:color w:val="auto"/>
                <w:vertAlign w:val="superscript"/>
              </w:rPr>
              <w:t>(7),(9)</w:t>
            </w:r>
          </w:p>
        </w:tc>
        <w:tc>
          <w:tcPr>
            <w:tcW w:w="104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955</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QuantiTech InvestCo II LP </w:t>
            </w:r>
            <w:r>
              <w:rPr>
                <w:rFonts w:ascii="Times New Roman" w:cs="Times New Roman" w:eastAsia="Times New Roman" w:hAnsi="Times New Roman"/>
                <w:sz w:val="12"/>
                <w:szCs w:val="12"/>
                <w:color w:val="auto"/>
                <w:vertAlign w:val="superscript"/>
              </w:rPr>
              <w:t>(9)</w:t>
            </w:r>
          </w:p>
        </w:tc>
        <w:tc>
          <w:tcPr>
            <w:tcW w:w="104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40</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w:t>
            </w:r>
          </w:p>
        </w:tc>
        <w:tc>
          <w:tcPr>
            <w:tcW w:w="0" w:type="dxa"/>
            <w:vAlign w:val="bottom"/>
          </w:tcPr>
          <w:p>
            <w:pPr>
              <w:spacing w:after="0"/>
              <w:rPr>
                <w:sz w:val="1"/>
                <w:szCs w:val="1"/>
                <w:color w:val="auto"/>
              </w:rPr>
            </w:pPr>
          </w:p>
        </w:tc>
      </w:tr>
      <w:tr>
        <w:trPr>
          <w:trHeight w:val="120"/>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RFMG Parent, LP</w:t>
            </w:r>
          </w:p>
        </w:tc>
        <w:tc>
          <w:tcPr>
            <w:tcW w:w="104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1,050,000</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1,050</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1,052</w:t>
            </w:r>
          </w:p>
        </w:tc>
        <w:tc>
          <w:tcPr>
            <w:tcW w:w="0" w:type="dxa"/>
            <w:vAlign w:val="bottom"/>
          </w:tcPr>
          <w:p>
            <w:pPr>
              <w:spacing w:after="0"/>
              <w:rPr>
                <w:sz w:val="1"/>
                <w:szCs w:val="1"/>
                <w:color w:val="auto"/>
              </w:rPr>
            </w:pPr>
          </w:p>
        </w:tc>
      </w:tr>
      <w:tr>
        <w:trPr>
          <w:trHeight w:val="120"/>
        </w:trPr>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(Rancho Health MSO, Inc.)</w:t>
            </w: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SBI Holdings Investments LLC</w:t>
            </w:r>
          </w:p>
        </w:tc>
        <w:tc>
          <w:tcPr>
            <w:tcW w:w="104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36,585</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366</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291</w:t>
            </w:r>
          </w:p>
        </w:tc>
        <w:tc>
          <w:tcPr>
            <w:tcW w:w="0" w:type="dxa"/>
            <w:vAlign w:val="bottom"/>
          </w:tcPr>
          <w:p>
            <w:pPr>
              <w:spacing w:after="0"/>
              <w:rPr>
                <w:sz w:val="1"/>
                <w:szCs w:val="1"/>
                <w:color w:val="auto"/>
              </w:rPr>
            </w:pPr>
          </w:p>
        </w:tc>
      </w:tr>
      <w:tr>
        <w:trPr>
          <w:trHeight w:val="120"/>
        </w:trPr>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Topco, LP</w:t>
            </w:r>
          </w:p>
        </w:tc>
        <w:tc>
          <w:tcPr>
            <w:tcW w:w="104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2,981</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2,981</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2,372</w:t>
            </w:r>
          </w:p>
        </w:tc>
        <w:tc>
          <w:tcPr>
            <w:tcW w:w="0" w:type="dxa"/>
            <w:vAlign w:val="bottom"/>
          </w:tcPr>
          <w:p>
            <w:pPr>
              <w:spacing w:after="0"/>
              <w:rPr>
                <w:sz w:val="1"/>
                <w:szCs w:val="1"/>
                <w:color w:val="auto"/>
              </w:rPr>
            </w:pPr>
          </w:p>
        </w:tc>
      </w:tr>
      <w:tr>
        <w:trPr>
          <w:trHeight w:val="12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Signature CR Intermediate Holdco, Inc.</w:t>
            </w:r>
          </w:p>
        </w:tc>
        <w:tc>
          <w:tcPr>
            <w:tcW w:w="104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80</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2,059</w:t>
            </w:r>
          </w:p>
        </w:tc>
        <w:tc>
          <w:tcPr>
            <w:tcW w:w="0" w:type="dxa"/>
            <w:vAlign w:val="bottom"/>
          </w:tcPr>
          <w:p>
            <w:pPr>
              <w:spacing w:after="0"/>
              <w:rPr>
                <w:sz w:val="1"/>
                <w:szCs w:val="1"/>
                <w:color w:val="auto"/>
              </w:rPr>
            </w:pPr>
          </w:p>
        </w:tc>
      </w:tr>
      <w:tr>
        <w:trPr>
          <w:trHeight w:val="120"/>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SP L2 Holdings, LLC</w:t>
            </w:r>
          </w:p>
        </w:tc>
        <w:tc>
          <w:tcPr>
            <w:tcW w:w="104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881,966</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882</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604</w:t>
            </w:r>
          </w:p>
        </w:tc>
        <w:tc>
          <w:tcPr>
            <w:tcW w:w="0" w:type="dxa"/>
            <w:vAlign w:val="bottom"/>
          </w:tcPr>
          <w:p>
            <w:pPr>
              <w:spacing w:after="0"/>
              <w:rPr>
                <w:sz w:val="1"/>
                <w:szCs w:val="1"/>
                <w:color w:val="auto"/>
              </w:rPr>
            </w:pPr>
          </w:p>
        </w:tc>
      </w:tr>
      <w:tr>
        <w:trPr>
          <w:trHeight w:val="12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SSC Dominion Holdings, LLC</w:t>
            </w:r>
          </w:p>
        </w:tc>
        <w:tc>
          <w:tcPr>
            <w:tcW w:w="104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71</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71</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3,294</w:t>
            </w:r>
          </w:p>
        </w:tc>
        <w:tc>
          <w:tcPr>
            <w:tcW w:w="0" w:type="dxa"/>
            <w:vAlign w:val="bottom"/>
          </w:tcPr>
          <w:p>
            <w:pPr>
              <w:spacing w:after="0"/>
              <w:rPr>
                <w:sz w:val="1"/>
                <w:szCs w:val="1"/>
                <w:color w:val="auto"/>
              </w:rPr>
            </w:pPr>
          </w:p>
        </w:tc>
      </w:tr>
      <w:tr>
        <w:trPr>
          <w:trHeight w:val="120"/>
        </w:trPr>
        <w:tc>
          <w:tcPr>
            <w:tcW w:w="25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Class B (US Dominion, Inc.)</w:t>
            </w:r>
          </w:p>
        </w:tc>
        <w:tc>
          <w:tcPr>
            <w:tcW w:w="104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202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StellPen Holdings, LLC</w:t>
            </w:r>
          </w:p>
        </w:tc>
        <w:tc>
          <w:tcPr>
            <w:tcW w:w="104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vMerge w:val="restart"/>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vMerge w:val="restart"/>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153,846</w:t>
            </w:r>
          </w:p>
        </w:tc>
        <w:tc>
          <w:tcPr>
            <w:tcW w:w="260" w:type="dxa"/>
            <w:vAlign w:val="bottom"/>
          </w:tcPr>
          <w:p>
            <w:pPr>
              <w:spacing w:after="0"/>
              <w:rPr>
                <w:sz w:val="10"/>
                <w:szCs w:val="10"/>
                <w:color w:val="auto"/>
              </w:rPr>
            </w:pPr>
          </w:p>
        </w:tc>
        <w:tc>
          <w:tcPr>
            <w:tcW w:w="6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154</w:t>
            </w:r>
          </w:p>
        </w:tc>
        <w:tc>
          <w:tcPr>
            <w:tcW w:w="180" w:type="dxa"/>
            <w:vAlign w:val="bottom"/>
          </w:tcPr>
          <w:p>
            <w:pPr>
              <w:spacing w:after="0"/>
              <w:rPr>
                <w:sz w:val="10"/>
                <w:szCs w:val="10"/>
                <w:color w:val="auto"/>
              </w:rPr>
            </w:pPr>
          </w:p>
        </w:tc>
        <w:tc>
          <w:tcPr>
            <w:tcW w:w="7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169</w:t>
            </w:r>
          </w:p>
        </w:tc>
        <w:tc>
          <w:tcPr>
            <w:tcW w:w="0" w:type="dxa"/>
            <w:vAlign w:val="bottom"/>
          </w:tcPr>
          <w:p>
            <w:pPr>
              <w:spacing w:after="0"/>
              <w:rPr>
                <w:sz w:val="1"/>
                <w:szCs w:val="1"/>
                <w:color w:val="auto"/>
              </w:rPr>
            </w:pPr>
          </w:p>
        </w:tc>
      </w:tr>
      <w:tr>
        <w:trPr>
          <w:trHeight w:val="104"/>
        </w:trPr>
        <w:tc>
          <w:tcPr>
            <w:tcW w:w="25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5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(CF512, Inc.)</w:t>
            </w:r>
          </w:p>
        </w:tc>
        <w:tc>
          <w:tcPr>
            <w:tcW w:w="104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202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TAC LifePort Holdings, LLC </w:t>
            </w:r>
            <w:r>
              <w:rPr>
                <w:rFonts w:ascii="Times New Roman" w:cs="Times New Roman" w:eastAsia="Times New Roman" w:hAnsi="Times New Roman"/>
                <w:sz w:val="12"/>
                <w:szCs w:val="12"/>
                <w:color w:val="auto"/>
                <w:vertAlign w:val="superscript"/>
              </w:rPr>
              <w:t>(9)</w:t>
            </w:r>
          </w:p>
        </w:tc>
        <w:tc>
          <w:tcPr>
            <w:tcW w:w="104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254,206</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250</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405</w:t>
            </w:r>
          </w:p>
        </w:tc>
        <w:tc>
          <w:tcPr>
            <w:tcW w:w="0" w:type="dxa"/>
            <w:vAlign w:val="bottom"/>
          </w:tcPr>
          <w:p>
            <w:pPr>
              <w:spacing w:after="0"/>
              <w:rPr>
                <w:sz w:val="1"/>
                <w:szCs w:val="1"/>
                <w:color w:val="auto"/>
              </w:rPr>
            </w:pPr>
          </w:p>
        </w:tc>
      </w:tr>
      <w:tr>
        <w:trPr>
          <w:trHeight w:val="120"/>
        </w:trPr>
        <w:tc>
          <w:tcPr>
            <w:tcW w:w="2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Tower Arch Infolinks Media, LP </w:t>
            </w:r>
            <w:r>
              <w:rPr>
                <w:rFonts w:ascii="Times New Roman" w:cs="Times New Roman" w:eastAsia="Times New Roman" w:hAnsi="Times New Roman"/>
                <w:sz w:val="12"/>
                <w:szCs w:val="12"/>
                <w:color w:val="auto"/>
                <w:vertAlign w:val="superscript"/>
              </w:rPr>
              <w:t>(9)</w:t>
            </w:r>
          </w:p>
        </w:tc>
        <w:tc>
          <w:tcPr>
            <w:tcW w:w="104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536,514</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504</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951</w:t>
            </w:r>
          </w:p>
        </w:tc>
        <w:tc>
          <w:tcPr>
            <w:tcW w:w="0" w:type="dxa"/>
            <w:vAlign w:val="bottom"/>
          </w:tcPr>
          <w:p>
            <w:pPr>
              <w:spacing w:after="0"/>
              <w:rPr>
                <w:sz w:val="1"/>
                <w:szCs w:val="1"/>
                <w:color w:val="auto"/>
              </w:rPr>
            </w:pPr>
          </w:p>
        </w:tc>
      </w:tr>
      <w:tr>
        <w:trPr>
          <w:trHeight w:val="120"/>
        </w:trPr>
        <w:tc>
          <w:tcPr>
            <w:tcW w:w="252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Tower Arch Infolinks Media, LP </w:t>
            </w:r>
            <w:r>
              <w:rPr>
                <w:rFonts w:ascii="Times New Roman" w:cs="Times New Roman" w:eastAsia="Times New Roman" w:hAnsi="Times New Roman"/>
                <w:sz w:val="12"/>
                <w:szCs w:val="12"/>
                <w:color w:val="auto"/>
                <w:vertAlign w:val="superscript"/>
              </w:rPr>
              <w:t>(7), (9)</w:t>
            </w:r>
          </w:p>
        </w:tc>
        <w:tc>
          <w:tcPr>
            <w:tcW w:w="104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358,931</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52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TPC Holding Company, LP </w:t>
            </w:r>
            <w:r>
              <w:rPr>
                <w:rFonts w:ascii="Times New Roman" w:cs="Times New Roman" w:eastAsia="Times New Roman" w:hAnsi="Times New Roman"/>
                <w:sz w:val="12"/>
                <w:szCs w:val="12"/>
                <w:color w:val="auto"/>
                <w:vertAlign w:val="superscript"/>
              </w:rPr>
              <w:t>(8). (11)</w:t>
            </w:r>
          </w:p>
        </w:tc>
        <w:tc>
          <w:tcPr>
            <w:tcW w:w="1040" w:type="dxa"/>
            <w:vAlign w:val="bottom"/>
            <w:shd w:val="clear" w:color="auto" w:fill="CCECFF"/>
          </w:tcPr>
          <w:p>
            <w:pPr>
              <w:spacing w:after="0"/>
              <w:rPr>
                <w:sz w:val="10"/>
                <w:szCs w:val="10"/>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Food</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11,527</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w:t>
            </w: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w:t>
            </w:r>
          </w:p>
        </w:tc>
        <w:tc>
          <w:tcPr>
            <w:tcW w:w="0" w:type="dxa"/>
            <w:vAlign w:val="bottom"/>
          </w:tcPr>
          <w:p>
            <w:pPr>
              <w:spacing w:after="0"/>
              <w:rPr>
                <w:sz w:val="1"/>
                <w:szCs w:val="1"/>
                <w:color w:val="auto"/>
              </w:rPr>
            </w:pPr>
          </w:p>
        </w:tc>
      </w:tr>
      <w:tr>
        <w:trPr>
          <w:trHeight w:val="12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TWD Parent Holdings, LLC</w:t>
            </w:r>
          </w:p>
        </w:tc>
        <w:tc>
          <w:tcPr>
            <w:tcW w:w="1040" w:type="dxa"/>
            <w:vAlign w:val="bottom"/>
          </w:tcPr>
          <w:p>
            <w:pPr>
              <w:spacing w:after="0"/>
              <w:rPr>
                <w:sz w:val="10"/>
                <w:szCs w:val="1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608</w:t>
            </w:r>
          </w:p>
        </w:tc>
        <w:tc>
          <w:tcPr>
            <w:tcW w:w="260" w:type="dxa"/>
            <w:vAlign w:val="bottom"/>
          </w:tcPr>
          <w:p>
            <w:pPr>
              <w:spacing w:after="0"/>
              <w:rPr>
                <w:sz w:val="10"/>
                <w:szCs w:val="10"/>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20"/>
        </w:trPr>
        <w:tc>
          <w:tcPr>
            <w:tcW w:w="25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(The Vertex Companies, LLC)</w:t>
            </w:r>
          </w:p>
        </w:tc>
        <w:tc>
          <w:tcPr>
            <w:tcW w:w="104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202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10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ectPr>
          <w:pgSz w:w="11900" w:h="16840" w:orient="portrait"/>
          <w:cols w:equalWidth="0" w:num="1">
            <w:col w:w="10560"/>
          </w:cols>
          <w:pgMar w:left="660" w:top="1156" w:right="680" w:bottom="1440" w:gutter="0" w:footer="0" w:header="0"/>
        </w:sectPr>
      </w:pP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type w:val="continuous"/>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000" w:type="dxa"/>
            <w:vAlign w:val="bottom"/>
          </w:tcPr>
          <w:p>
            <w:pPr>
              <w:spacing w:after="0"/>
              <w:rPr>
                <w:sz w:val="10"/>
                <w:szCs w:val="10"/>
                <w:color w:val="auto"/>
              </w:rPr>
            </w:pPr>
          </w:p>
        </w:tc>
        <w:tc>
          <w:tcPr>
            <w:tcW w:w="900" w:type="dxa"/>
            <w:vAlign w:val="bottom"/>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Maturity /</w:t>
            </w:r>
          </w:p>
        </w:tc>
        <w:tc>
          <w:tcPr>
            <w:tcW w:w="1880" w:type="dxa"/>
            <w:vAlign w:val="bottom"/>
          </w:tcPr>
          <w:p>
            <w:pPr>
              <w:spacing w:after="0"/>
              <w:rPr>
                <w:sz w:val="10"/>
                <w:szCs w:val="10"/>
                <w:color w:val="auto"/>
              </w:rPr>
            </w:pPr>
          </w:p>
        </w:tc>
        <w:tc>
          <w:tcPr>
            <w:tcW w:w="1020" w:type="dxa"/>
            <w:vAlign w:val="bottom"/>
            <w:vMerge w:val="restart"/>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90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7"/>
              </w:rPr>
              <w:t>Basis Point</w:t>
            </w:r>
          </w:p>
        </w:tc>
        <w:tc>
          <w:tcPr>
            <w:tcW w:w="260" w:type="dxa"/>
            <w:vAlign w:val="bottom"/>
          </w:tcPr>
          <w:p>
            <w:pPr>
              <w:spacing w:after="0"/>
              <w:rPr>
                <w:sz w:val="10"/>
                <w:szCs w:val="10"/>
                <w:color w:val="auto"/>
              </w:rPr>
            </w:pPr>
          </w:p>
        </w:tc>
        <w:tc>
          <w:tcPr>
            <w:tcW w:w="820" w:type="dxa"/>
            <w:vAlign w:val="bottom"/>
            <w:vMerge w:val="restart"/>
          </w:tcPr>
          <w:p>
            <w:pPr>
              <w:jc w:val="right"/>
              <w:ind w:right="452"/>
              <w:spacing w:after="0"/>
              <w:rPr>
                <w:sz w:val="20"/>
                <w:szCs w:val="20"/>
                <w:color w:val="auto"/>
              </w:rPr>
            </w:pPr>
            <w:r>
              <w:rPr>
                <w:rFonts w:ascii="Times New Roman" w:cs="Times New Roman" w:eastAsia="Times New Roman" w:hAnsi="Times New Roman"/>
                <w:sz w:val="10"/>
                <w:szCs w:val="10"/>
                <w:b w:val="1"/>
                <w:bCs w:val="1"/>
                <w:color w:val="auto"/>
              </w:rPr>
              <w:t>Par /</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88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Spread Above</w:t>
            </w:r>
          </w:p>
        </w:tc>
        <w:tc>
          <w:tcPr>
            <w:tcW w:w="2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900" w:type="dxa"/>
            <w:vAlign w:val="bottom"/>
          </w:tcPr>
          <w:p>
            <w:pPr>
              <w:ind w:left="12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188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1"/>
              </w:rPr>
              <w:t>Industry</w:t>
            </w:r>
          </w:p>
        </w:tc>
        <w:tc>
          <w:tcPr>
            <w:tcW w:w="102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900" w:type="dxa"/>
            <w:vAlign w:val="bottom"/>
          </w:tcPr>
          <w:p>
            <w:pPr>
              <w:jc w:val="center"/>
              <w:ind w:right="32"/>
              <w:spacing w:after="0" w:line="122" w:lineRule="exact"/>
              <w:rPr>
                <w:sz w:val="20"/>
                <w:szCs w:val="20"/>
                <w:color w:val="auto"/>
              </w:rPr>
            </w:pPr>
            <w:r>
              <w:rPr>
                <w:rFonts w:ascii="Times New Roman" w:cs="Times New Roman" w:eastAsia="Times New Roman" w:hAnsi="Times New Roman"/>
                <w:sz w:val="10"/>
                <w:szCs w:val="10"/>
                <w:color w:val="auto"/>
                <w:w w:val="86"/>
              </w:rPr>
              <w:t xml:space="preserve">Index </w:t>
            </w:r>
            <w:r>
              <w:rPr>
                <w:rFonts w:ascii="Times New Roman" w:cs="Times New Roman" w:eastAsia="Times New Roman" w:hAnsi="Times New Roman"/>
                <w:sz w:val="12"/>
                <w:szCs w:val="12"/>
                <w:color w:val="auto"/>
                <w:w w:val="86"/>
                <w:vertAlign w:val="superscript"/>
              </w:rPr>
              <w:t>(4)</w:t>
            </w:r>
          </w:p>
        </w:tc>
        <w:tc>
          <w:tcPr>
            <w:tcW w:w="260" w:type="dxa"/>
            <w:vAlign w:val="bottom"/>
          </w:tcPr>
          <w:p>
            <w:pPr>
              <w:spacing w:after="0"/>
              <w:rPr>
                <w:sz w:val="10"/>
                <w:szCs w:val="10"/>
                <w:color w:val="auto"/>
              </w:rPr>
            </w:pPr>
          </w:p>
        </w:tc>
        <w:tc>
          <w:tcPr>
            <w:tcW w:w="82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60" w:type="dxa"/>
            <w:vAlign w:val="bottom"/>
          </w:tcPr>
          <w:p>
            <w:pPr>
              <w:spacing w:after="0"/>
              <w:rPr>
                <w:sz w:val="10"/>
                <w:szCs w:val="10"/>
                <w:color w:val="auto"/>
              </w:rPr>
            </w:pPr>
          </w:p>
        </w:tc>
        <w:tc>
          <w:tcPr>
            <w:tcW w:w="58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(3)</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UniVista Insurance </w:t>
            </w:r>
            <w:r>
              <w:rPr>
                <w:rFonts w:ascii="Times New Roman" w:cs="Times New Roman" w:eastAsia="Times New Roman" w:hAnsi="Times New Roman"/>
                <w:sz w:val="12"/>
                <w:szCs w:val="12"/>
                <w:color w:val="auto"/>
                <w:vertAlign w:val="superscript"/>
              </w:rPr>
              <w:t>(9)</w:t>
            </w:r>
          </w:p>
        </w:tc>
        <w:tc>
          <w:tcPr>
            <w:tcW w:w="9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400</w:t>
            </w:r>
          </w:p>
        </w:tc>
        <w:tc>
          <w:tcPr>
            <w:tcW w:w="1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362</w:t>
            </w:r>
          </w:p>
        </w:tc>
        <w:tc>
          <w:tcPr>
            <w:tcW w:w="2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555</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Urology Partners Co., L.P.</w:t>
            </w:r>
          </w:p>
        </w:tc>
        <w:tc>
          <w:tcPr>
            <w:tcW w:w="90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1,111,111</w:t>
            </w: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WCP Ivyrehab (QP) CF Feeder, LP </w:t>
            </w:r>
            <w:r>
              <w:rPr>
                <w:rFonts w:ascii="Times New Roman" w:cs="Times New Roman" w:eastAsia="Times New Roman" w:hAnsi="Times New Roman"/>
                <w:sz w:val="12"/>
                <w:szCs w:val="12"/>
                <w:color w:val="auto"/>
                <w:vertAlign w:val="superscript"/>
              </w:rPr>
              <w:t>(9)</w:t>
            </w:r>
          </w:p>
        </w:tc>
        <w:tc>
          <w:tcPr>
            <w:tcW w:w="9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3,715,012</w:t>
            </w:r>
          </w:p>
        </w:tc>
        <w:tc>
          <w:tcPr>
            <w:tcW w:w="16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3,754</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4,319</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WCP Ivyrehab QP CF Feeder, LP - Unfunded </w:t>
            </w:r>
            <w:r>
              <w:rPr>
                <w:rFonts w:ascii="Times New Roman" w:cs="Times New Roman" w:eastAsia="Times New Roman" w:hAnsi="Times New Roman"/>
                <w:sz w:val="12"/>
                <w:szCs w:val="12"/>
                <w:color w:val="auto"/>
                <w:vertAlign w:val="superscript"/>
              </w:rPr>
              <w:t>(7) (9)</w:t>
            </w:r>
          </w:p>
        </w:tc>
        <w:tc>
          <w:tcPr>
            <w:tcW w:w="90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284,988</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Wildcat Parent, LP</w:t>
            </w:r>
          </w:p>
        </w:tc>
        <w:tc>
          <w:tcPr>
            <w:tcW w:w="9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Electronics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2,314</w:t>
            </w:r>
          </w:p>
        </w:tc>
        <w:tc>
          <w:tcPr>
            <w:tcW w:w="16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231</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820</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(Wildcat Buyerco, Inc.)</w:t>
            </w:r>
          </w:p>
        </w:tc>
        <w:tc>
          <w:tcPr>
            <w:tcW w:w="9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Common Equity/Partnership Interests/Warrants</w:t>
            </w:r>
          </w:p>
        </w:tc>
        <w:tc>
          <w:tcPr>
            <w:tcW w:w="900" w:type="dxa"/>
            <w:vAlign w:val="bottom"/>
            <w:shd w:val="clear" w:color="auto" w:fill="CCECFF"/>
          </w:tcPr>
          <w:p>
            <w:pPr>
              <w:spacing w:after="0"/>
              <w:rPr>
                <w:sz w:val="10"/>
                <w:szCs w:val="10"/>
                <w:color w:val="auto"/>
              </w:rPr>
            </w:pPr>
          </w:p>
        </w:tc>
        <w:tc>
          <w:tcPr>
            <w:tcW w:w="188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95,037</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115,477</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Non-Controlled, Non-Affiliated Portfolio</w:t>
            </w:r>
          </w:p>
        </w:tc>
        <w:tc>
          <w:tcPr>
            <w:tcW w:w="9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Companies</w:t>
            </w:r>
          </w:p>
        </w:tc>
        <w:tc>
          <w:tcPr>
            <w:tcW w:w="9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816,754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830,808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900" w:type="dxa"/>
            <w:vAlign w:val="bottom"/>
            <w:gridSpan w:val="2"/>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b w:val="1"/>
                <w:bCs w:val="1"/>
                <w:color w:val="auto"/>
                <w:w w:val="99"/>
              </w:rPr>
              <w:t xml:space="preserve">Investments in Non-Controlled, Affiliated Portfolio Companies—10.9% of Net Assets </w:t>
            </w:r>
            <w:r>
              <w:rPr>
                <w:rFonts w:ascii="Times New Roman" w:cs="Times New Roman" w:eastAsia="Times New Roman" w:hAnsi="Times New Roman"/>
                <w:sz w:val="12"/>
                <w:szCs w:val="12"/>
                <w:b w:val="1"/>
                <w:bCs w:val="1"/>
                <w:color w:val="auto"/>
                <w:w w:val="99"/>
                <w:vertAlign w:val="superscript"/>
              </w:rPr>
              <w:t>(1), (2)</w:t>
            </w:r>
          </w:p>
        </w:tc>
        <w:tc>
          <w:tcPr>
            <w:tcW w:w="188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Debt—2.1% of Net Assets</w:t>
            </w:r>
          </w:p>
        </w:tc>
        <w:tc>
          <w:tcPr>
            <w:tcW w:w="9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Walker Edison Furniture Company LLC</w:t>
            </w:r>
          </w:p>
        </w:tc>
        <w:tc>
          <w:tcPr>
            <w:tcW w:w="9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0"/>
                <w:szCs w:val="10"/>
                <w:color w:val="auto"/>
              </w:rPr>
              <w:t>03/31/2027</w:t>
            </w:r>
          </w:p>
        </w:tc>
        <w:tc>
          <w:tcPr>
            <w:tcW w:w="1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12.18 %</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1M SOFR+685</w:t>
            </w:r>
          </w:p>
        </w:tc>
        <w:tc>
          <w:tcPr>
            <w:tcW w:w="260" w:type="dxa"/>
            <w:vAlign w:val="bottom"/>
            <w:shd w:val="clear" w:color="auto" w:fill="CCECFF"/>
          </w:tcPr>
          <w:p>
            <w:pPr>
              <w:spacing w:after="0"/>
              <w:rPr>
                <w:sz w:val="10"/>
                <w:szCs w:val="10"/>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7,042</w:t>
            </w:r>
          </w:p>
        </w:tc>
        <w:tc>
          <w:tcPr>
            <w:tcW w:w="16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7,042</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7,043</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Walker Edison Furniture Company, LLC - Unfunded Term Loan</w:t>
            </w:r>
          </w:p>
        </w:tc>
        <w:tc>
          <w:tcPr>
            <w:tcW w:w="9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03/31/2027</w:t>
            </w:r>
          </w:p>
        </w:tc>
        <w:tc>
          <w:tcPr>
            <w:tcW w:w="1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667</w:t>
            </w: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Walker Edison Furniture Company LLC - Junior Revolver</w:t>
            </w:r>
          </w:p>
        </w:tc>
        <w:tc>
          <w:tcPr>
            <w:tcW w:w="9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0"/>
                <w:szCs w:val="10"/>
                <w:color w:val="auto"/>
              </w:rPr>
              <w:t>03/31/2027</w:t>
            </w:r>
          </w:p>
        </w:tc>
        <w:tc>
          <w:tcPr>
            <w:tcW w:w="1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11.68 %</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1M SOFR+685</w:t>
            </w:r>
          </w:p>
        </w:tc>
        <w:tc>
          <w:tcPr>
            <w:tcW w:w="260" w:type="dxa"/>
            <w:vAlign w:val="bottom"/>
            <w:shd w:val="clear" w:color="auto" w:fill="CCECFF"/>
          </w:tcPr>
          <w:p>
            <w:pPr>
              <w:spacing w:after="0"/>
              <w:rPr>
                <w:sz w:val="10"/>
                <w:szCs w:val="10"/>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3,333</w:t>
            </w:r>
          </w:p>
        </w:tc>
        <w:tc>
          <w:tcPr>
            <w:tcW w:w="16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3,333</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3,333</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9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10,375</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10,376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b w:val="1"/>
                <w:bCs w:val="1"/>
                <w:color w:val="auto"/>
              </w:rPr>
              <w:t>Preferred Equity/Partnership Interests—6.4% of Net Assets</w:t>
            </w:r>
            <w:r>
              <w:rPr>
                <w:rFonts w:ascii="Times New Roman" w:cs="Times New Roman" w:eastAsia="Times New Roman" w:hAnsi="Times New Roman"/>
                <w:sz w:val="12"/>
                <w:szCs w:val="12"/>
                <w:b w:val="1"/>
                <w:bCs w:val="1"/>
                <w:color w:val="auto"/>
                <w:vertAlign w:val="superscript"/>
              </w:rPr>
              <w:t>(6)</w:t>
            </w:r>
          </w:p>
        </w:tc>
        <w:tc>
          <w:tcPr>
            <w:tcW w:w="900" w:type="dxa"/>
            <w:vAlign w:val="bottom"/>
            <w:shd w:val="clear" w:color="auto" w:fill="CCECFF"/>
          </w:tcPr>
          <w:p>
            <w:pPr>
              <w:spacing w:after="0"/>
              <w:rPr>
                <w:sz w:val="10"/>
                <w:szCs w:val="10"/>
                <w:color w:val="auto"/>
              </w:rPr>
            </w:pPr>
          </w:p>
        </w:tc>
        <w:tc>
          <w:tcPr>
            <w:tcW w:w="188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Cascade Environmental Holdings, LLC</w:t>
            </w:r>
          </w:p>
        </w:tc>
        <w:tc>
          <w:tcPr>
            <w:tcW w:w="90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5,887,236</w:t>
            </w: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32,791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31,032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0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Cascade Environmental Holdings, LLC - Series B</w:t>
            </w:r>
          </w:p>
        </w:tc>
        <w:tc>
          <w:tcPr>
            <w:tcW w:w="9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918</w:t>
            </w:r>
          </w:p>
        </w:tc>
        <w:tc>
          <w:tcPr>
            <w:tcW w:w="16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918</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1,073</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Preferred Equity/Partnership Interests</w:t>
            </w:r>
          </w:p>
        </w:tc>
        <w:tc>
          <w:tcPr>
            <w:tcW w:w="9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33,709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32,105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3000" w:type="dxa"/>
            <w:vAlign w:val="bottom"/>
            <w:shd w:val="clear" w:color="auto" w:fill="CCECFF"/>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w w:val="99"/>
              </w:rPr>
              <w:t>Common Equity/Partnership Interests/Warrants—2.4% of Net Assets</w:t>
            </w:r>
          </w:p>
        </w:tc>
        <w:tc>
          <w:tcPr>
            <w:tcW w:w="900" w:type="dxa"/>
            <w:vAlign w:val="bottom"/>
            <w:shd w:val="clear" w:color="auto" w:fill="CCECFF"/>
          </w:tcPr>
          <w:p>
            <w:pPr>
              <w:spacing w:after="0"/>
              <w:rPr>
                <w:sz w:val="8"/>
                <w:szCs w:val="8"/>
                <w:color w:val="auto"/>
              </w:rPr>
            </w:pPr>
          </w:p>
        </w:tc>
        <w:tc>
          <w:tcPr>
            <w:tcW w:w="1880" w:type="dxa"/>
            <w:vAlign w:val="bottom"/>
            <w:shd w:val="clear" w:color="auto" w:fill="CCECFF"/>
          </w:tcPr>
          <w:p>
            <w:pPr>
              <w:spacing w:after="0"/>
              <w:rPr>
                <w:sz w:val="8"/>
                <w:szCs w:val="8"/>
                <w:color w:val="auto"/>
              </w:rPr>
            </w:pPr>
          </w:p>
        </w:tc>
        <w:tc>
          <w:tcPr>
            <w:tcW w:w="1020" w:type="dxa"/>
            <w:vAlign w:val="bottom"/>
            <w:shd w:val="clear" w:color="auto" w:fill="CCECFF"/>
          </w:tcPr>
          <w:p>
            <w:pPr>
              <w:spacing w:after="0"/>
              <w:rPr>
                <w:sz w:val="8"/>
                <w:szCs w:val="8"/>
                <w:color w:val="auto"/>
              </w:rPr>
            </w:pPr>
          </w:p>
        </w:tc>
        <w:tc>
          <w:tcPr>
            <w:tcW w:w="900" w:type="dxa"/>
            <w:vAlign w:val="bottom"/>
            <w:shd w:val="clear" w:color="auto" w:fill="CCECFF"/>
          </w:tcPr>
          <w:p>
            <w:pPr>
              <w:spacing w:after="0"/>
              <w:rPr>
                <w:sz w:val="8"/>
                <w:szCs w:val="8"/>
                <w:color w:val="auto"/>
              </w:rPr>
            </w:pPr>
          </w:p>
        </w:tc>
        <w:tc>
          <w:tcPr>
            <w:tcW w:w="260" w:type="dxa"/>
            <w:vAlign w:val="bottom"/>
            <w:shd w:val="clear" w:color="auto" w:fill="CCECFF"/>
          </w:tcPr>
          <w:p>
            <w:pPr>
              <w:spacing w:after="0"/>
              <w:rPr>
                <w:sz w:val="8"/>
                <w:szCs w:val="8"/>
                <w:color w:val="auto"/>
              </w:rPr>
            </w:pPr>
          </w:p>
        </w:tc>
        <w:tc>
          <w:tcPr>
            <w:tcW w:w="82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0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6"/>
                <w:szCs w:val="6"/>
                <w:b w:val="1"/>
                <w:bCs w:val="1"/>
                <w:color w:val="auto"/>
              </w:rPr>
              <w:t>(6)</w:t>
            </w:r>
          </w:p>
        </w:tc>
        <w:tc>
          <w:tcPr>
            <w:tcW w:w="900" w:type="dxa"/>
            <w:vAlign w:val="bottom"/>
            <w:tcBorders>
              <w:bottom w:val="single" w:sz="8" w:color="CCECFF"/>
            </w:tcBorders>
            <w:shd w:val="clear" w:color="auto" w:fill="CCECFF"/>
          </w:tcPr>
          <w:p>
            <w:pPr>
              <w:spacing w:after="0"/>
              <w:rPr>
                <w:sz w:val="7"/>
                <w:szCs w:val="7"/>
                <w:color w:val="auto"/>
              </w:rPr>
            </w:pPr>
          </w:p>
        </w:tc>
        <w:tc>
          <w:tcPr>
            <w:tcW w:w="1880" w:type="dxa"/>
            <w:vAlign w:val="bottom"/>
            <w:tcBorders>
              <w:bottom w:val="single" w:sz="8" w:color="CCECFF"/>
            </w:tcBorders>
            <w:shd w:val="clear" w:color="auto" w:fill="CCECFF"/>
          </w:tcPr>
          <w:p>
            <w:pPr>
              <w:spacing w:after="0"/>
              <w:rPr>
                <w:sz w:val="7"/>
                <w:szCs w:val="7"/>
                <w:color w:val="auto"/>
              </w:rPr>
            </w:pPr>
          </w:p>
        </w:tc>
        <w:tc>
          <w:tcPr>
            <w:tcW w:w="1020" w:type="dxa"/>
            <w:vAlign w:val="bottom"/>
            <w:tcBorders>
              <w:bottom w:val="single" w:sz="8" w:color="CCECFF"/>
            </w:tcBorders>
            <w:shd w:val="clear" w:color="auto" w:fill="CCECFF"/>
          </w:tcPr>
          <w:p>
            <w:pPr>
              <w:spacing w:after="0"/>
              <w:rPr>
                <w:sz w:val="7"/>
                <w:szCs w:val="7"/>
                <w:color w:val="auto"/>
              </w:rPr>
            </w:pPr>
          </w:p>
        </w:tc>
        <w:tc>
          <w:tcPr>
            <w:tcW w:w="900" w:type="dxa"/>
            <w:vAlign w:val="bottom"/>
            <w:tcBorders>
              <w:bottom w:val="single" w:sz="8" w:color="CCECFF"/>
            </w:tcBorders>
            <w:shd w:val="clear" w:color="auto" w:fill="CCECFF"/>
          </w:tcPr>
          <w:p>
            <w:pPr>
              <w:spacing w:after="0"/>
              <w:rPr>
                <w:sz w:val="7"/>
                <w:szCs w:val="7"/>
                <w:color w:val="auto"/>
              </w:rPr>
            </w:pPr>
          </w:p>
        </w:tc>
        <w:tc>
          <w:tcPr>
            <w:tcW w:w="260" w:type="dxa"/>
            <w:vAlign w:val="bottom"/>
            <w:tcBorders>
              <w:bottom w:val="single" w:sz="8" w:color="CCECFF"/>
            </w:tcBorders>
            <w:shd w:val="clear" w:color="auto" w:fill="CCECFF"/>
          </w:tcPr>
          <w:p>
            <w:pPr>
              <w:spacing w:after="0"/>
              <w:rPr>
                <w:sz w:val="7"/>
                <w:szCs w:val="7"/>
                <w:color w:val="auto"/>
              </w:rPr>
            </w:pPr>
          </w:p>
        </w:tc>
        <w:tc>
          <w:tcPr>
            <w:tcW w:w="820" w:type="dxa"/>
            <w:vAlign w:val="bottom"/>
            <w:tcBorders>
              <w:bottom w:val="single" w:sz="8" w:color="CCECFF"/>
            </w:tcBorders>
            <w:shd w:val="clear" w:color="auto" w:fill="CCECFF"/>
          </w:tcPr>
          <w:p>
            <w:pPr>
              <w:spacing w:after="0"/>
              <w:rPr>
                <w:sz w:val="7"/>
                <w:szCs w:val="7"/>
                <w:color w:val="auto"/>
              </w:rPr>
            </w:pPr>
          </w:p>
        </w:tc>
        <w:tc>
          <w:tcPr>
            <w:tcW w:w="160" w:type="dxa"/>
            <w:vAlign w:val="bottom"/>
            <w:tcBorders>
              <w:bottom w:val="single" w:sz="8" w:color="CCECFF"/>
            </w:tcBorders>
            <w:shd w:val="clear" w:color="auto" w:fill="CCECFF"/>
          </w:tcPr>
          <w:p>
            <w:pPr>
              <w:spacing w:after="0"/>
              <w:rPr>
                <w:sz w:val="7"/>
                <w:szCs w:val="7"/>
                <w:color w:val="auto"/>
              </w:rPr>
            </w:pPr>
          </w:p>
        </w:tc>
        <w:tc>
          <w:tcPr>
            <w:tcW w:w="580" w:type="dxa"/>
            <w:vAlign w:val="bottom"/>
            <w:tcBorders>
              <w:bottom w:val="single" w:sz="8" w:color="CCECFF"/>
            </w:tcBorders>
            <w:shd w:val="clear" w:color="auto" w:fill="CCECFF"/>
          </w:tcPr>
          <w:p>
            <w:pPr>
              <w:spacing w:after="0"/>
              <w:rPr>
                <w:sz w:val="7"/>
                <w:szCs w:val="7"/>
                <w:color w:val="auto"/>
              </w:rPr>
            </w:pPr>
          </w:p>
        </w:tc>
        <w:tc>
          <w:tcPr>
            <w:tcW w:w="200" w:type="dxa"/>
            <w:vAlign w:val="bottom"/>
            <w:tcBorders>
              <w:bottom w:val="single" w:sz="8" w:color="CCECFF"/>
            </w:tcBorders>
            <w:shd w:val="clear" w:color="auto" w:fill="CCECFF"/>
          </w:tcPr>
          <w:p>
            <w:pPr>
              <w:spacing w:after="0"/>
              <w:rPr>
                <w:sz w:val="7"/>
                <w:szCs w:val="7"/>
                <w:color w:val="auto"/>
              </w:rPr>
            </w:pPr>
          </w:p>
        </w:tc>
        <w:tc>
          <w:tcPr>
            <w:tcW w:w="80" w:type="dxa"/>
            <w:vAlign w:val="bottom"/>
            <w:tcBorders>
              <w:bottom w:val="single" w:sz="8" w:color="CCECFF"/>
            </w:tcBorders>
            <w:shd w:val="clear" w:color="auto" w:fill="CCECFF"/>
          </w:tcPr>
          <w:p>
            <w:pPr>
              <w:spacing w:after="0"/>
              <w:rPr>
                <w:sz w:val="7"/>
                <w:szCs w:val="7"/>
                <w:color w:val="auto"/>
              </w:rPr>
            </w:pPr>
          </w:p>
        </w:tc>
        <w:tc>
          <w:tcPr>
            <w:tcW w:w="680" w:type="dxa"/>
            <w:vAlign w:val="bottom"/>
            <w:tcBorders>
              <w:bottom w:val="single" w:sz="8" w:color="CCECFF"/>
            </w:tcBorders>
            <w:shd w:val="clear" w:color="auto" w:fill="CCECFF"/>
          </w:tcPr>
          <w:p>
            <w:pPr>
              <w:spacing w:after="0"/>
              <w:rPr>
                <w:sz w:val="7"/>
                <w:szCs w:val="7"/>
                <w:color w:val="auto"/>
              </w:rPr>
            </w:pPr>
          </w:p>
        </w:tc>
        <w:tc>
          <w:tcPr>
            <w:tcW w:w="80" w:type="dxa"/>
            <w:vAlign w:val="bottom"/>
            <w:tcBorders>
              <w:bottom w:val="single" w:sz="8" w:color="CCECFF"/>
            </w:tcBorders>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Cascade Environmental Holdings, LLC</w:t>
            </w:r>
          </w:p>
        </w:tc>
        <w:tc>
          <w:tcPr>
            <w:tcW w:w="90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7,444,347</w:t>
            </w: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2,852</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JF Intermediate, LLC</w:t>
            </w:r>
          </w:p>
        </w:tc>
        <w:tc>
          <w:tcPr>
            <w:tcW w:w="9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Distribution</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19,687</w:t>
            </w:r>
          </w:p>
        </w:tc>
        <w:tc>
          <w:tcPr>
            <w:tcW w:w="16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2,065</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8,759</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Walker Edison Furniture</w:t>
            </w:r>
          </w:p>
        </w:tc>
        <w:tc>
          <w:tcPr>
            <w:tcW w:w="90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72,917</w:t>
            </w: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6,786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3,531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Common Equity/Partnership Interests/Warrants</w:t>
            </w:r>
          </w:p>
        </w:tc>
        <w:tc>
          <w:tcPr>
            <w:tcW w:w="900" w:type="dxa"/>
            <w:vAlign w:val="bottom"/>
            <w:shd w:val="clear" w:color="auto" w:fill="CCECFF"/>
          </w:tcPr>
          <w:p>
            <w:pPr>
              <w:spacing w:after="0"/>
              <w:rPr>
                <w:sz w:val="10"/>
                <w:szCs w:val="10"/>
                <w:color w:val="auto"/>
              </w:rPr>
            </w:pPr>
          </w:p>
        </w:tc>
        <w:tc>
          <w:tcPr>
            <w:tcW w:w="188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11,703</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12,290</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Non-Controlled, Affiliated Portfolio Companies</w:t>
            </w:r>
          </w:p>
        </w:tc>
        <w:tc>
          <w:tcPr>
            <w:tcW w:w="9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55,787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54,771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Investments in Controlled, Affiliated Portfolio Companies—43.0% of</w:t>
            </w:r>
          </w:p>
        </w:tc>
        <w:tc>
          <w:tcPr>
            <w:tcW w:w="900" w:type="dxa"/>
            <w:vAlign w:val="bottom"/>
            <w:shd w:val="clear" w:color="auto" w:fill="CCECFF"/>
          </w:tcPr>
          <w:p>
            <w:pPr>
              <w:spacing w:after="0"/>
              <w:rPr>
                <w:sz w:val="10"/>
                <w:szCs w:val="10"/>
                <w:color w:val="auto"/>
              </w:rPr>
            </w:pPr>
          </w:p>
        </w:tc>
        <w:tc>
          <w:tcPr>
            <w:tcW w:w="188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0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Net Assets </w:t>
            </w:r>
            <w:r>
              <w:rPr>
                <w:rFonts w:ascii="Times New Roman" w:cs="Times New Roman" w:eastAsia="Times New Roman" w:hAnsi="Times New Roman"/>
                <w:sz w:val="12"/>
                <w:szCs w:val="12"/>
                <w:b w:val="1"/>
                <w:bCs w:val="1"/>
                <w:color w:val="auto"/>
                <w:vertAlign w:val="superscript"/>
              </w:rPr>
              <w:t>(1), (2)</w:t>
            </w:r>
          </w:p>
        </w:tc>
        <w:tc>
          <w:tcPr>
            <w:tcW w:w="900" w:type="dxa"/>
            <w:vAlign w:val="bottom"/>
            <w:shd w:val="clear" w:color="auto" w:fill="CCECFF"/>
          </w:tcPr>
          <w:p>
            <w:pPr>
              <w:spacing w:after="0"/>
              <w:rPr>
                <w:sz w:val="10"/>
                <w:szCs w:val="10"/>
                <w:color w:val="auto"/>
              </w:rPr>
            </w:pPr>
          </w:p>
        </w:tc>
        <w:tc>
          <w:tcPr>
            <w:tcW w:w="188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Debt—9.8% of Net Assets</w:t>
            </w:r>
          </w:p>
        </w:tc>
        <w:tc>
          <w:tcPr>
            <w:tcW w:w="9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AKW Holdings Limited </w:t>
            </w:r>
            <w:r>
              <w:rPr>
                <w:rFonts w:ascii="Times New Roman" w:cs="Times New Roman" w:eastAsia="Times New Roman" w:hAnsi="Times New Roman"/>
                <w:sz w:val="12"/>
                <w:szCs w:val="12"/>
                <w:color w:val="auto"/>
                <w:vertAlign w:val="superscript"/>
              </w:rPr>
              <w:t>(8), (10), (11)</w:t>
            </w:r>
          </w:p>
        </w:tc>
        <w:tc>
          <w:tcPr>
            <w:tcW w:w="9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0"/>
                <w:szCs w:val="10"/>
                <w:color w:val="auto"/>
              </w:rPr>
              <w:t>03/15/2027</w:t>
            </w:r>
          </w:p>
        </w:tc>
        <w:tc>
          <w:tcPr>
            <w:tcW w:w="1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12.21 %</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SONIA+700</w:t>
            </w:r>
          </w:p>
        </w:tc>
        <w:tc>
          <w:tcPr>
            <w:tcW w:w="2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40,371</w:t>
            </w:r>
          </w:p>
        </w:tc>
        <w:tc>
          <w:tcPr>
            <w:tcW w:w="16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55,388</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49,275</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9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55,388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49,275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Second Lien Secured Debt—0.0% of Net Assets</w:t>
            </w:r>
          </w:p>
        </w:tc>
        <w:tc>
          <w:tcPr>
            <w:tcW w:w="900" w:type="dxa"/>
            <w:vAlign w:val="bottom"/>
            <w:shd w:val="clear" w:color="auto" w:fill="CCECFF"/>
          </w:tcPr>
          <w:p>
            <w:pPr>
              <w:spacing w:after="0"/>
              <w:rPr>
                <w:sz w:val="10"/>
                <w:szCs w:val="10"/>
                <w:color w:val="auto"/>
              </w:rPr>
            </w:pPr>
          </w:p>
        </w:tc>
        <w:tc>
          <w:tcPr>
            <w:tcW w:w="188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Mailsouth Inc. </w:t>
            </w:r>
            <w:r>
              <w:rPr>
                <w:rFonts w:ascii="Times New Roman" w:cs="Times New Roman" w:eastAsia="Times New Roman" w:hAnsi="Times New Roman"/>
                <w:sz w:val="12"/>
                <w:szCs w:val="12"/>
                <w:color w:val="auto"/>
                <w:vertAlign w:val="superscript"/>
              </w:rPr>
              <w:t>(12)</w:t>
            </w:r>
          </w:p>
        </w:tc>
        <w:tc>
          <w:tcPr>
            <w:tcW w:w="9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04/23/2025</w:t>
            </w:r>
          </w:p>
        </w:tc>
        <w:tc>
          <w:tcPr>
            <w:tcW w:w="1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Printing and Publishing</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14,896</w:t>
            </w: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12,383</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Second Lien Secured Debt</w:t>
            </w:r>
          </w:p>
        </w:tc>
        <w:tc>
          <w:tcPr>
            <w:tcW w:w="900" w:type="dxa"/>
            <w:vAlign w:val="bottom"/>
            <w:shd w:val="clear" w:color="auto" w:fill="CCECFF"/>
          </w:tcPr>
          <w:p>
            <w:pPr>
              <w:spacing w:after="0"/>
              <w:rPr>
                <w:sz w:val="10"/>
                <w:szCs w:val="10"/>
                <w:color w:val="auto"/>
              </w:rPr>
            </w:pPr>
          </w:p>
        </w:tc>
        <w:tc>
          <w:tcPr>
            <w:tcW w:w="188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12,383</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Subordinated Debt—20.4% of Net Assets</w:t>
            </w:r>
          </w:p>
        </w:tc>
        <w:tc>
          <w:tcPr>
            <w:tcW w:w="9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PennantPark Senior Loan Fund, LLC </w:t>
            </w:r>
            <w:r>
              <w:rPr>
                <w:rFonts w:ascii="Times New Roman" w:cs="Times New Roman" w:eastAsia="Times New Roman" w:hAnsi="Times New Roman"/>
                <w:sz w:val="12"/>
                <w:szCs w:val="12"/>
                <w:b w:val="1"/>
                <w:bCs w:val="1"/>
                <w:color w:val="auto"/>
                <w:vertAlign w:val="superscript"/>
              </w:rPr>
              <w:t>(11)</w:t>
            </w:r>
          </w:p>
        </w:tc>
        <w:tc>
          <w:tcPr>
            <w:tcW w:w="9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0"/>
                <w:szCs w:val="10"/>
                <w:color w:val="auto"/>
              </w:rPr>
              <w:t>07/31/2027</w:t>
            </w:r>
          </w:p>
        </w:tc>
        <w:tc>
          <w:tcPr>
            <w:tcW w:w="1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13.37 %</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SOFR+800</w:t>
            </w:r>
          </w:p>
        </w:tc>
        <w:tc>
          <w:tcPr>
            <w:tcW w:w="260" w:type="dxa"/>
            <w:vAlign w:val="bottom"/>
            <w:shd w:val="clear" w:color="auto" w:fill="CCECFF"/>
          </w:tcPr>
          <w:p>
            <w:pPr>
              <w:spacing w:after="0"/>
              <w:rPr>
                <w:sz w:val="10"/>
                <w:szCs w:val="10"/>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102,325</w:t>
            </w:r>
          </w:p>
        </w:tc>
        <w:tc>
          <w:tcPr>
            <w:tcW w:w="16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102,325</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102,325</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Subordinated Debt</w:t>
            </w:r>
          </w:p>
        </w:tc>
        <w:tc>
          <w:tcPr>
            <w:tcW w:w="9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102,325</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102,325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Common Equity—12.8% of Net Assets </w:t>
            </w:r>
            <w:r>
              <w:rPr>
                <w:rFonts w:ascii="Times New Roman" w:cs="Times New Roman" w:eastAsia="Times New Roman" w:hAnsi="Times New Roman"/>
                <w:sz w:val="12"/>
                <w:szCs w:val="12"/>
                <w:b w:val="1"/>
                <w:bCs w:val="1"/>
                <w:color w:val="auto"/>
                <w:vertAlign w:val="superscript"/>
              </w:rPr>
              <w:t>(6)</w:t>
            </w:r>
          </w:p>
        </w:tc>
        <w:tc>
          <w:tcPr>
            <w:tcW w:w="900" w:type="dxa"/>
            <w:vAlign w:val="bottom"/>
            <w:shd w:val="clear" w:color="auto" w:fill="CCECFF"/>
          </w:tcPr>
          <w:p>
            <w:pPr>
              <w:spacing w:after="0"/>
              <w:rPr>
                <w:sz w:val="10"/>
                <w:szCs w:val="10"/>
                <w:color w:val="auto"/>
              </w:rPr>
            </w:pPr>
          </w:p>
        </w:tc>
        <w:tc>
          <w:tcPr>
            <w:tcW w:w="188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AKW Holdings Limited </w:t>
            </w:r>
            <w:r>
              <w:rPr>
                <w:rFonts w:ascii="Times New Roman" w:cs="Times New Roman" w:eastAsia="Times New Roman" w:hAnsi="Times New Roman"/>
                <w:sz w:val="12"/>
                <w:szCs w:val="12"/>
                <w:color w:val="auto"/>
                <w:vertAlign w:val="superscript"/>
              </w:rPr>
              <w:t>(8), (10), (11)</w:t>
            </w:r>
          </w:p>
        </w:tc>
        <w:tc>
          <w:tcPr>
            <w:tcW w:w="90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950</w:t>
            </w: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2,385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MSpark, LLC</w:t>
            </w:r>
          </w:p>
        </w:tc>
        <w:tc>
          <w:tcPr>
            <w:tcW w:w="9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Printing and Publishing</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51,151</w:t>
            </w:r>
          </w:p>
        </w:tc>
        <w:tc>
          <w:tcPr>
            <w:tcW w:w="16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16,516</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PennantPark Senior Loan Fund, LLC </w:t>
            </w:r>
            <w:r>
              <w:rPr>
                <w:rFonts w:ascii="Times New Roman" w:cs="Times New Roman" w:eastAsia="Times New Roman" w:hAnsi="Times New Roman"/>
                <w:sz w:val="12"/>
                <w:szCs w:val="12"/>
                <w:b w:val="1"/>
                <w:bCs w:val="1"/>
                <w:color w:val="auto"/>
                <w:vertAlign w:val="superscript"/>
              </w:rPr>
              <w:t>(11)</w:t>
            </w:r>
          </w:p>
        </w:tc>
        <w:tc>
          <w:tcPr>
            <w:tcW w:w="90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58,580,060</w:t>
            </w: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58,643</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62,083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0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Common Equity</w:t>
            </w:r>
          </w:p>
        </w:tc>
        <w:tc>
          <w:tcPr>
            <w:tcW w:w="900" w:type="dxa"/>
            <w:vAlign w:val="bottom"/>
            <w:tcBorders>
              <w:bottom w:val="single" w:sz="8" w:color="CCECFF"/>
            </w:tcBorders>
            <w:shd w:val="clear" w:color="auto" w:fill="CCECFF"/>
          </w:tcPr>
          <w:p>
            <w:pPr>
              <w:spacing w:after="0"/>
              <w:rPr>
                <w:sz w:val="13"/>
                <w:szCs w:val="13"/>
                <w:color w:val="auto"/>
              </w:rPr>
            </w:pPr>
          </w:p>
        </w:tc>
        <w:tc>
          <w:tcPr>
            <w:tcW w:w="1880" w:type="dxa"/>
            <w:vAlign w:val="bottom"/>
            <w:tcBorders>
              <w:bottom w:val="single" w:sz="8" w:color="CCECFF"/>
            </w:tcBorders>
            <w:shd w:val="clear" w:color="auto" w:fill="CCECFF"/>
          </w:tcPr>
          <w:p>
            <w:pPr>
              <w:spacing w:after="0"/>
              <w:rPr>
                <w:sz w:val="13"/>
                <w:szCs w:val="13"/>
                <w:color w:val="auto"/>
              </w:rPr>
            </w:pPr>
          </w:p>
        </w:tc>
        <w:tc>
          <w:tcPr>
            <w:tcW w:w="1020" w:type="dxa"/>
            <w:vAlign w:val="bottom"/>
            <w:tcBorders>
              <w:bottom w:val="single" w:sz="8" w:color="CCECFF"/>
            </w:tcBorders>
            <w:shd w:val="clear" w:color="auto" w:fill="CCECFF"/>
          </w:tcPr>
          <w:p>
            <w:pPr>
              <w:spacing w:after="0"/>
              <w:rPr>
                <w:sz w:val="13"/>
                <w:szCs w:val="13"/>
                <w:color w:val="auto"/>
              </w:rPr>
            </w:pPr>
          </w:p>
        </w:tc>
        <w:tc>
          <w:tcPr>
            <w:tcW w:w="900" w:type="dxa"/>
            <w:vAlign w:val="bottom"/>
            <w:tcBorders>
              <w:bottom w:val="single" w:sz="8" w:color="CCECFF"/>
            </w:tcBorders>
            <w:shd w:val="clear" w:color="auto" w:fill="CCECFF"/>
          </w:tcPr>
          <w:p>
            <w:pPr>
              <w:spacing w:after="0"/>
              <w:rPr>
                <w:sz w:val="13"/>
                <w:szCs w:val="13"/>
                <w:color w:val="auto"/>
              </w:rPr>
            </w:pPr>
          </w:p>
        </w:tc>
        <w:tc>
          <w:tcPr>
            <w:tcW w:w="260" w:type="dxa"/>
            <w:vAlign w:val="bottom"/>
            <w:tcBorders>
              <w:bottom w:val="single" w:sz="8" w:color="CCECFF"/>
            </w:tcBorders>
            <w:shd w:val="clear" w:color="auto" w:fill="CCECFF"/>
          </w:tcPr>
          <w:p>
            <w:pPr>
              <w:spacing w:after="0"/>
              <w:rPr>
                <w:sz w:val="13"/>
                <w:szCs w:val="13"/>
                <w:color w:val="auto"/>
              </w:rPr>
            </w:pPr>
          </w:p>
        </w:tc>
        <w:tc>
          <w:tcPr>
            <w:tcW w:w="82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5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75,290</w:t>
            </w:r>
          </w:p>
        </w:tc>
        <w:tc>
          <w:tcPr>
            <w:tcW w:w="20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CCECFF"/>
            </w:tcBorders>
            <w:shd w:val="clear" w:color="auto" w:fill="CCECFF"/>
          </w:tcPr>
          <w:p>
            <w:pPr>
              <w:spacing w:after="0"/>
              <w:rPr>
                <w:sz w:val="13"/>
                <w:szCs w:val="13"/>
                <w:color w:val="auto"/>
              </w:rPr>
            </w:pPr>
          </w:p>
        </w:tc>
        <w:tc>
          <w:tcPr>
            <w:tcW w:w="6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64,468</w:t>
            </w:r>
          </w:p>
        </w:tc>
        <w:tc>
          <w:tcPr>
            <w:tcW w:w="8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Controlled, Affiliated Portfolio Companies</w:t>
            </w:r>
          </w:p>
        </w:tc>
        <w:tc>
          <w:tcPr>
            <w:tcW w:w="9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245,386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216,068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Investments—219.4% of Net Assets</w:t>
            </w:r>
          </w:p>
        </w:tc>
        <w:tc>
          <w:tcPr>
            <w:tcW w:w="900" w:type="dxa"/>
            <w:vAlign w:val="bottom"/>
            <w:shd w:val="clear" w:color="auto" w:fill="CCECFF"/>
          </w:tcPr>
          <w:p>
            <w:pPr>
              <w:spacing w:after="0"/>
              <w:rPr>
                <w:sz w:val="10"/>
                <w:szCs w:val="10"/>
                <w:color w:val="auto"/>
              </w:rPr>
            </w:pPr>
          </w:p>
        </w:tc>
        <w:tc>
          <w:tcPr>
            <w:tcW w:w="188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1,117,927</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1,101,647</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Equivalents—7.7% of Net Assets</w:t>
            </w:r>
          </w:p>
        </w:tc>
        <w:tc>
          <w:tcPr>
            <w:tcW w:w="9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900" w:type="dxa"/>
            <w:vAlign w:val="bottom"/>
            <w:shd w:val="clear" w:color="auto" w:fill="CCECFF"/>
          </w:tcPr>
          <w:p>
            <w:pPr>
              <w:spacing w:after="0"/>
              <w:rPr>
                <w:sz w:val="10"/>
                <w:szCs w:val="10"/>
                <w:color w:val="auto"/>
              </w:rPr>
            </w:pPr>
          </w:p>
        </w:tc>
        <w:tc>
          <w:tcPr>
            <w:tcW w:w="188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24,683</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24,683</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Non-Money Market Cash</w:t>
            </w:r>
          </w:p>
        </w:tc>
        <w:tc>
          <w:tcPr>
            <w:tcW w:w="9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14,101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14,092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900" w:type="dxa"/>
            <w:vAlign w:val="bottom"/>
            <w:shd w:val="clear" w:color="auto" w:fill="CCECFF"/>
          </w:tcPr>
          <w:p>
            <w:pPr>
              <w:spacing w:after="0"/>
              <w:rPr>
                <w:sz w:val="10"/>
                <w:szCs w:val="10"/>
                <w:color w:val="auto"/>
              </w:rPr>
            </w:pPr>
          </w:p>
        </w:tc>
        <w:tc>
          <w:tcPr>
            <w:tcW w:w="188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38,784</w:t>
            </w: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38,775</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and Cash Equivalents—227.1% of Net Assets</w:t>
            </w:r>
          </w:p>
        </w:tc>
        <w:tc>
          <w:tcPr>
            <w:tcW w:w="9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1,156,711</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1,140,422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000" w:type="dxa"/>
            <w:vAlign w:val="bottom"/>
            <w:shd w:val="clear" w:color="auto" w:fill="CCECFF"/>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rPr>
              <w:t>Liabilities in Excess of Other Assets—(127.1%) of Net Assets</w:t>
            </w:r>
          </w:p>
        </w:tc>
        <w:tc>
          <w:tcPr>
            <w:tcW w:w="900" w:type="dxa"/>
            <w:vAlign w:val="bottom"/>
            <w:shd w:val="clear" w:color="auto" w:fill="CCECFF"/>
          </w:tcPr>
          <w:p>
            <w:pPr>
              <w:spacing w:after="0"/>
              <w:rPr>
                <w:sz w:val="8"/>
                <w:szCs w:val="8"/>
                <w:color w:val="auto"/>
              </w:rPr>
            </w:pPr>
          </w:p>
        </w:tc>
        <w:tc>
          <w:tcPr>
            <w:tcW w:w="1880" w:type="dxa"/>
            <w:vAlign w:val="bottom"/>
            <w:shd w:val="clear" w:color="auto" w:fill="CCECFF"/>
          </w:tcPr>
          <w:p>
            <w:pPr>
              <w:spacing w:after="0"/>
              <w:rPr>
                <w:sz w:val="8"/>
                <w:szCs w:val="8"/>
                <w:color w:val="auto"/>
              </w:rPr>
            </w:pPr>
          </w:p>
        </w:tc>
        <w:tc>
          <w:tcPr>
            <w:tcW w:w="1020" w:type="dxa"/>
            <w:vAlign w:val="bottom"/>
            <w:shd w:val="clear" w:color="auto" w:fill="CCECFF"/>
          </w:tcPr>
          <w:p>
            <w:pPr>
              <w:spacing w:after="0"/>
              <w:rPr>
                <w:sz w:val="8"/>
                <w:szCs w:val="8"/>
                <w:color w:val="auto"/>
              </w:rPr>
            </w:pPr>
          </w:p>
        </w:tc>
        <w:tc>
          <w:tcPr>
            <w:tcW w:w="900" w:type="dxa"/>
            <w:vAlign w:val="bottom"/>
            <w:shd w:val="clear" w:color="auto" w:fill="CCECFF"/>
          </w:tcPr>
          <w:p>
            <w:pPr>
              <w:spacing w:after="0"/>
              <w:rPr>
                <w:sz w:val="8"/>
                <w:szCs w:val="8"/>
                <w:color w:val="auto"/>
              </w:rPr>
            </w:pPr>
          </w:p>
        </w:tc>
        <w:tc>
          <w:tcPr>
            <w:tcW w:w="260" w:type="dxa"/>
            <w:vAlign w:val="bottom"/>
            <w:shd w:val="clear" w:color="auto" w:fill="CCECFF"/>
          </w:tcPr>
          <w:p>
            <w:pPr>
              <w:spacing w:after="0"/>
              <w:rPr>
                <w:sz w:val="8"/>
                <w:szCs w:val="8"/>
                <w:color w:val="auto"/>
              </w:rPr>
            </w:pPr>
          </w:p>
        </w:tc>
        <w:tc>
          <w:tcPr>
            <w:tcW w:w="82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760" w:type="dxa"/>
            <w:vAlign w:val="bottom"/>
            <w:gridSpan w:val="2"/>
            <w:shd w:val="clear" w:color="auto" w:fill="CCECFF"/>
          </w:tcPr>
          <w:p>
            <w:pPr>
              <w:jc w:val="right"/>
              <w:ind w:right="40"/>
              <w:spacing w:after="0" w:line="96" w:lineRule="exact"/>
              <w:rPr>
                <w:sz w:val="20"/>
                <w:szCs w:val="20"/>
                <w:color w:val="auto"/>
              </w:rPr>
            </w:pPr>
            <w:r>
              <w:rPr>
                <w:rFonts w:ascii="Times New Roman" w:cs="Times New Roman" w:eastAsia="Times New Roman" w:hAnsi="Times New Roman"/>
                <w:sz w:val="10"/>
                <w:szCs w:val="10"/>
                <w:color w:val="auto"/>
              </w:rPr>
              <w:t>(638,235 )</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Net Assets—100.0%</w:t>
            </w:r>
          </w:p>
        </w:tc>
        <w:tc>
          <w:tcPr>
            <w:tcW w:w="9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502,187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jc w:val="both"/>
        <w:ind w:right="40"/>
        <w:spacing w:after="0" w:line="273" w:lineRule="auto"/>
        <w:rPr>
          <w:sz w:val="20"/>
          <w:szCs w:val="20"/>
          <w:color w:val="auto"/>
        </w:rPr>
      </w:pPr>
      <w:r>
        <w:rPr>
          <w:rFonts w:ascii="Times New Roman" w:cs="Times New Roman" w:eastAsia="Times New Roman" w:hAnsi="Times New Roman"/>
          <w:sz w:val="11"/>
          <w:szCs w:val="11"/>
          <w:color w:val="auto"/>
        </w:rPr>
        <w:t>(1)The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73" w:lineRule="auto"/>
        <w:rPr>
          <w:sz w:val="20"/>
          <w:szCs w:val="20"/>
          <w:color w:val="auto"/>
        </w:rPr>
      </w:pPr>
      <w:r>
        <w:rPr>
          <w:rFonts w:ascii="Times New Roman" w:cs="Times New Roman" w:eastAsia="Times New Roman" w:hAnsi="Times New Roman"/>
          <w:sz w:val="11"/>
          <w:szCs w:val="11"/>
          <w:color w:val="auto"/>
        </w:rPr>
        <w:t>(2)The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rPr>
          <w:sz w:val="20"/>
          <w:szCs w:val="20"/>
          <w:color w:val="auto"/>
        </w:rPr>
      </w:pPr>
      <w:r>
        <w:rPr>
          <w:rFonts w:ascii="Times New Roman" w:cs="Times New Roman" w:eastAsia="Times New Roman" w:hAnsi="Times New Roman"/>
          <w:sz w:val="11"/>
          <w:szCs w:val="11"/>
          <w:color w:val="auto"/>
        </w:rPr>
        <w:t>(3)Valued based on our accounting policy (See Note 2).</w:t>
      </w:r>
    </w:p>
    <w:p>
      <w:pPr>
        <w:spacing w:after="0" w:line="3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1"/>
          <w:szCs w:val="11"/>
          <w:color w:val="auto"/>
        </w:rPr>
        <w:t>(4)Represents floating rate instruments that accrue interest at a predetermined spread relative to an index, typically the applicable Secured Overnight Financing Rate, or “SOFR”, or Prime rate, or “P, or Sterling Overnight Index Average, or “SONIA.” The spread may change based on the type of rate used. The terms in the Schedule of Investments disclose the actual interest rate in effect as of the reporting period. SOFR loans are typically indexed to a 30-day, 90-day or 180-day SOFR rates (1M S, 3M S, or 6M S, respectively) at the borrower’s option. SONIA loans are typically indexed daily for GBP loans with a quarterly frequency payment. All securities are subject to a SOFR or Prime rate floor where a spread is provided, unless noted. The spread provided includes PIK interest and other fee rates, if 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(5)The security was not valued using significant unobservable inputs. The value of all other securities was determined using significant unobservable inputs (See Note 5).</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(6)Non-income producing securities.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(7)Represents the purchase of a security with delayed settlement or a revolving line of credit that is currently an unfunded investment. This security does not earn a basis point spread above an index while it is unfunded.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(8)Non-U.S. company or principal place of business is located in The Isle of Man.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(9)Investment is held through our Taxable Subsidiary (See Note 1).</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(10)Par / Shares amount is denominated in British Pounds (£) as denoted.</w:t>
      </w:r>
    </w:p>
    <w:p>
      <w:pPr>
        <w:spacing w:after="0" w:line="30"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1"/>
          <w:szCs w:val="11"/>
          <w:color w:val="auto"/>
        </w:rPr>
        <w:t>(11)The investment is treated as a non-qualifying asset under Section 55(a) of the 1940 Act. Under the 1940 Act, we may not acquire any non-qualifying asset unless, at the time the acquisition is made, qualifying assets represent at least 70% of our total assets. As of September 30, 2023, qualifying assets represent 77% of the Company’s total assets and non-qualifying assets represent 23% of the Company’s total assets.</w:t>
      </w:r>
    </w:p>
    <w:p>
      <w:pPr>
        <w:spacing w:after="0"/>
        <w:rPr>
          <w:sz w:val="20"/>
          <w:szCs w:val="20"/>
          <w:color w:val="auto"/>
        </w:rPr>
      </w:pPr>
      <w:r>
        <w:rPr>
          <w:rFonts w:ascii="Times New Roman" w:cs="Times New Roman" w:eastAsia="Times New Roman" w:hAnsi="Times New Roman"/>
          <w:sz w:val="11"/>
          <w:szCs w:val="11"/>
          <w:color w:val="auto"/>
        </w:rPr>
        <w:t>(12)Non-accrual security.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Note: All investments are in US Companies unless noted otherwise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56" w:right="680"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 ORGANIZATION</w:t>
      </w:r>
    </w:p>
    <w:p>
      <w:pPr>
        <w:spacing w:after="0" w:line="129" w:lineRule="exact"/>
        <w:rPr>
          <w:sz w:val="20"/>
          <w:szCs w:val="20"/>
          <w:color w:val="auto"/>
        </w:rPr>
      </w:pPr>
    </w:p>
    <w:p>
      <w:pPr>
        <w:ind w:right="20" w:firstLine="420"/>
        <w:spacing w:after="0" w:line="257" w:lineRule="auto"/>
        <w:rPr>
          <w:sz w:val="20"/>
          <w:szCs w:val="20"/>
          <w:color w:val="auto"/>
        </w:rPr>
      </w:pPr>
      <w:r>
        <w:rPr>
          <w:rFonts w:ascii="Times New Roman" w:cs="Times New Roman" w:eastAsia="Times New Roman" w:hAnsi="Times New Roman"/>
          <w:sz w:val="13"/>
          <w:szCs w:val="13"/>
          <w:color w:val="auto"/>
        </w:rPr>
        <w:t>PennantPark Investment Corporation was organized as a Maryland corporation in January 2007. We are a closed-end, externally managed, non-diversified investment company that has elected to be treated as a BDC under the 1940 Act. Our investment objective is to generate both current income and capital appreciation while seeking to preserve capital through debt and equity investments. We invest primarily in U.S. middle-market companies in the form of first lien secured debt, second lien secured debt, subordinated debt and, to a lesser extent, equity investments. On April 24, 2007, we closed our initial public offering. On April 14, 2022, listing and trading of the Company's common stock commenced on the New York Stock Exchange after the Company voluntarily withdrew the principal listing of its common stock from the Nasdaq Stock Market LLC effective at market close on April 13, 2022. Our common stock trades on the New York Stock Exchange under the symbol “PNNT.”</w:t>
      </w:r>
    </w:p>
    <w:p>
      <w:pPr>
        <w:spacing w:after="0" w:line="96"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We execute our investment strategy directly and through our wholly owned subsidiaries, our unconsolidated joint venture and unconsolidated limited partnership. The term “subsidiary” means entities that primarily engage in investment activities in securities or other assets and are wholly owned by us. The Company does not intend to create or acquire primary control of any entity which primarily engages in investment activities of securities or other assets other than entities wholly owned by the Company. We comply with the provisions of Section 18 of the 1940 Act governing capital structure and leverage on an aggregate basis with our subsidiaries. Our subsidiaries comply with the provisions of Section 17 of the 1940 Act related to affiliated transactions and custody. To the extent that the Company forms a subsidiary advised by an investment adviser other than the Investment Adviser, the investment adviser to such subsidiaries will comply with the provisions of the1940 Act relating to investment advisory contracts, including but not limited to, Section 15, as if it were an investment adviser to the Company under Section 2(a)(20) of the 1940 Act.</w:t>
      </w:r>
    </w:p>
    <w:p>
      <w:pPr>
        <w:spacing w:after="0" w:line="96"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We have entered into an investment management agreement, (the "Investment Management Agreement"), with PennantPark Investment Advisors, LLC (the "Investment Adviser"), an external adviser that manages our day-to-day operations. We have also entered into an administration agreement, (the "Administration Agreement"), with PennantPark Investment Administrator LLC (the"Administrator"), which provides the administrative services necessary for us to operate. PennantPark Investment, through the Administrator, also provides similar services to SBIC II under a separate administration agreement.</w:t>
      </w:r>
    </w:p>
    <w:p>
      <w:pPr>
        <w:spacing w:after="0" w:line="127" w:lineRule="exact"/>
        <w:rPr>
          <w:sz w:val="20"/>
          <w:szCs w:val="20"/>
          <w:color w:val="auto"/>
        </w:rPr>
      </w:pPr>
    </w:p>
    <w:p>
      <w:pPr>
        <w:ind w:right="140" w:firstLine="420"/>
        <w:spacing w:after="0" w:line="262" w:lineRule="auto"/>
        <w:rPr>
          <w:sz w:val="20"/>
          <w:szCs w:val="20"/>
          <w:color w:val="auto"/>
        </w:rPr>
      </w:pPr>
      <w:r>
        <w:rPr>
          <w:rFonts w:ascii="Times New Roman" w:cs="Times New Roman" w:eastAsia="Times New Roman" w:hAnsi="Times New Roman"/>
          <w:sz w:val="13"/>
          <w:szCs w:val="13"/>
          <w:color w:val="auto"/>
        </w:rPr>
        <w:t>On July 31, 2020, we and certain entities and managed accounts of the private credit investment manager of Pantheon Ventures (UK) LLP (“Pantheon”) entered into a limited liability company agreement to co-manage PSLF, a newly- formed unconsolidated joint venture. In connection with this transaction, we contributed in-kind our formerly wholly-owned subsidiary, Funding I. As a result of this transaction, Funding I became a wholly-owned subsidiary of PSLF and has been deconsolidated from our financial statements. PSLF invests primarily in middle-market and other corporate debt securities consistent with our strategy. PSLF was formed as a Delaware limited liability company. See Note 4.</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In April 2021, we issued $150.0 million in aggregate principal amount of our 2026 Notes at a public offering price per note of 99.4%. Interest on the 2026 Notes is</w:t>
      </w:r>
    </w:p>
    <w:p>
      <w:pPr>
        <w:spacing w:after="0" w:line="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3"/>
          <w:szCs w:val="13"/>
          <w:color w:val="auto"/>
        </w:rPr>
        <w:t>paid semi- annually on May 1 and November 1 of each year, at a rate of 4.50% per year, commencing November 1, 2021. The 2026 Notes mature on May 1, 2026 and may be redeemed in whole or in part at our option subject to a make -whole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34" w:lineRule="exact"/>
        <w:rPr>
          <w:sz w:val="20"/>
          <w:szCs w:val="20"/>
          <w:color w:val="auto"/>
        </w:rPr>
      </w:pPr>
    </w:p>
    <w:p>
      <w:pPr>
        <w:ind w:right="60" w:firstLine="420"/>
        <w:spacing w:after="0" w:line="257" w:lineRule="auto"/>
        <w:rPr>
          <w:sz w:val="20"/>
          <w:szCs w:val="20"/>
          <w:color w:val="auto"/>
        </w:rPr>
      </w:pPr>
      <w:r>
        <w:rPr>
          <w:rFonts w:ascii="Times New Roman" w:cs="Times New Roman" w:eastAsia="Times New Roman" w:hAnsi="Times New Roman"/>
          <w:sz w:val="13"/>
          <w:szCs w:val="13"/>
          <w:color w:val="auto"/>
        </w:rPr>
        <w:t>In October 2021, we issued $165.0 million in aggregate principal amount of our 2026 Notes -2 at a public offering price per note of 99.436%. Interest on the 2026 Notes is paid semi -annually on May 1 and November 1 of each year, at a rate of 4.00% per year, commencing May 1, 2022. The 2026 Notes-2 mature on November 1, 2026 and may be redeemed in whole or in part at our option subject to a make-whole premium if redeemed more than three months prior to maturity. The 2026 Notes- 2 are general, unsecured obligations and rank equal in right of payment with all of our existing and future senior unsecured indebtedness. The 2026 Notes-2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Notes-2 on any securities exchange or automated dealer quotation system.</w:t>
      </w:r>
    </w:p>
    <w:p>
      <w:pPr>
        <w:spacing w:after="0" w:line="132" w:lineRule="exact"/>
        <w:rPr>
          <w:sz w:val="20"/>
          <w:szCs w:val="20"/>
          <w:color w:val="auto"/>
        </w:rPr>
      </w:pPr>
    </w:p>
    <w:p>
      <w:pPr>
        <w:ind w:right="260" w:firstLine="420"/>
        <w:spacing w:after="0" w:line="259" w:lineRule="auto"/>
        <w:rPr>
          <w:sz w:val="20"/>
          <w:szCs w:val="20"/>
          <w:color w:val="auto"/>
        </w:rPr>
      </w:pPr>
      <w:r>
        <w:rPr>
          <w:rFonts w:ascii="Times New Roman" w:cs="Times New Roman" w:eastAsia="Times New Roman" w:hAnsi="Times New Roman"/>
          <w:sz w:val="13"/>
          <w:szCs w:val="13"/>
          <w:color w:val="auto"/>
        </w:rPr>
        <w:t>On November 22, 2021, we formed PNNT Investment Holdings II, LLC, a Delaware limited liability company (“Holdings II”), as a wholly owned subsidiary. On December 31, 2022, we contributed 100% of our interests in PNNT Investment Holdings, LLC (“Holdings”) to Holdings II . Effective as of January 1, 2024, Holdings II made an election to be treated as a corporation for U.S. federal income tax purposes. On January 3, 2024, we purchased an equity interest in Holdings from Holdings II and Holdings became a partnership for U.S. federal income tax purposes. The Company and Holdings II entered into a limited liability company agreement with respect to Holdings that provides for certain payments and the sharing of income, gain, loss and deductions attributable to Holdings’ investments.</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In January 2022, we funded PennantPark-TSO Senior Loan Fund II LP, ("PTSF II"), an unconsolidated limited partnership, organized as a Delaware limited liability partnership. We sold</w:t>
      </w:r>
    </w:p>
    <w:p>
      <w:pPr>
        <w:spacing w:after="0" w:line="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$82.3 million in investments to a wholly-owned subsidiary of PTSF II in exchange for cash in the amount of $75.7 million and an $6.6 million equity interest in PTSF II representing 23.1% of the total outstanding Class A Units of PTSF II. We recognized $0.2 million of realized gain upon the formation of PTSF II. As of September 30, 2024, our capital commitment of $15.0 million is 100% funded and we hold 23.1% of the total outstanding Class A Units of PTSF II and a 4.99% voting interest in the general partner which manages PTSF II.</w:t>
      </w:r>
    </w:p>
    <w:p>
      <w:pPr>
        <w:spacing w:after="0" w:line="94" w:lineRule="exact"/>
        <w:rPr>
          <w:sz w:val="20"/>
          <w:szCs w:val="20"/>
          <w:color w:val="auto"/>
        </w:rPr>
      </w:pPr>
    </w:p>
    <w:p>
      <w:pPr>
        <w:ind w:right="40" w:firstLine="420"/>
        <w:spacing w:after="0" w:line="286" w:lineRule="auto"/>
        <w:rPr>
          <w:sz w:val="20"/>
          <w:szCs w:val="20"/>
          <w:color w:val="auto"/>
        </w:rPr>
      </w:pPr>
      <w:r>
        <w:rPr>
          <w:rFonts w:ascii="Times New Roman" w:cs="Times New Roman" w:eastAsia="Times New Roman" w:hAnsi="Times New Roman"/>
          <w:sz w:val="13"/>
          <w:szCs w:val="13"/>
          <w:color w:val="auto"/>
        </w:rPr>
        <w:t>We are operated by a person who has claimed an exclusion from the definition of the term “commodity pool operator” under the Commodity Exchange Act and the Investment Adviser intends to continue to affirm the exclusion on an annual basis, and therefore, is not subject to registration or regulation as a commodity pool operator under the Commodity Exchange Act.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 SIGNIFICANT ACCOUNTING POLICIES</w:t>
      </w:r>
    </w:p>
    <w:p>
      <w:pPr>
        <w:spacing w:after="0" w:line="129" w:lineRule="exact"/>
        <w:rPr>
          <w:sz w:val="20"/>
          <w:szCs w:val="20"/>
          <w:color w:val="auto"/>
        </w:rPr>
      </w:pPr>
    </w:p>
    <w:p>
      <w:pPr>
        <w:ind w:right="40" w:firstLine="420"/>
        <w:spacing w:after="0" w:line="256" w:lineRule="auto"/>
        <w:rPr>
          <w:sz w:val="20"/>
          <w:szCs w:val="20"/>
          <w:color w:val="auto"/>
        </w:rPr>
      </w:pPr>
      <w:r>
        <w:rPr>
          <w:rFonts w:ascii="Times New Roman" w:cs="Times New Roman" w:eastAsia="Times New Roman" w:hAnsi="Times New Roman"/>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Changes in the economic and regulatory environment, financial markets, the credit worthiness of our portfolio companies and any other parameters used in determining these estimates and assumptions could cause actual results to differ from such estimates and assumptions. We may reclassify certain prior period amounts to conform to the current period presentation. We have eliminated all intercompany balances and transactions in consolidation. References to the Financial Accounting Standards Board’s, or FASB’s,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2" w:right="660"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293" w:lineRule="exact"/>
        <w:rPr>
          <w:sz w:val="20"/>
          <w:szCs w:val="20"/>
          <w:color w:val="auto"/>
        </w:rPr>
      </w:pPr>
    </w:p>
    <w:p>
      <w:pPr>
        <w:ind w:right="60" w:firstLine="420"/>
        <w:spacing w:after="0" w:line="268" w:lineRule="auto"/>
        <w:rPr>
          <w:sz w:val="20"/>
          <w:szCs w:val="20"/>
          <w:color w:val="auto"/>
        </w:rPr>
      </w:pPr>
      <w:r>
        <w:rPr>
          <w:rFonts w:ascii="Times New Roman" w:cs="Times New Roman" w:eastAsia="Times New Roman" w:hAnsi="Times New Roman"/>
          <w:sz w:val="13"/>
          <w:szCs w:val="13"/>
          <w:color w:val="auto"/>
        </w:rPr>
        <w:t>Our Consolidated Financial Statements are prepared in accordance with GAAP, consistent with ASC Topic 946, Financial Services – Investment Companies, and pursuant to the requirements for reporting on Form 10-K/Q and Articles 6, 10 and 12 of Regulation S- X, as appropriate. In accordance with Article 6-09 of Regulation S-X, we have provided a Consolidated Statement of Changes in Net Assets in lieu of a Consolidated Statement of Changes in Stockholders’ Equity.</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(a)Investment Valuations</w:t>
      </w:r>
    </w:p>
    <w:p>
      <w:pPr>
        <w:spacing w:after="0" w:line="131" w:lineRule="exact"/>
        <w:rPr>
          <w:sz w:val="20"/>
          <w:szCs w:val="20"/>
          <w:color w:val="auto"/>
        </w:rPr>
      </w:pPr>
    </w:p>
    <w:p>
      <w:pPr>
        <w:ind w:right="20" w:firstLine="420"/>
        <w:spacing w:after="0" w:line="256" w:lineRule="auto"/>
        <w:rPr>
          <w:sz w:val="20"/>
          <w:szCs w:val="20"/>
          <w:color w:val="auto"/>
        </w:rPr>
      </w:pPr>
      <w:r>
        <w:rPr>
          <w:rFonts w:ascii="Times New Roman" w:cs="Times New Roman" w:eastAsia="Times New Roman" w:hAnsi="Times New Roman"/>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96" w:lineRule="exact"/>
        <w:rPr>
          <w:sz w:val="20"/>
          <w:szCs w:val="20"/>
          <w:color w:val="auto"/>
        </w:rPr>
      </w:pPr>
    </w:p>
    <w:p>
      <w:pPr>
        <w:ind w:right="220" w:firstLine="420"/>
        <w:spacing w:after="0" w:line="286" w:lineRule="auto"/>
        <w:rPr>
          <w:sz w:val="20"/>
          <w:szCs w:val="20"/>
          <w:color w:val="auto"/>
        </w:rPr>
      </w:pPr>
      <w:r>
        <w:rPr>
          <w:rFonts w:ascii="Times New Roman" w:cs="Times New Roman" w:eastAsia="Times New Roman" w:hAnsi="Times New Roman"/>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540" w:right="240"/>
        <w:spacing w:after="0" w:line="286" w:lineRule="auto"/>
        <w:rPr>
          <w:sz w:val="20"/>
          <w:szCs w:val="20"/>
          <w:color w:val="auto"/>
        </w:rPr>
      </w:pPr>
      <w:r>
        <w:rPr>
          <w:rFonts w:ascii="Times New Roman" w:cs="Times New Roman" w:eastAsia="Times New Roman" w:hAnsi="Times New Roman"/>
          <w:sz w:val="13"/>
          <w:szCs w:val="13"/>
          <w:color w:val="auto"/>
        </w:rPr>
        <w:t>(1)Our quarterly valuation process begins with each portfolio company or investment being initially valued by the investment professionals of the Investment Adviser responsible for the portfolio investment;</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(2)Preliminary valuation conclusions are then documented and discussed with the management of the Investment Adviser;</w:t>
      </w:r>
    </w:p>
    <w:p>
      <w:pPr>
        <w:spacing w:after="0" w:line="127" w:lineRule="exact"/>
        <w:rPr>
          <w:sz w:val="20"/>
          <w:szCs w:val="20"/>
          <w:color w:val="auto"/>
        </w:rPr>
      </w:pPr>
    </w:p>
    <w:p>
      <w:pPr>
        <w:ind w:left="540" w:right="80"/>
        <w:spacing w:after="0" w:line="268" w:lineRule="auto"/>
        <w:rPr>
          <w:sz w:val="20"/>
          <w:szCs w:val="20"/>
          <w:color w:val="auto"/>
        </w:rPr>
      </w:pPr>
      <w:r>
        <w:rPr>
          <w:rFonts w:ascii="Times New Roman" w:cs="Times New Roman" w:eastAsia="Times New Roman" w:hAnsi="Times New Roman"/>
          <w:sz w:val="13"/>
          <w:szCs w:val="13"/>
          <w:color w:val="auto"/>
        </w:rPr>
        <w:t>(3)Our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87" w:lineRule="exact"/>
        <w:rPr>
          <w:sz w:val="20"/>
          <w:szCs w:val="20"/>
          <w:color w:val="auto"/>
        </w:rPr>
      </w:pPr>
    </w:p>
    <w:p>
      <w:pPr>
        <w:ind w:left="540" w:right="40"/>
        <w:spacing w:after="0" w:line="268" w:lineRule="auto"/>
        <w:rPr>
          <w:sz w:val="20"/>
          <w:szCs w:val="20"/>
          <w:color w:val="auto"/>
        </w:rPr>
      </w:pPr>
      <w:r>
        <w:rPr>
          <w:rFonts w:ascii="Times New Roman" w:cs="Times New Roman" w:eastAsia="Times New Roman" w:hAnsi="Times New Roman"/>
          <w:sz w:val="13"/>
          <w:szCs w:val="13"/>
          <w:color w:val="auto"/>
        </w:rPr>
        <w:t>(4)The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7" w:lineRule="exact"/>
        <w:rPr>
          <w:sz w:val="20"/>
          <w:szCs w:val="20"/>
          <w:color w:val="auto"/>
        </w:rPr>
      </w:pPr>
    </w:p>
    <w:p>
      <w:pPr>
        <w:ind w:left="540" w:right="480"/>
        <w:spacing w:after="0" w:line="286" w:lineRule="auto"/>
        <w:rPr>
          <w:sz w:val="20"/>
          <w:szCs w:val="20"/>
          <w:color w:val="auto"/>
        </w:rPr>
      </w:pPr>
      <w:r>
        <w:rPr>
          <w:rFonts w:ascii="Times New Roman" w:cs="Times New Roman" w:eastAsia="Times New Roman" w:hAnsi="Times New Roman"/>
          <w:sz w:val="13"/>
          <w:szCs w:val="13"/>
          <w:color w:val="auto"/>
        </w:rPr>
        <w:t>(5)Our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76" w:lineRule="exact"/>
        <w:rPr>
          <w:sz w:val="20"/>
          <w:szCs w:val="20"/>
          <w:color w:val="auto"/>
        </w:rPr>
      </w:pPr>
    </w:p>
    <w:p>
      <w:pPr>
        <w:ind w:right="300" w:firstLine="420"/>
        <w:spacing w:after="0" w:line="262" w:lineRule="auto"/>
        <w:rPr>
          <w:sz w:val="20"/>
          <w:szCs w:val="20"/>
          <w:color w:val="auto"/>
        </w:rPr>
      </w:pPr>
      <w:r>
        <w:rPr>
          <w:rFonts w:ascii="Times New Roman" w:cs="Times New Roman" w:eastAsia="Times New Roman" w:hAnsi="Times New Roman"/>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(b)Security Transactions, Revenue Recognition, and Realized/Unrealized Gains or Losses</w:t>
      </w:r>
    </w:p>
    <w:p>
      <w:pPr>
        <w:spacing w:after="0" w:line="131"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and the Truist Credit Facility during the reporting period, including the reversal of previously recorded unrealized appreciation or depreciation, when gains or losses are realized.</w:t>
      </w:r>
    </w:p>
    <w:p>
      <w:pPr>
        <w:spacing w:after="0" w:line="91" w:lineRule="exact"/>
        <w:rPr>
          <w:sz w:val="20"/>
          <w:szCs w:val="20"/>
          <w:color w:val="auto"/>
        </w:rPr>
      </w:pPr>
    </w:p>
    <w:p>
      <w:pPr>
        <w:ind w:right="100" w:firstLine="420"/>
        <w:spacing w:after="0" w:line="256" w:lineRule="auto"/>
        <w:rPr>
          <w:sz w:val="20"/>
          <w:szCs w:val="20"/>
          <w:color w:val="auto"/>
        </w:rPr>
      </w:pPr>
      <w:r>
        <w:rPr>
          <w:rFonts w:ascii="Times New Roman" w:cs="Times New Roman" w:eastAsia="Times New Roman" w:hAnsi="Times New Roman"/>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96"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Loans are placed on non-accrual status when principal or interest payments are past due 30 days or more and/or if there is reasonable doubt that principal or interest will be collected. Accrued interest is generally reversed when a loan is placed on non- 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September 30, 2024,we had two portfolio company on non -accrual, representing 4.1% and 2.3% of our overall portfolio on a cost and fair value basis, respectively. As of September 30, 2023, we had one portfolio company on non-accrual representing 1.2% and zero percent of our overall portfolio on a cost and fair value basis, respectively.</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(c)Income Taxes</w:t>
      </w:r>
    </w:p>
    <w:p>
      <w:pPr>
        <w:spacing w:after="0" w:line="131" w:lineRule="exact"/>
        <w:rPr>
          <w:sz w:val="20"/>
          <w:szCs w:val="20"/>
          <w:color w:val="auto"/>
        </w:rPr>
      </w:pPr>
    </w:p>
    <w:p>
      <w:pPr>
        <w:ind w:right="100" w:firstLine="420"/>
        <w:spacing w:after="0" w:line="257" w:lineRule="auto"/>
        <w:rPr>
          <w:sz w:val="20"/>
          <w:szCs w:val="20"/>
          <w:color w:val="auto"/>
        </w:rPr>
      </w:pPr>
      <w:r>
        <w:rPr>
          <w:rFonts w:ascii="Times New Roman" w:cs="Times New Roman" w:eastAsia="Times New Roman" w:hAnsi="Times New Roman"/>
          <w:sz w:val="13"/>
          <w:szCs w:val="13"/>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U.S. federal income tax purposes, we typically do not incur any material federal income taxes. However, we may choose to retain a portion of our calendar year income, which may result in the imposition of an excise tax. Additionally, certain of the Company’s consolidated subsidiaries are subject to federal, state and local income taxes. For the years ended September 30, 2024, 2023, and 2022, we recorded a provision for taxes on net investment income of $2.6 million, $4.3 million and $0.8 million, respectively, which pertains to U.S. federal excise tax.</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293" w:lineRule="exact"/>
        <w:rPr>
          <w:sz w:val="20"/>
          <w:szCs w:val="20"/>
          <w:color w:val="auto"/>
        </w:rPr>
      </w:pPr>
    </w:p>
    <w:p>
      <w:pPr>
        <w:ind w:right="20" w:firstLine="420"/>
        <w:spacing w:after="0" w:line="257" w:lineRule="auto"/>
        <w:rPr>
          <w:sz w:val="20"/>
          <w:szCs w:val="20"/>
          <w:color w:val="auto"/>
        </w:rPr>
      </w:pPr>
      <w:r>
        <w:rPr>
          <w:rFonts w:ascii="Times New Roman" w:cs="Times New Roman" w:eastAsia="Times New Roman" w:hAnsi="Times New Roman"/>
          <w:sz w:val="13"/>
          <w:szCs w:val="13"/>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32" w:lineRule="exact"/>
        <w:rPr>
          <w:sz w:val="20"/>
          <w:szCs w:val="20"/>
          <w:color w:val="auto"/>
        </w:rPr>
      </w:pPr>
    </w:p>
    <w:p>
      <w:pPr>
        <w:ind w:right="260" w:firstLine="420"/>
        <w:spacing w:after="0" w:line="259" w:lineRule="auto"/>
        <w:rPr>
          <w:sz w:val="20"/>
          <w:szCs w:val="20"/>
          <w:color w:val="auto"/>
        </w:rPr>
      </w:pPr>
      <w:r>
        <w:rPr>
          <w:rFonts w:ascii="Times New Roman" w:cs="Times New Roman" w:eastAsia="Times New Roman" w:hAnsi="Times New Roman"/>
          <w:sz w:val="13"/>
          <w:szCs w:val="13"/>
          <w:color w:val="auto"/>
        </w:rPr>
        <w:t>On November 22, 2021, we formed PNNT Investment Holdings II, LLC, a Delaware limited liability company (“Holdings II”), as a wholly owned subsidiary. On December 31, 2022, we contributed 100% of our interests in PNNT Investment Holdings, LLC (“Holdings”) to Holdings II . Effective as of January 1, 2024, Holdings II made an election to be treated as a corporation for U.S. federal income tax purposes. On January 3, 2024, we purchased an equity interest in Holdings from Holdings II and Holdings became a partnership for U.S. federal income tax purposes. The Company and Holdings II entered into a limited liability company agreement with respect to Holdings that provides for certain payments and the sharing of income, gain, loss and deductions attributable to Holdings’ investments.</w:t>
      </w:r>
    </w:p>
    <w:p>
      <w:pPr>
        <w:spacing w:after="0" w:line="94" w:lineRule="exact"/>
        <w:rPr>
          <w:sz w:val="20"/>
          <w:szCs w:val="20"/>
          <w:color w:val="auto"/>
        </w:rPr>
      </w:pPr>
    </w:p>
    <w:p>
      <w:pPr>
        <w:ind w:right="80" w:firstLine="420"/>
        <w:spacing w:after="0" w:line="257" w:lineRule="auto"/>
        <w:rPr>
          <w:sz w:val="20"/>
          <w:szCs w:val="20"/>
          <w:color w:val="auto"/>
        </w:rPr>
      </w:pPr>
      <w:r>
        <w:rPr>
          <w:rFonts w:ascii="Times New Roman" w:cs="Times New Roman" w:eastAsia="Times New Roman" w:hAnsi="Times New Roman"/>
          <w:sz w:val="13"/>
          <w:szCs w:val="13"/>
          <w:color w:val="auto"/>
        </w:rPr>
        <w:t>For the years ended September 30, 2024, 2023 and 2022 the Company recognized a provision for taxes of $0.2 million, $(5.0) million, and $(6.2) million, respectively, on net realized gain on investments by the Taxable Subsidiary. For the years ended September 30, 2024, 2023 and 2022 the Company recognized a provision for taxes of $(0.7) million, $1.6 million, and $ (0.9) million, respectively, on net unrealized gain on investments by the Taxable Subsidiary. The provision for taxes on net realized and unrealized gains on investments is the result of netting (i) the expected tax liability on the gains from the sales of investments which were realized and unrealized during fiscal year ending September 30, 2024 and (ii) the expected tax benefit resulting from the use of loss carryforwards to offset such gains. For the year ended September 30, 2024, 2023 and 2022 the Company recognized a provision for taxes $0.5 million, $3.4 million, and $7.1 million, respectively, on net realized and unrealized gains on investments by the Taxable Subsidiary.</w:t>
      </w:r>
    </w:p>
    <w:p>
      <w:pPr>
        <w:spacing w:after="0" w:line="96" w:lineRule="exact"/>
        <w:rPr>
          <w:sz w:val="20"/>
          <w:szCs w:val="20"/>
          <w:color w:val="auto"/>
        </w:rPr>
      </w:pPr>
    </w:p>
    <w:p>
      <w:pPr>
        <w:ind w:right="240" w:firstLine="420"/>
        <w:spacing w:after="0" w:line="286" w:lineRule="auto"/>
        <w:rPr>
          <w:sz w:val="20"/>
          <w:szCs w:val="20"/>
          <w:color w:val="auto"/>
        </w:rPr>
      </w:pPr>
      <w:r>
        <w:rPr>
          <w:rFonts w:ascii="Times New Roman" w:cs="Times New Roman" w:eastAsia="Times New Roman" w:hAnsi="Times New Roman"/>
          <w:sz w:val="13"/>
          <w:szCs w:val="13"/>
          <w:color w:val="auto"/>
        </w:rPr>
        <w:t>During the year ended September 30, 2024, 2023 and 2022 the Company paid zero, zero, and $4.0 million respectively, in federal taxes on realized gains on the sale of investments held by the Taxable Subsidiary. The state and local tax liability of zero as of September 30, 2024 is included under accrued other expenses in the consolidated statement of assets and liabilities.</w:t>
      </w:r>
    </w:p>
    <w:p>
      <w:pPr>
        <w:spacing w:after="0" w:line="76" w:lineRule="exact"/>
        <w:rPr>
          <w:sz w:val="20"/>
          <w:szCs w:val="20"/>
          <w:color w:val="auto"/>
        </w:rPr>
      </w:pPr>
    </w:p>
    <w:p>
      <w:pPr>
        <w:ind w:right="220" w:firstLine="420"/>
        <w:spacing w:after="0" w:line="268" w:lineRule="auto"/>
        <w:rPr>
          <w:sz w:val="20"/>
          <w:szCs w:val="20"/>
          <w:color w:val="auto"/>
        </w:rPr>
      </w:pPr>
      <w:r>
        <w:rPr>
          <w:rFonts w:ascii="Times New Roman" w:cs="Times New Roman" w:eastAsia="Times New Roman" w:hAnsi="Times New Roman"/>
          <w:sz w:val="13"/>
          <w:szCs w:val="13"/>
          <w:color w:val="auto"/>
        </w:rPr>
        <w:t>Because U.S. federal income tax regulations differ from GAAP, distributions characterized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(d)Distributions and Capital Transactions</w:t>
      </w:r>
    </w:p>
    <w:p>
      <w:pPr>
        <w:spacing w:after="0" w:line="131" w:lineRule="exact"/>
        <w:rPr>
          <w:sz w:val="20"/>
          <w:szCs w:val="20"/>
          <w:color w:val="auto"/>
        </w:rPr>
      </w:pPr>
    </w:p>
    <w:p>
      <w:pPr>
        <w:ind w:firstLine="420"/>
        <w:spacing w:after="0" w:line="268" w:lineRule="auto"/>
        <w:rPr>
          <w:sz w:val="20"/>
          <w:szCs w:val="20"/>
          <w:color w:val="auto"/>
        </w:rPr>
      </w:pPr>
      <w:r>
        <w:rPr>
          <w:rFonts w:ascii="Times New Roman" w:cs="Times New Roman" w:eastAsia="Times New Roman" w:hAnsi="Times New Roman"/>
          <w:sz w:val="13"/>
          <w:szCs w:val="13"/>
          <w:color w:val="auto"/>
        </w:rPr>
        <w:t>Distributions to common stockholders are recorded on the ex-dividend date. The amount to be paid, if any, as a distribution is determined by our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87" w:lineRule="exact"/>
        <w:rPr>
          <w:sz w:val="20"/>
          <w:szCs w:val="20"/>
          <w:color w:val="auto"/>
        </w:rPr>
      </w:pPr>
    </w:p>
    <w:p>
      <w:pPr>
        <w:ind w:right="200" w:firstLine="420"/>
        <w:spacing w:after="0" w:line="286" w:lineRule="auto"/>
        <w:rPr>
          <w:sz w:val="20"/>
          <w:szCs w:val="20"/>
          <w:color w:val="auto"/>
        </w:rPr>
      </w:pPr>
      <w:r>
        <w:rPr>
          <w:rFonts w:ascii="Times New Roman" w:cs="Times New Roman" w:eastAsia="Times New Roman" w:hAnsi="Times New Roman"/>
          <w:sz w:val="13"/>
          <w:szCs w:val="13"/>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76" w:lineRule="exact"/>
        <w:rPr>
          <w:sz w:val="20"/>
          <w:szCs w:val="20"/>
          <w:color w:val="auto"/>
        </w:rPr>
      </w:pPr>
    </w:p>
    <w:p>
      <w:pPr>
        <w:ind w:firstLine="420"/>
        <w:spacing w:after="0" w:line="256" w:lineRule="auto"/>
        <w:rPr>
          <w:sz w:val="20"/>
          <w:szCs w:val="20"/>
          <w:color w:val="auto"/>
        </w:rPr>
      </w:pPr>
      <w:r>
        <w:rPr>
          <w:rFonts w:ascii="Times New Roman" w:cs="Times New Roman" w:eastAsia="Times New Roman" w:hAnsi="Times New Roman"/>
          <w:sz w:val="13"/>
          <w:szCs w:val="13"/>
          <w:color w:val="auto"/>
        </w:rPr>
        <w:t>On June 4, 2024, we entered into equity distribution agreements with Truist Securities, Inc. and Keefe, Bruyette &amp; Woods, Inc. (together, the "Equity Distribution Agreements"), as sales agents (each a "Sales Agent" and together, the "Sales Agents") in connection with the sale of shares of our common stock, with an aggregate offering price of up to $100 million under an at-the-market offering ("ATM Program"). We may offer and sell shares of our common stock from time to time through a Sales Agent in amounts and at times to be determined by us. Actual sales will depend on a variety of factors to be determined by us from time to time, including, market conditions and the trading price of our common stock. The Investment Adviser may, from time to time, in its sole discretion, pay some or all of the commissions payable under the Equity Distribution Agreements or make additional supplemental payments to ensure that the sales price per share of our common stock in connection with all of the offerings made hereunder will not be less than our current NAV per share. Any such payments made by the Investment Adviser will not be subject to reimbursement by us.</w:t>
      </w:r>
    </w:p>
    <w:p>
      <w:pPr>
        <w:spacing w:after="0" w:line="256" w:lineRule="exact"/>
        <w:rPr>
          <w:sz w:val="20"/>
          <w:szCs w:val="20"/>
          <w:color w:val="auto"/>
        </w:rPr>
      </w:pPr>
    </w:p>
    <w:p>
      <w:pPr>
        <w:jc w:val="both"/>
        <w:ind w:right="160" w:firstLine="420"/>
        <w:spacing w:after="0" w:line="268" w:lineRule="auto"/>
        <w:rPr>
          <w:sz w:val="20"/>
          <w:szCs w:val="20"/>
          <w:color w:val="auto"/>
        </w:rPr>
      </w:pPr>
      <w:r>
        <w:rPr>
          <w:rFonts w:ascii="Times New Roman" w:cs="Times New Roman" w:eastAsia="Times New Roman" w:hAnsi="Times New Roman"/>
          <w:sz w:val="13"/>
          <w:szCs w:val="13"/>
          <w:color w:val="auto"/>
        </w:rPr>
        <w:t>During the year ended September 30, 2024, we issued 71,594 shares of common stock through the ATM Program at an average price of $ 7.72 per share, raising $0.6 million of net proceeds after commissions to the sales agents and inclusive of proceeds from the Investment Adviser to ensure that all shares were sold at or above NAV, respectively. In connection with the share issuance, we expensed $0.3 million of deferred offering costs incurred related to establishing the ATM Program to additional paid in capital.</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(e)Foreign Currency Translation</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books and records are maintained in U.S. dollars. Any foreign currency amounts are translated into U.S. dollars on the following basis:</w:t>
      </w:r>
    </w:p>
    <w:p>
      <w:pPr>
        <w:spacing w:after="0" w:line="127" w:lineRule="exact"/>
        <w:rPr>
          <w:sz w:val="20"/>
          <w:szCs w:val="20"/>
          <w:color w:val="auto"/>
        </w:rPr>
      </w:pPr>
    </w:p>
    <w:p>
      <w:pPr>
        <w:ind w:left="640" w:hanging="142"/>
        <w:spacing w:after="0"/>
        <w:tabs>
          <w:tab w:leader="none" w:pos="6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Fair value of investment securities, other assets and liabilities – at the exchange rates prevailing at the end of the applicable period; and</w:t>
      </w:r>
    </w:p>
    <w:p>
      <w:pPr>
        <w:spacing w:after="0" w:line="126" w:lineRule="exact"/>
        <w:rPr>
          <w:rFonts w:ascii="Times New Roman" w:cs="Times New Roman" w:eastAsia="Times New Roman" w:hAnsi="Times New Roman"/>
          <w:sz w:val="13"/>
          <w:szCs w:val="13"/>
          <w:color w:val="auto"/>
        </w:rPr>
      </w:pPr>
    </w:p>
    <w:p>
      <w:pPr>
        <w:ind w:left="640" w:hanging="142"/>
        <w:spacing w:after="0"/>
        <w:tabs>
          <w:tab w:leader="none" w:pos="6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Purchases and sales of investment securities, income and expenses – at the exchange rates prevailing on the respective dates of such transactions.</w:t>
      </w:r>
    </w:p>
    <w:p>
      <w:pPr>
        <w:spacing w:after="0" w:line="127" w:lineRule="exact"/>
        <w:rPr>
          <w:sz w:val="20"/>
          <w:szCs w:val="20"/>
          <w:color w:val="auto"/>
        </w:rPr>
      </w:pPr>
    </w:p>
    <w:p>
      <w:pPr>
        <w:jc w:val="both"/>
        <w:ind w:right="200" w:firstLine="420"/>
        <w:spacing w:after="0" w:line="268" w:lineRule="auto"/>
        <w:rPr>
          <w:sz w:val="20"/>
          <w:szCs w:val="20"/>
          <w:color w:val="auto"/>
        </w:rPr>
      </w:pPr>
      <w:r>
        <w:rPr>
          <w:rFonts w:ascii="Times New Roman" w:cs="Times New Roman" w:eastAsia="Times New Roman" w:hAnsi="Times New Roman"/>
          <w:sz w:val="13"/>
          <w:szCs w:val="13"/>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87" w:lineRule="exact"/>
        <w:rPr>
          <w:sz w:val="20"/>
          <w:szCs w:val="20"/>
          <w:color w:val="auto"/>
        </w:rPr>
      </w:pPr>
    </w:p>
    <w:p>
      <w:pPr>
        <w:ind w:right="160" w:firstLine="420"/>
        <w:spacing w:after="0" w:line="268" w:lineRule="auto"/>
        <w:rPr>
          <w:sz w:val="20"/>
          <w:szCs w:val="20"/>
          <w:color w:val="auto"/>
        </w:rPr>
      </w:pPr>
      <w:r>
        <w:rPr>
          <w:rFonts w:ascii="Times New Roman" w:cs="Times New Roman" w:eastAsia="Times New Roman" w:hAnsi="Times New Roman"/>
          <w:sz w:val="13"/>
          <w:szCs w:val="13"/>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2" w:right="660"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(f) Consolidation</w:t>
      </w:r>
    </w:p>
    <w:p>
      <w:pPr>
        <w:spacing w:after="0" w:line="131" w:lineRule="exact"/>
        <w:rPr>
          <w:sz w:val="20"/>
          <w:szCs w:val="20"/>
          <w:color w:val="auto"/>
        </w:rPr>
      </w:pPr>
    </w:p>
    <w:p>
      <w:pPr>
        <w:ind w:right="220" w:firstLine="420"/>
        <w:spacing w:after="0" w:line="268" w:lineRule="auto"/>
        <w:rPr>
          <w:sz w:val="20"/>
          <w:szCs w:val="20"/>
          <w:color w:val="auto"/>
        </w:rPr>
      </w:pPr>
      <w:r>
        <w:rPr>
          <w:rFonts w:ascii="Times New Roman" w:cs="Times New Roman" w:eastAsia="Times New Roman" w:hAnsi="Times New Roman"/>
          <w:sz w:val="13"/>
          <w:szCs w:val="13"/>
          <w:color w:val="auto"/>
        </w:rPr>
        <w:t>As permitted under Regulation S-X and as explained by ASC paragraph 946-810-45-3,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Subsidiary in our Consolidated Financial Statements. We do not consolidate our non-controlling interests in PSLF or PTSF II. See further description of our investment in PSLF in Note 4.</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(g) Asset Transfers and Servicing</w:t>
      </w:r>
    </w:p>
    <w:p>
      <w:pPr>
        <w:spacing w:after="0" w:line="131" w:lineRule="exact"/>
        <w:rPr>
          <w:sz w:val="20"/>
          <w:szCs w:val="20"/>
          <w:color w:val="auto"/>
        </w:rPr>
      </w:pPr>
    </w:p>
    <w:p>
      <w:pPr>
        <w:ind w:right="60" w:firstLine="420"/>
        <w:spacing w:after="0" w:line="286" w:lineRule="auto"/>
        <w:rPr>
          <w:sz w:val="20"/>
          <w:szCs w:val="20"/>
          <w:color w:val="auto"/>
        </w:rPr>
      </w:pPr>
      <w:r>
        <w:rPr>
          <w:rFonts w:ascii="Times New Roman" w:cs="Times New Roman" w:eastAsia="Times New Roman" w:hAnsi="Times New Roman"/>
          <w:sz w:val="13"/>
          <w:szCs w:val="13"/>
          <w:color w:val="auto"/>
        </w:rPr>
        <w:t>Asset transfers that do not meet ASC Topic 860, Transfers and Servicing, requirements for sale accounting treatment are reflected in the Consolidated Statements of Assets and Liabilities and the Consolidated Schedules of Investments as investments.</w:t>
      </w:r>
    </w:p>
    <w:p>
      <w:pPr>
        <w:spacing w:after="0" w:line="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(h) Recent Accounting Pronouncements</w:t>
      </w:r>
    </w:p>
    <w:p>
      <w:pPr>
        <w:spacing w:after="0" w:line="131"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3"/>
          <w:szCs w:val="13"/>
          <w:color w:val="auto"/>
        </w:rPr>
        <w:t>In March 2020, the FASB issued Accounting Standards Update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FASB approved an (optional) two year extension to December 31, 2024, for transitioning away from LIBOR. The Company utilized the optional expedients and exceptions provided by ASU 2020-04 during the year ended September 30, 2024, the effect of which was not material to the consolidated financial statements and the notes thereto.</w:t>
      </w:r>
    </w:p>
    <w:p>
      <w:pPr>
        <w:spacing w:after="0" w:line="94"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In March 2022, the FASB issued ASU 2022-02, “Financial Instruments - Credit Losses (Topic 326)”, which is intended to address issues identified during the post-implementation review of ASU 2016-13, “Financial Instruments - Credit Losses (Topic 326): Measurement of Credit Losses on Financial Instruments”. The amendment, among other things, eliminates the accounting guidance for troubled debt restructurings by creditors in Subtopic 310 -40, “Receivables - Troubled Debt Restructurings by Creditors”, while enhancing disclosure requirements for certain loan refinancings and restructurings by creditors when a borrower is experiencing financial difficulty. The new guidance is effective for interim and annual periods beginning after December 15, 2022. The Company has adopted the new accounting standard implementing appropriate controls and procedures, the effect of which was not material to the consolidated financial statements and the notes thereto.</w:t>
      </w:r>
    </w:p>
    <w:p>
      <w:pPr>
        <w:spacing w:after="0" w:line="130" w:lineRule="exact"/>
        <w:rPr>
          <w:sz w:val="20"/>
          <w:szCs w:val="20"/>
          <w:color w:val="auto"/>
        </w:rPr>
      </w:pPr>
    </w:p>
    <w:p>
      <w:pPr>
        <w:ind w:right="120" w:firstLine="420"/>
        <w:spacing w:after="0" w:line="257" w:lineRule="auto"/>
        <w:rPr>
          <w:sz w:val="20"/>
          <w:szCs w:val="20"/>
          <w:color w:val="auto"/>
        </w:rPr>
      </w:pPr>
      <w:r>
        <w:rPr>
          <w:rFonts w:ascii="Times New Roman" w:cs="Times New Roman" w:eastAsia="Times New Roman" w:hAnsi="Times New Roman"/>
          <w:sz w:val="13"/>
          <w:szCs w:val="13"/>
          <w:color w:val="auto"/>
        </w:rPr>
        <w:t>In June 2022, the FASB issued Accounting Standards Update No. 2022-03, or ASU, 2022-03, Fair Value Measurement (Topic 820): Fair Value Measurement of Equity Securities Subject to Contractual Sale Restrictions, or ASU 2022-03,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32" w:lineRule="exact"/>
        <w:rPr>
          <w:sz w:val="20"/>
          <w:szCs w:val="20"/>
          <w:color w:val="auto"/>
        </w:rPr>
      </w:pPr>
    </w:p>
    <w:p>
      <w:pPr>
        <w:ind w:right="180" w:firstLine="420"/>
        <w:spacing w:after="0" w:line="256" w:lineRule="auto"/>
        <w:rPr>
          <w:sz w:val="20"/>
          <w:szCs w:val="20"/>
          <w:color w:val="auto"/>
        </w:rPr>
      </w:pPr>
      <w:r>
        <w:rPr>
          <w:rFonts w:ascii="Times New Roman" w:cs="Times New Roman" w:eastAsia="Times New Roman" w:hAnsi="Times New Roman"/>
          <w:sz w:val="13"/>
          <w:szCs w:val="13"/>
          <w:color w:val="auto"/>
        </w:rPr>
        <w:t>In November 2023, the Financial Accounting Standards Board (FASB) issues ASU 2023-07, Segment Reporting (Topic 280), Improvements to Reportable Segment Disclosures to improve reportable segment disclosure requirements through enhanced disclosures about significant segment expenses. ASU 2023-07 expands public entities' segment disclosure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 of a reportable segment's profit or loss and assets. All disclosure requirements of ASU 2023-07 are required for entities with a single reportable segment. ASU 2023-07 is effective for fiscal years beginning after December 15, 2023, and interim periods for our fiscal years beginning December 15, 2024, and should be applied on a retrospective basis to all periods presented, noting early adoption is permitted. The Company is currently evaluating the impact of this standard on its consolidated financial statements and related disclosures.</w:t>
      </w:r>
    </w:p>
    <w:p>
      <w:pPr>
        <w:spacing w:after="0" w:line="132" w:lineRule="exact"/>
        <w:rPr>
          <w:sz w:val="20"/>
          <w:szCs w:val="20"/>
          <w:color w:val="auto"/>
        </w:rPr>
      </w:pPr>
    </w:p>
    <w:p>
      <w:pPr>
        <w:jc w:val="both"/>
        <w:ind w:right="420" w:firstLine="420"/>
        <w:spacing w:after="0" w:line="268" w:lineRule="auto"/>
        <w:rPr>
          <w:sz w:val="20"/>
          <w:szCs w:val="20"/>
          <w:color w:val="auto"/>
        </w:rPr>
      </w:pPr>
      <w:r>
        <w:rPr>
          <w:rFonts w:ascii="Times New Roman" w:cs="Times New Roman" w:eastAsia="Times New Roman" w:hAnsi="Times New Roman"/>
          <w:sz w:val="13"/>
          <w:szCs w:val="13"/>
          <w:color w:val="auto"/>
        </w:rPr>
        <w:t>In December 2023, the FASB issued ASU 2023 - 09 "Improvements to Income Tax Disclosures" ("ASU 2023 - 09"). ASU 2023 - 09 intends to improve the transparency of income tax disclosures. ASU 2023 - 09 is effective for fiscal years beginning after December 15, 2024 and is to be adopted on a prospective basis with the option to apply retrospectively. We are currently assessing the impact of this guidance, however, we do not expect a material impact to our financial statements.</w:t>
      </w:r>
    </w:p>
    <w:p>
      <w:pPr>
        <w:spacing w:after="0" w:line="85" w:lineRule="exact"/>
        <w:rPr>
          <w:sz w:val="20"/>
          <w:szCs w:val="20"/>
          <w:color w:val="auto"/>
        </w:rPr>
      </w:pPr>
    </w:p>
    <w:p>
      <w:pPr>
        <w:ind w:left="140" w:hanging="134"/>
        <w:spacing w:after="0"/>
        <w:tabs>
          <w:tab w:leader="none" w:pos="140" w:val="left"/>
        </w:tabs>
        <w:numPr>
          <w:ilvl w:val="0"/>
          <w:numId w:val="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AGREEMENTS AND RELATED PARTY TRANSACTIONS</w:t>
      </w:r>
    </w:p>
    <w:p>
      <w:pPr>
        <w:spacing w:after="0" w:line="160" w:lineRule="exact"/>
        <w:rPr>
          <w:rFonts w:ascii="Times New Roman" w:cs="Times New Roman" w:eastAsia="Times New Roman" w:hAnsi="Times New Roman"/>
          <w:sz w:val="13"/>
          <w:szCs w:val="13"/>
          <w:b w:val="1"/>
          <w:bCs w:val="1"/>
          <w:color w:val="auto"/>
        </w:rPr>
      </w:pPr>
    </w:p>
    <w:p>
      <w:pPr>
        <w:ind w:left="660" w:hanging="186"/>
        <w:spacing w:after="0"/>
        <w:tabs>
          <w:tab w:leader="none" w:pos="660" w:val="left"/>
        </w:tabs>
        <w:numPr>
          <w:ilvl w:val="1"/>
          <w:numId w:val="7"/>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Investment Management Agreement</w:t>
      </w:r>
    </w:p>
    <w:p>
      <w:pPr>
        <w:spacing w:after="0" w:line="167" w:lineRule="exact"/>
        <w:rPr>
          <w:sz w:val="20"/>
          <w:szCs w:val="20"/>
          <w:color w:val="auto"/>
        </w:rPr>
      </w:pPr>
    </w:p>
    <w:p>
      <w:pPr>
        <w:ind w:right="60" w:firstLine="420"/>
        <w:spacing w:after="0" w:line="259" w:lineRule="auto"/>
        <w:rPr>
          <w:sz w:val="20"/>
          <w:szCs w:val="20"/>
          <w:color w:val="auto"/>
        </w:rPr>
      </w:pPr>
      <w:r>
        <w:rPr>
          <w:rFonts w:ascii="Times New Roman" w:cs="Times New Roman" w:eastAsia="Times New Roman" w:hAnsi="Times New Roman"/>
          <w:sz w:val="13"/>
          <w:szCs w:val="13"/>
          <w:color w:val="auto"/>
        </w:rPr>
        <w:t>The Investment Management Agreement with the Investment Adviser was reapproved by our board of directors, including a majority of our directors who are not interested persons of us or the Investment Adviser, in May 2024. Under the Investment Management Agreement, the Investment Adviser, subject to the overall supervision of our board of directors, manages the day-to -day operations of and provides investment advisory services to us. SBIC II’s investment management agreement had no effect on the management or incentive fees that we pay to the Investment Adviser on a consolidated basis. For providing these services, the Investment Adviser receives a fee from us, consisting of two components— a base management fee and an incentive fee or, collectively, Management Fees.</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b w:val="1"/>
          <w:bCs w:val="1"/>
          <w:i w:val="1"/>
          <w:iCs w:val="1"/>
          <w:color w:val="auto"/>
        </w:rPr>
        <w:t>Base Management Fee</w:t>
      </w:r>
    </w:p>
    <w:p>
      <w:pPr>
        <w:spacing w:after="0" w:line="167" w:lineRule="exact"/>
        <w:rPr>
          <w:sz w:val="20"/>
          <w:szCs w:val="20"/>
          <w:color w:val="auto"/>
        </w:rPr>
      </w:pPr>
    </w:p>
    <w:p>
      <w:pPr>
        <w:ind w:right="20" w:firstLine="420"/>
        <w:spacing w:after="0" w:line="254" w:lineRule="auto"/>
        <w:rPr>
          <w:sz w:val="20"/>
          <w:szCs w:val="20"/>
          <w:color w:val="auto"/>
        </w:rPr>
      </w:pPr>
      <w:r>
        <w:rPr>
          <w:rFonts w:ascii="Times New Roman" w:cs="Times New Roman" w:eastAsia="Times New Roman" w:hAnsi="Times New Roman"/>
          <w:sz w:val="13"/>
          <w:szCs w:val="13"/>
          <w:color w:val="auto"/>
        </w:rPr>
        <w:t>The base management fee is calculated at an annual rate of 1.50%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In addition, on November 13, 2018, in connection with our board of directors’ approval of the application of the modified asset coverage requirements under the 1940 Act to the Company, our board of directors also approved an amendment to the Investment Management Agreement reducing the Investment Adviser’s annual base management fee from 1.50% to 1.00% on gross assets that exceed 200% of the Company’s total net assets as of the immediately preceding quarter-end. This amendment became effective on February 5, 2019 with the amendment and restatement of the Investment Management Agreement on April 12, 2019.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periods prior to January 1, 2018, the base management fee was calculated at an annual rate of 2.00% of our “average adjusted gross assets.” For the years ended September 30, 2024, 2023, and 2022, the Investment Adviser earned base management fees of $16.7 million, $16.5 million, and $19.8 million, respectively, from us.</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b w:val="1"/>
          <w:bCs w:val="1"/>
          <w:i w:val="1"/>
          <w:iCs w:val="1"/>
          <w:color w:val="auto"/>
        </w:rPr>
        <w:t>Incentive Fee</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incentive fee has two parts, as follows:</w:t>
      </w:r>
    </w:p>
    <w:p>
      <w:pPr>
        <w:spacing w:after="0" w:line="163" w:lineRule="exact"/>
        <w:rPr>
          <w:sz w:val="20"/>
          <w:szCs w:val="20"/>
          <w:color w:val="auto"/>
        </w:rPr>
      </w:pPr>
    </w:p>
    <w:p>
      <w:pPr>
        <w:ind w:right="100" w:firstLine="420"/>
        <w:spacing w:after="0" w:line="253" w:lineRule="auto"/>
        <w:rPr>
          <w:sz w:val="20"/>
          <w:szCs w:val="20"/>
          <w:color w:val="auto"/>
        </w:rPr>
      </w:pPr>
      <w:r>
        <w:rPr>
          <w:rFonts w:ascii="Times New Roman" w:cs="Times New Roman" w:eastAsia="Times New Roman" w:hAnsi="Times New Roman"/>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 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w:t>
      </w:r>
    </w:p>
    <w:p>
      <w:pPr>
        <w:spacing w:after="0" w:line="138" w:lineRule="exact"/>
        <w:rPr>
          <w:sz w:val="20"/>
          <w:szCs w:val="20"/>
          <w:color w:val="auto"/>
        </w:rPr>
      </w:pPr>
    </w:p>
    <w:p>
      <w:pPr>
        <w:ind w:right="380" w:firstLine="420"/>
        <w:spacing w:after="0" w:line="286" w:lineRule="auto"/>
        <w:rPr>
          <w:sz w:val="20"/>
          <w:szCs w:val="20"/>
          <w:color w:val="auto"/>
        </w:rPr>
      </w:pPr>
      <w:r>
        <w:rPr>
          <w:rFonts w:ascii="Times New Roman" w:cs="Times New Roman" w:eastAsia="Times New Roman" w:hAnsi="Times New Roman"/>
          <w:sz w:val="13"/>
          <w:szCs w:val="13"/>
          <w:color w:val="auto"/>
        </w:rPr>
        <w:t>For the years ended September 30, 2024, 2023, and 2022, the Investment Adviser earned $12.7 million, $13.9 million, and $2.7 million, respectively, in incentive fees on net investment income from us.</w:t>
      </w:r>
    </w:p>
    <w:p>
      <w:pPr>
        <w:spacing w:after="0" w:line="112" w:lineRule="exact"/>
        <w:rPr>
          <w:sz w:val="20"/>
          <w:szCs w:val="20"/>
          <w:color w:val="auto"/>
        </w:rPr>
      </w:pPr>
    </w:p>
    <w:p>
      <w:pPr>
        <w:ind w:right="40" w:firstLine="420"/>
        <w:spacing w:after="0" w:line="259" w:lineRule="auto"/>
        <w:rPr>
          <w:sz w:val="20"/>
          <w:szCs w:val="20"/>
          <w:color w:val="auto"/>
        </w:rPr>
      </w:pPr>
      <w:r>
        <w:rPr>
          <w:rFonts w:ascii="Times New Roman" w:cs="Times New Roman" w:eastAsia="Times New Roman" w:hAnsi="Times New Roman"/>
          <w:sz w:val="13"/>
          <w:szCs w:val="13"/>
          <w:color w:val="auto"/>
        </w:rPr>
        <w:t>The second part of the incentive fee is determined and payable in arrears as of the end of each calendar year (or upon termination of the Investment Management Agreement, as of the termination date) and, effective January 1, 2018, equals 17.5% of our realized capital gains,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the years ended September 30, 2024, 2023, and 2022, the Investment Adviser did not accrue an incentive fee on capital gains as calculated under the Investment Management Agreement (as described above).</w:t>
      </w:r>
    </w:p>
    <w:p>
      <w:pPr>
        <w:spacing w:after="0" w:line="130" w:lineRule="exact"/>
        <w:rPr>
          <w:sz w:val="20"/>
          <w:szCs w:val="20"/>
          <w:color w:val="auto"/>
        </w:rPr>
      </w:pPr>
    </w:p>
    <w:p>
      <w:pPr>
        <w:ind w:right="20" w:firstLine="420"/>
        <w:spacing w:after="0" w:line="256" w:lineRule="auto"/>
        <w:rPr>
          <w:sz w:val="20"/>
          <w:szCs w:val="20"/>
          <w:color w:val="auto"/>
        </w:rPr>
      </w:pPr>
      <w:r>
        <w:rPr>
          <w:rFonts w:ascii="Times New Roman" w:cs="Times New Roman" w:eastAsia="Times New Roman" w:hAnsi="Times New Roman"/>
          <w:sz w:val="13"/>
          <w:szCs w:val="13"/>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less the aggregate amount of actual capital gains related to incentive fees paid in all prior years, if any. If such amount is negative, then there is no accrual for such year. There can be no assurance that such unrealized capital appreciation will be realized in the future. For the years ended September 30, 2024, 2023, and 2022, the Investment Adviser did not accrue an incentive fee on capital gains as calculated under GAAP.</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b w:val="1"/>
          <w:bCs w:val="1"/>
          <w:i w:val="1"/>
          <w:iCs w:val="1"/>
          <w:color w:val="auto"/>
        </w:rPr>
        <w:t>(b) Administration Agreement</w:t>
      </w:r>
    </w:p>
    <w:p>
      <w:pPr>
        <w:spacing w:after="0" w:line="131" w:lineRule="exact"/>
        <w:rPr>
          <w:sz w:val="20"/>
          <w:szCs w:val="20"/>
          <w:color w:val="auto"/>
        </w:rPr>
      </w:pPr>
    </w:p>
    <w:p>
      <w:pPr>
        <w:ind w:firstLine="420"/>
        <w:spacing w:after="0" w:line="256" w:lineRule="auto"/>
        <w:rPr>
          <w:sz w:val="20"/>
          <w:szCs w:val="20"/>
          <w:color w:val="auto"/>
        </w:rPr>
      </w:pPr>
      <w:r>
        <w:rPr>
          <w:rFonts w:ascii="Times New Roman" w:cs="Times New Roman" w:eastAsia="Times New Roman" w:hAnsi="Times New Roman"/>
          <w:sz w:val="13"/>
          <w:szCs w:val="13"/>
          <w:color w:val="auto"/>
        </w:rPr>
        <w:t>The Administration Agreement with the Administrator was reapproved by our board of directors, including a majority of our directors who are not interested persons of us, in May 2024. Under the Administration Agreement, the Administrator provides administrative services and office facilities to us. The Administrator has provided similar services to SBIC II under its administration agreement with PennantPark Investment.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Corporate Counsel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years ended September 30, 2024, 2023, and 2022, we recorded $1.2 million, $1.3 million and $0.5 million, respectively, for services described above.</w:t>
      </w:r>
    </w:p>
    <w:p>
      <w:pPr>
        <w:spacing w:after="0" w:line="96" w:lineRule="exact"/>
        <w:rPr>
          <w:sz w:val="20"/>
          <w:szCs w:val="20"/>
          <w:color w:val="auto"/>
        </w:rPr>
      </w:pPr>
    </w:p>
    <w:p>
      <w:pPr>
        <w:ind w:right="120" w:firstLine="420"/>
        <w:spacing w:after="0" w:line="262" w:lineRule="auto"/>
        <w:rPr>
          <w:sz w:val="20"/>
          <w:szCs w:val="20"/>
          <w:color w:val="auto"/>
        </w:rPr>
      </w:pPr>
      <w:r>
        <w:rPr>
          <w:rFonts w:ascii="Times New Roman" w:cs="Times New Roman" w:eastAsia="Times New Roman" w:hAnsi="Times New Roman"/>
          <w:sz w:val="13"/>
          <w:szCs w:val="13"/>
          <w:color w:val="auto"/>
        </w:rPr>
        <w:t>On July 1, 2022, the Administration Agreement with the Administrator was amended to clarify that the Administrator may be reimbursed by the Company for certain (i) tax and general legal advice and/or services provided to the Company by in-house professionals of the Administrator related to ongoing operations of the Company; and (ii) transactional legal advice and/or services provided to the Company or portfolio companies by in-house professionals of the Administrator or its affiliates on matters related to potential or actual investments and transactions, including tax structuring and/or due diligence.</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2" w:right="660"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2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b w:val="1"/>
          <w:bCs w:val="1"/>
          <w:i w:val="1"/>
          <w:iCs w:val="1"/>
          <w:color w:val="auto"/>
        </w:rPr>
        <w:t>(c) Other Related Party Transactions</w:t>
      </w:r>
    </w:p>
    <w:p>
      <w:pPr>
        <w:spacing w:after="0" w:line="131" w:lineRule="exact"/>
        <w:rPr>
          <w:sz w:val="20"/>
          <w:szCs w:val="20"/>
          <w:color w:val="auto"/>
        </w:rPr>
      </w:pPr>
    </w:p>
    <w:p>
      <w:pPr>
        <w:ind w:right="160" w:firstLine="420"/>
        <w:spacing w:after="0" w:line="268" w:lineRule="auto"/>
        <w:rPr>
          <w:sz w:val="20"/>
          <w:szCs w:val="20"/>
          <w:color w:val="auto"/>
        </w:rPr>
      </w:pPr>
      <w:r>
        <w:rPr>
          <w:rFonts w:ascii="Times New Roman" w:cs="Times New Roman" w:eastAsia="Times New Roman" w:hAnsi="Times New Roman"/>
          <w:sz w:val="13"/>
          <w:szCs w:val="13"/>
          <w:color w:val="auto"/>
        </w:rPr>
        <w:t>The Company, the Investment Adviser and certain other affiliates have been granted an order for exemptive relief by the SEC for the Company to co- invest with other funds managed by the Investment Adviser. If we co-invest with other affiliated funds, our Investment Adviser would not receive compensation except to the extent permitted by the exemptive order and applicable law, including the limitations set forth in Section 57(k) of the 1940 Act.</w:t>
      </w:r>
    </w:p>
    <w:p>
      <w:pPr>
        <w:spacing w:after="0" w:line="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There were no transactions subject to Rule 17a-7 under the 1940 Act during each of the years ended September 30, 2024, 2023, and 2022.</w:t>
      </w:r>
    </w:p>
    <w:p>
      <w:pPr>
        <w:spacing w:after="0" w:line="127" w:lineRule="exact"/>
        <w:rPr>
          <w:sz w:val="20"/>
          <w:szCs w:val="20"/>
          <w:color w:val="auto"/>
        </w:rPr>
      </w:pPr>
    </w:p>
    <w:p>
      <w:pPr>
        <w:ind w:right="160" w:firstLine="420"/>
        <w:spacing w:after="0" w:line="286" w:lineRule="auto"/>
        <w:rPr>
          <w:sz w:val="20"/>
          <w:szCs w:val="20"/>
          <w:color w:val="auto"/>
        </w:rPr>
      </w:pPr>
      <w:r>
        <w:rPr>
          <w:rFonts w:ascii="Times New Roman" w:cs="Times New Roman" w:eastAsia="Times New Roman" w:hAnsi="Times New Roman"/>
          <w:sz w:val="13"/>
          <w:szCs w:val="13"/>
          <w:color w:val="auto"/>
        </w:rPr>
        <w:t>For the years ended September 30, 2024, 2023, and 2022, we sold $308.8 million, $127.8 million, and $395.3 million in investments to PSLF at fair value, respectively, and recognized $0.2 million, $(0.2) million and $0.2 million of net realized gain(loss), respectively.</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For the years ended September 30, 2024 and 2023, we sold zero and zero in investments to PTSF II at fair value, respectively, and recognized zero and zero of net realized gains, respectively.</w:t>
      </w:r>
    </w:p>
    <w:p>
      <w:pPr>
        <w:spacing w:after="0" w:line="127" w:lineRule="exact"/>
        <w:rPr>
          <w:sz w:val="20"/>
          <w:szCs w:val="20"/>
          <w:color w:val="auto"/>
        </w:rPr>
      </w:pPr>
    </w:p>
    <w:p>
      <w:pPr>
        <w:ind w:right="280" w:firstLine="420"/>
        <w:spacing w:after="0" w:line="286" w:lineRule="auto"/>
        <w:rPr>
          <w:sz w:val="20"/>
          <w:szCs w:val="20"/>
          <w:color w:val="auto"/>
        </w:rPr>
      </w:pPr>
      <w:r>
        <w:rPr>
          <w:rFonts w:ascii="Times New Roman" w:cs="Times New Roman" w:eastAsia="Times New Roman" w:hAnsi="Times New Roman"/>
          <w:sz w:val="13"/>
          <w:szCs w:val="13"/>
          <w:color w:val="auto"/>
        </w:rPr>
        <w:t>As of September 30, 2024 and 2023, PNNT had a payable to PSLF and PTSF II of less than $0.1 million and $4.1 million, respectively, presented as a due to affiliates on the consolidated statement of assets and liabilities. These amounts are related to cash owed to PSLF and PTSF II from PNNT in connection with trades between the funds.</w:t>
      </w:r>
    </w:p>
    <w:p>
      <w:pPr>
        <w:spacing w:after="0" w:line="76" w:lineRule="exact"/>
        <w:rPr>
          <w:sz w:val="20"/>
          <w:szCs w:val="20"/>
          <w:color w:val="auto"/>
        </w:rPr>
      </w:pPr>
    </w:p>
    <w:p>
      <w:pPr>
        <w:ind w:right="180" w:firstLine="420"/>
        <w:spacing w:after="0" w:line="286" w:lineRule="auto"/>
        <w:rPr>
          <w:sz w:val="20"/>
          <w:szCs w:val="20"/>
          <w:color w:val="auto"/>
        </w:rPr>
      </w:pPr>
      <w:r>
        <w:rPr>
          <w:rFonts w:ascii="Times New Roman" w:cs="Times New Roman" w:eastAsia="Times New Roman" w:hAnsi="Times New Roman"/>
          <w:sz w:val="13"/>
          <w:szCs w:val="13"/>
          <w:color w:val="auto"/>
        </w:rPr>
        <w:t>As of September 30, 2024 and September 30, 2023, PNNT had a receivable from Administrator of $0.2 million and zero, respectively, presented as a due from affiliates on the consolidated statement of assets and liabilities. These amounts are related to agency fees collected on behalf of the Company.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4. INVESTMENTS</w:t>
      </w:r>
    </w:p>
    <w:p>
      <w:pPr>
        <w:spacing w:after="0" w:line="129" w:lineRule="exact"/>
        <w:rPr>
          <w:sz w:val="20"/>
          <w:szCs w:val="20"/>
          <w:color w:val="auto"/>
        </w:rPr>
      </w:pPr>
    </w:p>
    <w:p>
      <w:pPr>
        <w:ind w:right="100" w:firstLine="420"/>
        <w:spacing w:after="0" w:line="268" w:lineRule="auto"/>
        <w:rPr>
          <w:sz w:val="20"/>
          <w:szCs w:val="20"/>
          <w:color w:val="auto"/>
        </w:rPr>
      </w:pPr>
      <w:r>
        <w:rPr>
          <w:rFonts w:ascii="Times New Roman" w:cs="Times New Roman" w:eastAsia="Times New Roman" w:hAnsi="Times New Roman"/>
          <w:sz w:val="13"/>
          <w:szCs w:val="13"/>
          <w:color w:val="auto"/>
        </w:rPr>
        <w:t>Purchases of investments, including PIK interest, for the years ended September 30, 2024, 2023, and 2022 totaled $784.2 million, $279.9 million, and $943.0 million, respectively (excluding U.S. Government Securities). Sales and repayments of investments for the same periods totaled $555.4 million, $418.6 million, and $911.6 million, respectively (excluding U.S. Government Securities).</w:t>
      </w:r>
    </w:p>
    <w:p>
      <w:pPr>
        <w:spacing w:after="0" w:line="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Investments and cash and cash equivalents consisted of the following ($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40" w:type="dxa"/>
            <w:vAlign w:val="bottom"/>
            <w:gridSpan w:val="4"/>
          </w:tcPr>
          <w:p>
            <w:pPr>
              <w:jc w:val="right"/>
              <w:ind w:right="914"/>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60" w:type="dxa"/>
            <w:vAlign w:val="bottom"/>
            <w:gridSpan w:val="5"/>
          </w:tcPr>
          <w:p>
            <w:pPr>
              <w:ind w:left="620"/>
              <w:spacing w:after="0"/>
              <w:rPr>
                <w:sz w:val="20"/>
                <w:szCs w:val="20"/>
                <w:color w:val="auto"/>
              </w:rPr>
            </w:pPr>
            <w:r>
              <w:rPr>
                <w:rFonts w:ascii="Times New Roman" w:cs="Times New Roman" w:eastAsia="Times New Roman" w:hAnsi="Times New Roman"/>
                <w:sz w:val="13"/>
                <w:szCs w:val="13"/>
                <w:b w:val="1"/>
                <w:bCs w:val="1"/>
                <w:color w:val="auto"/>
              </w:rPr>
              <w:t>September 30, 2023</w:t>
            </w:r>
          </w:p>
        </w:tc>
      </w:tr>
      <w:tr>
        <w:trPr>
          <w:trHeight w:val="158"/>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Investment Classification </w:t>
            </w:r>
            <w:r>
              <w:rPr>
                <w:rFonts w:ascii="Times New Roman" w:cs="Times New Roman" w:eastAsia="Times New Roman" w:hAnsi="Times New Roman"/>
                <w:sz w:val="13"/>
                <w:szCs w:val="13"/>
                <w:color w:val="auto"/>
              </w:rPr>
              <w:t>($ in thousands)</w:t>
            </w:r>
          </w:p>
        </w:tc>
        <w:tc>
          <w:tcPr>
            <w:tcW w:w="340" w:type="dxa"/>
            <w:vAlign w:val="bottom"/>
          </w:tcPr>
          <w:p>
            <w:pPr>
              <w:spacing w:after="0"/>
              <w:rPr>
                <w:sz w:val="13"/>
                <w:szCs w:val="13"/>
                <w:color w:val="auto"/>
              </w:rPr>
            </w:pPr>
          </w:p>
        </w:tc>
        <w:tc>
          <w:tcPr>
            <w:tcW w:w="1080" w:type="dxa"/>
            <w:vAlign w:val="bottom"/>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Cost</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Cost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68"/>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3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700,390</w:t>
            </w:r>
          </w:p>
        </w:tc>
        <w:tc>
          <w:tcPr>
            <w:tcW w:w="50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667,926</w:t>
            </w:r>
          </w:p>
        </w:tc>
        <w:tc>
          <w:tcPr>
            <w:tcW w:w="580" w:type="dxa"/>
            <w:vAlign w:val="bottom"/>
            <w:gridSpan w:val="2"/>
          </w:tcPr>
          <w:p>
            <w:pPr>
              <w:jc w:val="right"/>
              <w:ind w:right="205"/>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538,737</w:t>
            </w:r>
          </w:p>
        </w:tc>
        <w:tc>
          <w:tcPr>
            <w:tcW w:w="46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527,657</w:t>
            </w:r>
          </w:p>
        </w:tc>
        <w:tc>
          <w:tcPr>
            <w:tcW w:w="80" w:type="dxa"/>
            <w:vAlign w:val="bottom"/>
          </w:tcPr>
          <w:p>
            <w:pPr>
              <w:spacing w:after="0"/>
              <w:rPr>
                <w:sz w:val="14"/>
                <w:szCs w:val="14"/>
                <w:color w:val="auto"/>
              </w:rPr>
            </w:pPr>
          </w:p>
        </w:tc>
      </w:tr>
      <w:tr>
        <w:trPr>
          <w:trHeight w:val="156"/>
        </w:trPr>
        <w:tc>
          <w:tcPr>
            <w:tcW w:w="4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U.S. Government Securities</w:t>
            </w:r>
          </w:p>
        </w:tc>
        <w:tc>
          <w:tcPr>
            <w:tcW w:w="340" w:type="dxa"/>
            <w:vAlign w:val="bottom"/>
            <w:shd w:val="clear" w:color="auto" w:fill="CCECFF"/>
          </w:tcPr>
          <w:p>
            <w:pPr>
              <w:spacing w:after="0"/>
              <w:rPr>
                <w:sz w:val="13"/>
                <w:szCs w:val="13"/>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99,652</w:t>
            </w:r>
          </w:p>
        </w:tc>
        <w:tc>
          <w:tcPr>
            <w:tcW w:w="2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99,632</w:t>
            </w:r>
          </w:p>
        </w:tc>
        <w:tc>
          <w:tcPr>
            <w:tcW w:w="26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99,768</w:t>
            </w: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99,751</w:t>
            </w:r>
          </w:p>
        </w:tc>
        <w:tc>
          <w:tcPr>
            <w:tcW w:w="80" w:type="dxa"/>
            <w:vAlign w:val="bottom"/>
            <w:shd w:val="clear" w:color="auto" w:fill="CCECFF"/>
          </w:tcPr>
          <w:p>
            <w:pPr>
              <w:spacing w:after="0"/>
              <w:rPr>
                <w:sz w:val="13"/>
                <w:szCs w:val="13"/>
                <w:color w:val="auto"/>
              </w:rPr>
            </w:pPr>
          </w:p>
        </w:tc>
      </w:tr>
      <w:tr>
        <w:trPr>
          <w:trHeight w:val="156"/>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Second lien</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68,470</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67,180</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96,759</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80,396</w:t>
            </w:r>
          </w:p>
        </w:tc>
        <w:tc>
          <w:tcPr>
            <w:tcW w:w="80" w:type="dxa"/>
            <w:vAlign w:val="bottom"/>
          </w:tcPr>
          <w:p>
            <w:pPr>
              <w:spacing w:after="0"/>
              <w:rPr>
                <w:sz w:val="13"/>
                <w:szCs w:val="13"/>
                <w:color w:val="auto"/>
              </w:rPr>
            </w:pPr>
          </w:p>
        </w:tc>
      </w:tr>
      <w:tr>
        <w:trPr>
          <w:trHeight w:val="156"/>
        </w:trPr>
        <w:tc>
          <w:tcPr>
            <w:tcW w:w="4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Subordinated debt / corporate notes</w:t>
            </w:r>
          </w:p>
        </w:tc>
        <w:tc>
          <w:tcPr>
            <w:tcW w:w="340" w:type="dxa"/>
            <w:vAlign w:val="bottom"/>
            <w:shd w:val="clear" w:color="auto" w:fill="CCECFF"/>
          </w:tcPr>
          <w:p>
            <w:pPr>
              <w:spacing w:after="0"/>
              <w:rPr>
                <w:sz w:val="13"/>
                <w:szCs w:val="13"/>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65,865</w:t>
            </w:r>
          </w:p>
        </w:tc>
        <w:tc>
          <w:tcPr>
            <w:tcW w:w="2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65,804</w:t>
            </w:r>
          </w:p>
        </w:tc>
        <w:tc>
          <w:tcPr>
            <w:tcW w:w="26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54,897</w:t>
            </w: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53,897</w:t>
            </w:r>
          </w:p>
        </w:tc>
        <w:tc>
          <w:tcPr>
            <w:tcW w:w="80" w:type="dxa"/>
            <w:vAlign w:val="bottom"/>
            <w:shd w:val="clear" w:color="auto" w:fill="CCECFF"/>
          </w:tcPr>
          <w:p>
            <w:pPr>
              <w:spacing w:after="0"/>
              <w:rPr>
                <w:sz w:val="13"/>
                <w:szCs w:val="13"/>
                <w:color w:val="auto"/>
              </w:rPr>
            </w:pPr>
          </w:p>
        </w:tc>
      </w:tr>
      <w:tr>
        <w:trPr>
          <w:trHeight w:val="156"/>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Subordinated notes in PSLF</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115,886</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115,886</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102,325</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102,325</w:t>
            </w:r>
          </w:p>
        </w:tc>
        <w:tc>
          <w:tcPr>
            <w:tcW w:w="80" w:type="dxa"/>
            <w:vAlign w:val="bottom"/>
          </w:tcPr>
          <w:p>
            <w:pPr>
              <w:spacing w:after="0"/>
              <w:rPr>
                <w:sz w:val="13"/>
                <w:szCs w:val="13"/>
                <w:color w:val="auto"/>
              </w:rPr>
            </w:pPr>
          </w:p>
        </w:tc>
      </w:tr>
      <w:tr>
        <w:trPr>
          <w:trHeight w:val="156"/>
        </w:trPr>
        <w:tc>
          <w:tcPr>
            <w:tcW w:w="4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340" w:type="dxa"/>
            <w:vAlign w:val="bottom"/>
            <w:shd w:val="clear" w:color="auto" w:fill="CCECFF"/>
          </w:tcPr>
          <w:p>
            <w:pPr>
              <w:spacing w:after="0"/>
              <w:rPr>
                <w:sz w:val="13"/>
                <w:szCs w:val="13"/>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199,173</w:t>
            </w:r>
          </w:p>
        </w:tc>
        <w:tc>
          <w:tcPr>
            <w:tcW w:w="2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243,699</w:t>
            </w:r>
          </w:p>
        </w:tc>
        <w:tc>
          <w:tcPr>
            <w:tcW w:w="26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166,798</w:t>
            </w: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175,538</w:t>
            </w:r>
          </w:p>
        </w:tc>
        <w:tc>
          <w:tcPr>
            <w:tcW w:w="80" w:type="dxa"/>
            <w:vAlign w:val="bottom"/>
            <w:shd w:val="clear" w:color="auto" w:fill="CCECFF"/>
          </w:tcPr>
          <w:p>
            <w:pPr>
              <w:spacing w:after="0"/>
              <w:rPr>
                <w:sz w:val="13"/>
                <w:szCs w:val="13"/>
                <w:color w:val="auto"/>
              </w:rPr>
            </w:pPr>
          </w:p>
        </w:tc>
      </w:tr>
      <w:tr>
        <w:trPr>
          <w:trHeight w:val="168"/>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 PSLF</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67,436</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67,923</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58,643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62,083</w:t>
            </w:r>
          </w:p>
        </w:tc>
        <w:tc>
          <w:tcPr>
            <w:tcW w:w="80" w:type="dxa"/>
            <w:vAlign w:val="bottom"/>
          </w:tcPr>
          <w:p>
            <w:pPr>
              <w:spacing w:after="0"/>
              <w:rPr>
                <w:sz w:val="14"/>
                <w:szCs w:val="14"/>
                <w:color w:val="auto"/>
              </w:rPr>
            </w:pPr>
          </w:p>
        </w:tc>
      </w:tr>
      <w:tr>
        <w:trPr>
          <w:trHeight w:val="156"/>
        </w:trPr>
        <w:tc>
          <w:tcPr>
            <w:tcW w:w="4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investments</w:t>
            </w:r>
          </w:p>
        </w:tc>
        <w:tc>
          <w:tcPr>
            <w:tcW w:w="340" w:type="dxa"/>
            <w:vAlign w:val="bottom"/>
            <w:shd w:val="clear" w:color="auto" w:fill="CCECFF"/>
          </w:tcPr>
          <w:p>
            <w:pPr>
              <w:spacing w:after="0"/>
              <w:rPr>
                <w:sz w:val="13"/>
                <w:szCs w:val="13"/>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1,316,872</w:t>
            </w:r>
          </w:p>
        </w:tc>
        <w:tc>
          <w:tcPr>
            <w:tcW w:w="2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1,328,050</w:t>
            </w:r>
          </w:p>
        </w:tc>
        <w:tc>
          <w:tcPr>
            <w:tcW w:w="26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1,117,927</w:t>
            </w: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1,101,647</w:t>
            </w:r>
          </w:p>
        </w:tc>
        <w:tc>
          <w:tcPr>
            <w:tcW w:w="80" w:type="dxa"/>
            <w:vAlign w:val="bottom"/>
            <w:shd w:val="clear" w:color="auto" w:fill="CCECFF"/>
          </w:tcPr>
          <w:p>
            <w:pPr>
              <w:spacing w:after="0"/>
              <w:rPr>
                <w:sz w:val="13"/>
                <w:szCs w:val="13"/>
                <w:color w:val="auto"/>
              </w:rPr>
            </w:pPr>
          </w:p>
        </w:tc>
      </w:tr>
      <w:tr>
        <w:trPr>
          <w:trHeight w:val="156"/>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49,833</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49,861</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38,784</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38,775</w:t>
            </w:r>
          </w:p>
        </w:tc>
        <w:tc>
          <w:tcPr>
            <w:tcW w:w="80" w:type="dxa"/>
            <w:vAlign w:val="bottom"/>
          </w:tcPr>
          <w:p>
            <w:pPr>
              <w:spacing w:after="0"/>
              <w:rPr>
                <w:sz w:val="13"/>
                <w:szCs w:val="13"/>
                <w:color w:val="auto"/>
              </w:rPr>
            </w:pPr>
          </w:p>
        </w:tc>
      </w:tr>
      <w:tr>
        <w:trPr>
          <w:trHeight w:val="196"/>
        </w:trPr>
        <w:tc>
          <w:tcPr>
            <w:tcW w:w="41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investments and cash and cash equivalents</w:t>
            </w:r>
          </w:p>
        </w:tc>
        <w:tc>
          <w:tcPr>
            <w:tcW w:w="340" w:type="dxa"/>
            <w:vAlign w:val="bottom"/>
            <w:tcBorders>
              <w:bottom w:val="single" w:sz="8" w:color="auto"/>
            </w:tcBorders>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1,366,705</w:t>
            </w:r>
          </w:p>
        </w:tc>
        <w:tc>
          <w:tcPr>
            <w:tcW w:w="26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1,377,911</w:t>
            </w:r>
          </w:p>
        </w:tc>
        <w:tc>
          <w:tcPr>
            <w:tcW w:w="260" w:type="dxa"/>
            <w:vAlign w:val="bottom"/>
            <w:tcBorders>
              <w:bottom w:val="single" w:sz="8" w:color="CCECFF"/>
            </w:tcBorders>
            <w:shd w:val="clear" w:color="auto" w:fill="CCECFF"/>
          </w:tcPr>
          <w:p>
            <w:pPr>
              <w:spacing w:after="0"/>
              <w:rPr>
                <w:sz w:val="17"/>
                <w:szCs w:val="17"/>
                <w:color w:val="auto"/>
              </w:rPr>
            </w:pPr>
          </w:p>
        </w:tc>
        <w:tc>
          <w:tcPr>
            <w:tcW w:w="320" w:type="dxa"/>
            <w:vAlign w:val="bottom"/>
            <w:tcBorders>
              <w:bottom w:val="single" w:sz="8" w:color="auto"/>
            </w:tcBorders>
            <w:shd w:val="clear" w:color="auto" w:fill="CCECFF"/>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1,156,711</w:t>
            </w:r>
          </w:p>
        </w:tc>
        <w:tc>
          <w:tcPr>
            <w:tcW w:w="24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1,140,422</w:t>
            </w:r>
          </w:p>
        </w:tc>
        <w:tc>
          <w:tcPr>
            <w:tcW w:w="80" w:type="dxa"/>
            <w:vAlign w:val="bottom"/>
            <w:tcBorders>
              <w:bottom w:val="single" w:sz="8" w:color="CCECFF"/>
            </w:tcBorders>
            <w:shd w:val="clear" w:color="auto" w:fill="CCECFF"/>
          </w:tcPr>
          <w:p>
            <w:pPr>
              <w:spacing w:after="0"/>
              <w:rPr>
                <w:sz w:val="17"/>
                <w:szCs w:val="17"/>
                <w:color w:val="auto"/>
              </w:rPr>
            </w:pPr>
          </w:p>
        </w:tc>
      </w:tr>
    </w:tbl>
    <w:p>
      <w:pPr>
        <w:spacing w:after="0" w:line="144" w:lineRule="exact"/>
        <w:rPr>
          <w:sz w:val="20"/>
          <w:szCs w:val="20"/>
          <w:color w:val="auto"/>
        </w:rPr>
      </w:pPr>
    </w:p>
    <w:p>
      <w:pPr>
        <w:ind w:right="440" w:firstLine="420"/>
        <w:spacing w:after="0" w:line="286" w:lineRule="auto"/>
        <w:rPr>
          <w:sz w:val="20"/>
          <w:szCs w:val="20"/>
          <w:color w:val="auto"/>
        </w:rPr>
      </w:pPr>
      <w:r>
        <w:rPr>
          <w:rFonts w:ascii="Times New Roman" w:cs="Times New Roman" w:eastAsia="Times New Roman" w:hAnsi="Times New Roman"/>
          <w:sz w:val="13"/>
          <w:szCs w:val="13"/>
          <w:color w:val="auto"/>
        </w:rPr>
        <w:t>The table below describes investments by industry classification and enumerates the percentage, by fair value, of the total portfolio assets (excluding cash and cash equivalents) in such industries as of:</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Industry Classification</w:t>
            </w:r>
          </w:p>
        </w:tc>
        <w:tc>
          <w:tcPr>
            <w:tcW w:w="2280" w:type="dxa"/>
            <w:vAlign w:val="bottom"/>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 xml:space="preserve">September 30, 2024 </w:t>
            </w:r>
            <w:r>
              <w:rPr>
                <w:rFonts w:ascii="Times New Roman" w:cs="Times New Roman" w:eastAsia="Times New Roman" w:hAnsi="Times New Roman"/>
                <w:sz w:val="16"/>
                <w:szCs w:val="16"/>
                <w:b w:val="1"/>
                <w:bCs w:val="1"/>
                <w:color w:val="auto"/>
                <w:vertAlign w:val="superscript"/>
              </w:rPr>
              <w:t>(1)</w:t>
            </w:r>
          </w:p>
        </w:tc>
        <w:tc>
          <w:tcPr>
            <w:tcW w:w="460" w:type="dxa"/>
            <w:vAlign w:val="bottom"/>
          </w:tcPr>
          <w:p>
            <w:pPr>
              <w:spacing w:after="0"/>
              <w:rPr>
                <w:sz w:val="16"/>
                <w:szCs w:val="16"/>
                <w:color w:val="auto"/>
              </w:rPr>
            </w:pPr>
          </w:p>
        </w:tc>
        <w:tc>
          <w:tcPr>
            <w:tcW w:w="224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 xml:space="preserve">September 30, 2023 </w:t>
            </w:r>
            <w:r>
              <w:rPr>
                <w:rFonts w:ascii="Times New Roman" w:cs="Times New Roman" w:eastAsia="Times New Roman" w:hAnsi="Times New Roman"/>
                <w:sz w:val="16"/>
                <w:szCs w:val="16"/>
                <w:b w:val="1"/>
                <w:bCs w:val="1"/>
                <w:color w:val="auto"/>
                <w:vertAlign w:val="superscript"/>
              </w:rPr>
              <w:t>(1)</w:t>
            </w:r>
          </w:p>
        </w:tc>
        <w:tc>
          <w:tcPr>
            <w:tcW w:w="300" w:type="dxa"/>
            <w:vAlign w:val="bottom"/>
          </w:tcPr>
          <w:p>
            <w:pPr>
              <w:spacing w:after="0"/>
              <w:rPr>
                <w:sz w:val="16"/>
                <w:szCs w:val="16"/>
                <w:color w:val="auto"/>
              </w:rPr>
            </w:pPr>
          </w:p>
        </w:tc>
      </w:tr>
      <w:tr>
        <w:trPr>
          <w:trHeight w:val="168"/>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Business Services</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46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3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5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Distribution</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460" w:type="dxa"/>
            <w:vAlign w:val="bottom"/>
            <w:shd w:val="clear" w:color="auto" w:fill="CCECFF"/>
          </w:tcPr>
          <w:p>
            <w:pPr>
              <w:spacing w:after="0"/>
              <w:rPr>
                <w:sz w:val="13"/>
                <w:szCs w:val="13"/>
                <w:color w:val="auto"/>
              </w:rPr>
            </w:pPr>
          </w:p>
        </w:tc>
        <w:tc>
          <w:tcPr>
            <w:tcW w:w="2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300" w:type="dxa"/>
            <w:vAlign w:val="bottom"/>
            <w:shd w:val="clear" w:color="auto" w:fill="CCECFF"/>
          </w:tcPr>
          <w:p>
            <w:pPr>
              <w:spacing w:after="0"/>
              <w:rPr>
                <w:sz w:val="13"/>
                <w:szCs w:val="13"/>
                <w:color w:val="auto"/>
              </w:rPr>
            </w:pPr>
          </w:p>
        </w:tc>
      </w:tr>
      <w:tr>
        <w:trPr>
          <w:trHeight w:val="156"/>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Healthcare, Education and Childcare</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460" w:type="dxa"/>
            <w:vAlign w:val="bottom"/>
          </w:tcPr>
          <w:p>
            <w:pPr>
              <w:spacing w:after="0"/>
              <w:rPr>
                <w:sz w:val="13"/>
                <w:szCs w:val="13"/>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300" w:type="dxa"/>
            <w:vAlign w:val="bottom"/>
          </w:tcPr>
          <w:p>
            <w:pPr>
              <w:spacing w:after="0"/>
              <w:rPr>
                <w:sz w:val="13"/>
                <w:szCs w:val="13"/>
                <w:color w:val="auto"/>
              </w:rPr>
            </w:pPr>
          </w:p>
        </w:tc>
      </w:tr>
      <w:tr>
        <w:trPr>
          <w:trHeight w:val="156"/>
        </w:trPr>
        <w:tc>
          <w:tcPr>
            <w:tcW w:w="5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Short-Term U.S. Government Securities</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460" w:type="dxa"/>
            <w:vAlign w:val="bottom"/>
            <w:shd w:val="clear" w:color="auto" w:fill="CCECFF"/>
          </w:tcPr>
          <w:p>
            <w:pPr>
              <w:spacing w:after="0"/>
              <w:rPr>
                <w:sz w:val="13"/>
                <w:szCs w:val="13"/>
                <w:color w:val="auto"/>
              </w:rPr>
            </w:pPr>
          </w:p>
        </w:tc>
        <w:tc>
          <w:tcPr>
            <w:tcW w:w="2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300" w:type="dxa"/>
            <w:vAlign w:val="bottom"/>
            <w:shd w:val="clear" w:color="auto" w:fill="CCECFF"/>
          </w:tcPr>
          <w:p>
            <w:pPr>
              <w:spacing w:after="0"/>
              <w:rPr>
                <w:sz w:val="13"/>
                <w:szCs w:val="13"/>
                <w:color w:val="auto"/>
              </w:rPr>
            </w:pPr>
          </w:p>
        </w:tc>
      </w:tr>
      <w:tr>
        <w:trPr>
          <w:trHeight w:val="156"/>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Consumer Products</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460" w:type="dxa"/>
            <w:vAlign w:val="bottom"/>
          </w:tcPr>
          <w:p>
            <w:pPr>
              <w:spacing w:after="0"/>
              <w:rPr>
                <w:sz w:val="13"/>
                <w:szCs w:val="13"/>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300" w:type="dxa"/>
            <w:vAlign w:val="bottom"/>
          </w:tcPr>
          <w:p>
            <w:pPr>
              <w:spacing w:after="0"/>
              <w:rPr>
                <w:sz w:val="13"/>
                <w:szCs w:val="13"/>
                <w:color w:val="auto"/>
              </w:rPr>
            </w:pPr>
          </w:p>
        </w:tc>
      </w:tr>
      <w:tr>
        <w:trPr>
          <w:trHeight w:val="156"/>
        </w:trPr>
        <w:tc>
          <w:tcPr>
            <w:tcW w:w="5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Financial Services</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460" w:type="dxa"/>
            <w:vAlign w:val="bottom"/>
            <w:shd w:val="clear" w:color="auto" w:fill="CCECFF"/>
          </w:tcPr>
          <w:p>
            <w:pPr>
              <w:spacing w:after="0"/>
              <w:rPr>
                <w:sz w:val="13"/>
                <w:szCs w:val="13"/>
                <w:color w:val="auto"/>
              </w:rPr>
            </w:pPr>
          </w:p>
        </w:tc>
        <w:tc>
          <w:tcPr>
            <w:tcW w:w="2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300" w:type="dxa"/>
            <w:vAlign w:val="bottom"/>
            <w:shd w:val="clear" w:color="auto" w:fill="CCECFF"/>
          </w:tcPr>
          <w:p>
            <w:pPr>
              <w:spacing w:after="0"/>
              <w:rPr>
                <w:sz w:val="13"/>
                <w:szCs w:val="13"/>
                <w:color w:val="auto"/>
              </w:rPr>
            </w:pPr>
          </w:p>
        </w:tc>
      </w:tr>
      <w:tr>
        <w:trPr>
          <w:trHeight w:val="156"/>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Aerospace and Defense</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460" w:type="dxa"/>
            <w:vAlign w:val="bottom"/>
          </w:tcPr>
          <w:p>
            <w:pPr>
              <w:spacing w:after="0"/>
              <w:rPr>
                <w:sz w:val="13"/>
                <w:szCs w:val="13"/>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300" w:type="dxa"/>
            <w:vAlign w:val="bottom"/>
          </w:tcPr>
          <w:p>
            <w:pPr>
              <w:spacing w:after="0"/>
              <w:rPr>
                <w:sz w:val="13"/>
                <w:szCs w:val="13"/>
                <w:color w:val="auto"/>
              </w:rPr>
            </w:pPr>
          </w:p>
        </w:tc>
      </w:tr>
      <w:tr>
        <w:trPr>
          <w:trHeight w:val="156"/>
        </w:trPr>
        <w:tc>
          <w:tcPr>
            <w:tcW w:w="5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Environmental Services</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460" w:type="dxa"/>
            <w:vAlign w:val="bottom"/>
            <w:shd w:val="clear" w:color="auto" w:fill="CCECFF"/>
          </w:tcPr>
          <w:p>
            <w:pPr>
              <w:spacing w:after="0"/>
              <w:rPr>
                <w:sz w:val="13"/>
                <w:szCs w:val="13"/>
                <w:color w:val="auto"/>
              </w:rPr>
            </w:pPr>
          </w:p>
        </w:tc>
        <w:tc>
          <w:tcPr>
            <w:tcW w:w="2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300" w:type="dxa"/>
            <w:vAlign w:val="bottom"/>
            <w:shd w:val="clear" w:color="auto" w:fill="CCECFF"/>
          </w:tcPr>
          <w:p>
            <w:pPr>
              <w:spacing w:after="0"/>
              <w:rPr>
                <w:sz w:val="13"/>
                <w:szCs w:val="13"/>
                <w:color w:val="auto"/>
              </w:rPr>
            </w:pPr>
          </w:p>
        </w:tc>
      </w:tr>
      <w:tr>
        <w:trPr>
          <w:trHeight w:val="156"/>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 Sector</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460" w:type="dxa"/>
            <w:vAlign w:val="bottom"/>
          </w:tcPr>
          <w:p>
            <w:pPr>
              <w:spacing w:after="0"/>
              <w:rPr>
                <w:sz w:val="13"/>
                <w:szCs w:val="13"/>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300" w:type="dxa"/>
            <w:vAlign w:val="bottom"/>
          </w:tcPr>
          <w:p>
            <w:pPr>
              <w:spacing w:after="0"/>
              <w:rPr>
                <w:sz w:val="13"/>
                <w:szCs w:val="13"/>
                <w:color w:val="auto"/>
              </w:rPr>
            </w:pPr>
          </w:p>
        </w:tc>
      </w:tr>
      <w:tr>
        <w:trPr>
          <w:trHeight w:val="156"/>
        </w:trPr>
        <w:tc>
          <w:tcPr>
            <w:tcW w:w="5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Telecommunications</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460" w:type="dxa"/>
            <w:vAlign w:val="bottom"/>
            <w:shd w:val="clear" w:color="auto" w:fill="CCECFF"/>
          </w:tcPr>
          <w:p>
            <w:pPr>
              <w:spacing w:after="0"/>
              <w:rPr>
                <w:sz w:val="13"/>
                <w:szCs w:val="13"/>
                <w:color w:val="auto"/>
              </w:rPr>
            </w:pPr>
          </w:p>
        </w:tc>
        <w:tc>
          <w:tcPr>
            <w:tcW w:w="2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300" w:type="dxa"/>
            <w:vAlign w:val="bottom"/>
            <w:shd w:val="clear" w:color="auto" w:fill="CCECFF"/>
          </w:tcPr>
          <w:p>
            <w:pPr>
              <w:spacing w:after="0"/>
              <w:rPr>
                <w:sz w:val="13"/>
                <w:szCs w:val="13"/>
                <w:color w:val="auto"/>
              </w:rPr>
            </w:pPr>
          </w:p>
        </w:tc>
      </w:tr>
      <w:tr>
        <w:trPr>
          <w:trHeight w:val="156"/>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Media</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460" w:type="dxa"/>
            <w:vAlign w:val="bottom"/>
          </w:tcPr>
          <w:p>
            <w:pPr>
              <w:spacing w:after="0"/>
              <w:rPr>
                <w:sz w:val="13"/>
                <w:szCs w:val="13"/>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300" w:type="dxa"/>
            <w:vAlign w:val="bottom"/>
          </w:tcPr>
          <w:p>
            <w:pPr>
              <w:spacing w:after="0"/>
              <w:rPr>
                <w:sz w:val="13"/>
                <w:szCs w:val="13"/>
                <w:color w:val="auto"/>
              </w:rPr>
            </w:pPr>
          </w:p>
        </w:tc>
      </w:tr>
      <w:tr>
        <w:trPr>
          <w:trHeight w:val="156"/>
        </w:trPr>
        <w:tc>
          <w:tcPr>
            <w:tcW w:w="5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Chemicals, Plastics and Rubber</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460" w:type="dxa"/>
            <w:vAlign w:val="bottom"/>
            <w:shd w:val="clear" w:color="auto" w:fill="CCECFF"/>
          </w:tcPr>
          <w:p>
            <w:pPr>
              <w:spacing w:after="0"/>
              <w:rPr>
                <w:sz w:val="13"/>
                <w:szCs w:val="13"/>
                <w:color w:val="auto"/>
              </w:rPr>
            </w:pPr>
          </w:p>
        </w:tc>
        <w:tc>
          <w:tcPr>
            <w:tcW w:w="2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300" w:type="dxa"/>
            <w:vAlign w:val="bottom"/>
            <w:shd w:val="clear" w:color="auto" w:fill="CCECFF"/>
          </w:tcPr>
          <w:p>
            <w:pPr>
              <w:spacing w:after="0"/>
              <w:rPr>
                <w:sz w:val="13"/>
                <w:szCs w:val="13"/>
                <w:color w:val="auto"/>
              </w:rPr>
            </w:pPr>
          </w:p>
        </w:tc>
      </w:tr>
      <w:tr>
        <w:trPr>
          <w:trHeight w:val="156"/>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Electronics</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60" w:type="dxa"/>
            <w:vAlign w:val="bottom"/>
          </w:tcPr>
          <w:p>
            <w:pPr>
              <w:spacing w:after="0"/>
              <w:rPr>
                <w:sz w:val="13"/>
                <w:szCs w:val="13"/>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300" w:type="dxa"/>
            <w:vAlign w:val="bottom"/>
          </w:tcPr>
          <w:p>
            <w:pPr>
              <w:spacing w:after="0"/>
              <w:rPr>
                <w:sz w:val="13"/>
                <w:szCs w:val="13"/>
                <w:color w:val="auto"/>
              </w:rPr>
            </w:pPr>
          </w:p>
        </w:tc>
      </w:tr>
      <w:tr>
        <w:trPr>
          <w:trHeight w:val="156"/>
        </w:trPr>
        <w:tc>
          <w:tcPr>
            <w:tcW w:w="5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Personal, Food and Miscellaneous Services</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60" w:type="dxa"/>
            <w:vAlign w:val="bottom"/>
            <w:shd w:val="clear" w:color="auto" w:fill="CCECFF"/>
          </w:tcPr>
          <w:p>
            <w:pPr>
              <w:spacing w:after="0"/>
              <w:rPr>
                <w:sz w:val="13"/>
                <w:szCs w:val="13"/>
                <w:color w:val="auto"/>
              </w:rPr>
            </w:pPr>
          </w:p>
        </w:tc>
        <w:tc>
          <w:tcPr>
            <w:tcW w:w="2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300" w:type="dxa"/>
            <w:vAlign w:val="bottom"/>
            <w:shd w:val="clear" w:color="auto" w:fill="CCECFF"/>
          </w:tcPr>
          <w:p>
            <w:pPr>
              <w:spacing w:after="0"/>
              <w:rPr>
                <w:sz w:val="13"/>
                <w:szCs w:val="13"/>
                <w:color w:val="auto"/>
              </w:rPr>
            </w:pPr>
          </w:p>
        </w:tc>
      </w:tr>
      <w:tr>
        <w:trPr>
          <w:trHeight w:val="156"/>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Building Materials</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60" w:type="dxa"/>
            <w:vAlign w:val="bottom"/>
          </w:tcPr>
          <w:p>
            <w:pPr>
              <w:spacing w:after="0"/>
              <w:rPr>
                <w:sz w:val="13"/>
                <w:szCs w:val="13"/>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tcPr>
          <w:p>
            <w:pPr>
              <w:spacing w:after="0"/>
              <w:rPr>
                <w:sz w:val="13"/>
                <w:szCs w:val="13"/>
                <w:color w:val="auto"/>
              </w:rPr>
            </w:pPr>
          </w:p>
        </w:tc>
      </w:tr>
      <w:tr>
        <w:trPr>
          <w:trHeight w:val="156"/>
        </w:trPr>
        <w:tc>
          <w:tcPr>
            <w:tcW w:w="5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Education</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60" w:type="dxa"/>
            <w:vAlign w:val="bottom"/>
            <w:shd w:val="clear" w:color="auto" w:fill="CCECFF"/>
          </w:tcPr>
          <w:p>
            <w:pPr>
              <w:spacing w:after="0"/>
              <w:rPr>
                <w:sz w:val="13"/>
                <w:szCs w:val="13"/>
                <w:color w:val="auto"/>
              </w:rPr>
            </w:pPr>
          </w:p>
        </w:tc>
        <w:tc>
          <w:tcPr>
            <w:tcW w:w="2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shd w:val="clear" w:color="auto" w:fill="CCECFF"/>
          </w:tcPr>
          <w:p>
            <w:pPr>
              <w:spacing w:after="0"/>
              <w:rPr>
                <w:sz w:val="13"/>
                <w:szCs w:val="13"/>
                <w:color w:val="auto"/>
              </w:rPr>
            </w:pPr>
          </w:p>
        </w:tc>
      </w:tr>
      <w:tr>
        <w:trPr>
          <w:trHeight w:val="156"/>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Manufacturing/Basic Industry</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60" w:type="dxa"/>
            <w:vAlign w:val="bottom"/>
          </w:tcPr>
          <w:p>
            <w:pPr>
              <w:spacing w:after="0"/>
              <w:rPr>
                <w:sz w:val="13"/>
                <w:szCs w:val="13"/>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r>
      <w:tr>
        <w:trPr>
          <w:trHeight w:val="156"/>
        </w:trPr>
        <w:tc>
          <w:tcPr>
            <w:tcW w:w="5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Buildings and Real Estate</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60" w:type="dxa"/>
            <w:vAlign w:val="bottom"/>
            <w:shd w:val="clear" w:color="auto" w:fill="CCECFF"/>
          </w:tcPr>
          <w:p>
            <w:pPr>
              <w:spacing w:after="0"/>
              <w:rPr>
                <w:sz w:val="13"/>
                <w:szCs w:val="13"/>
                <w:color w:val="auto"/>
              </w:rPr>
            </w:pPr>
          </w:p>
        </w:tc>
        <w:tc>
          <w:tcPr>
            <w:tcW w:w="2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shd w:val="clear" w:color="auto" w:fill="CCECFF"/>
          </w:tcPr>
          <w:p>
            <w:pPr>
              <w:spacing w:after="0"/>
              <w:rPr>
                <w:sz w:val="13"/>
                <w:szCs w:val="13"/>
                <w:color w:val="auto"/>
              </w:rPr>
            </w:pPr>
          </w:p>
        </w:tc>
      </w:tr>
      <w:tr>
        <w:trPr>
          <w:trHeight w:val="156"/>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Diversified Conglomerate Service</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60" w:type="dxa"/>
            <w:vAlign w:val="bottom"/>
          </w:tcPr>
          <w:p>
            <w:pPr>
              <w:spacing w:after="0"/>
              <w:rPr>
                <w:sz w:val="13"/>
                <w:szCs w:val="13"/>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r>
      <w:tr>
        <w:trPr>
          <w:trHeight w:val="156"/>
        </w:trPr>
        <w:tc>
          <w:tcPr>
            <w:tcW w:w="5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Home and Office Furnishings, Housewares and Durable Consumer Products</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60" w:type="dxa"/>
            <w:vAlign w:val="bottom"/>
            <w:shd w:val="clear" w:color="auto" w:fill="CCECFF"/>
          </w:tcPr>
          <w:p>
            <w:pPr>
              <w:spacing w:after="0"/>
              <w:rPr>
                <w:sz w:val="13"/>
                <w:szCs w:val="13"/>
                <w:color w:val="auto"/>
              </w:rPr>
            </w:pPr>
          </w:p>
        </w:tc>
        <w:tc>
          <w:tcPr>
            <w:tcW w:w="2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shd w:val="clear" w:color="auto" w:fill="CCECFF"/>
          </w:tcPr>
          <w:p>
            <w:pPr>
              <w:spacing w:after="0"/>
              <w:rPr>
                <w:sz w:val="13"/>
                <w:szCs w:val="13"/>
                <w:color w:val="auto"/>
              </w:rPr>
            </w:pPr>
          </w:p>
        </w:tc>
      </w:tr>
      <w:tr>
        <w:trPr>
          <w:trHeight w:val="156"/>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Consumer Services</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60" w:type="dxa"/>
            <w:vAlign w:val="bottom"/>
          </w:tcPr>
          <w:p>
            <w:pPr>
              <w:spacing w:after="0"/>
              <w:rPr>
                <w:sz w:val="13"/>
                <w:szCs w:val="13"/>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r>
      <w:tr>
        <w:trPr>
          <w:trHeight w:val="156"/>
        </w:trPr>
        <w:tc>
          <w:tcPr>
            <w:tcW w:w="5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460" w:type="dxa"/>
            <w:vAlign w:val="bottom"/>
            <w:shd w:val="clear" w:color="auto" w:fill="CCECFF"/>
          </w:tcPr>
          <w:p>
            <w:pPr>
              <w:spacing w:after="0"/>
              <w:rPr>
                <w:sz w:val="13"/>
                <w:szCs w:val="13"/>
                <w:color w:val="auto"/>
              </w:rPr>
            </w:pPr>
          </w:p>
        </w:tc>
        <w:tc>
          <w:tcPr>
            <w:tcW w:w="2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300" w:type="dxa"/>
            <w:vAlign w:val="bottom"/>
            <w:shd w:val="clear" w:color="auto" w:fill="CCECFF"/>
          </w:tcPr>
          <w:p>
            <w:pPr>
              <w:spacing w:after="0"/>
              <w:rPr>
                <w:sz w:val="13"/>
                <w:szCs w:val="13"/>
                <w:color w:val="auto"/>
              </w:rPr>
            </w:pPr>
          </w:p>
        </w:tc>
      </w:tr>
      <w:tr>
        <w:trPr>
          <w:trHeight w:val="156"/>
        </w:trPr>
        <w:tc>
          <w:tcPr>
            <w:tcW w:w="528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Total</w:t>
            </w:r>
          </w:p>
        </w:tc>
        <w:tc>
          <w:tcPr>
            <w:tcW w:w="22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100</w:t>
            </w:r>
          </w:p>
        </w:tc>
        <w:tc>
          <w:tcPr>
            <w:tcW w:w="460" w:type="dxa"/>
            <w:vAlign w:val="bottom"/>
          </w:tcPr>
          <w:p>
            <w:pPr>
              <w:jc w:val="right"/>
              <w:ind w:right="174"/>
              <w:spacing w:after="0" w:line="136" w:lineRule="exact"/>
              <w:rPr>
                <w:sz w:val="20"/>
                <w:szCs w:val="20"/>
                <w:color w:val="auto"/>
              </w:rPr>
            </w:pPr>
            <w:r>
              <w:rPr>
                <w:rFonts w:ascii="Times New Roman" w:cs="Times New Roman" w:eastAsia="Times New Roman" w:hAnsi="Times New Roman"/>
                <w:sz w:val="13"/>
                <w:szCs w:val="13"/>
                <w:color w:val="auto"/>
              </w:rPr>
              <w:t>%</w:t>
            </w:r>
          </w:p>
        </w:tc>
        <w:tc>
          <w:tcPr>
            <w:tcW w:w="22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100</w:t>
            </w:r>
          </w:p>
        </w:tc>
        <w:tc>
          <w:tcPr>
            <w:tcW w:w="300" w:type="dxa"/>
            <w:vAlign w:val="bottom"/>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20"/>
        </w:trPr>
        <w:tc>
          <w:tcPr>
            <w:tcW w:w="528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1"/>
          <w:szCs w:val="11"/>
          <w:color w:val="auto"/>
        </w:rPr>
        <w:t>Excludes investments in PSLF.</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89" w:name="page90"/>
    <w:bookmarkEnd w:id="89"/>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PennantPark Senior Loan Fund, LLC</w:t>
      </w:r>
    </w:p>
    <w:p>
      <w:pPr>
        <w:spacing w:after="0" w:line="153" w:lineRule="exact"/>
        <w:rPr>
          <w:sz w:val="20"/>
          <w:szCs w:val="20"/>
          <w:color w:val="auto"/>
        </w:rPr>
      </w:pPr>
    </w:p>
    <w:p>
      <w:pPr>
        <w:ind w:right="40" w:firstLine="420"/>
        <w:spacing w:after="0" w:line="255" w:lineRule="auto"/>
        <w:rPr>
          <w:sz w:val="20"/>
          <w:szCs w:val="20"/>
          <w:color w:val="auto"/>
        </w:rPr>
      </w:pPr>
      <w:r>
        <w:rPr>
          <w:rFonts w:ascii="Times New Roman" w:cs="Times New Roman" w:eastAsia="Times New Roman" w:hAnsi="Times New Roman"/>
          <w:sz w:val="13"/>
          <w:szCs w:val="13"/>
          <w:color w:val="auto"/>
        </w:rPr>
        <w:t>In July 2020, we and Pantheon formed PSLF, an unconsolidated joint venture. PSLF invests primarily in middle-market and other corporate debt securities consistent with our strategy. PSLF was formed as a Delaware limited liability company. As of September 30, 2024 and 2023 PSLF had total assets of $1,073.4 million and $872.8 million, respectively. PSLF’s portfolio consisted of debt investments in 102 and 90 portfolio companies as of September 30, 2024 and 2023, respectively. As of September 30, 2024, we and Pantheon had remaining commitments to fund first lien secured debt of $32.6 million and $46.5 million, respectively, and equity interests of $19.9 million and $28.5 million, respectively, in PSLF. As of September 30, 2023, we and Pantheon had remaining commitments to fund first lien secured debt of $13.6 million and $8.9 million, respectively, and equity interest of $8.8 million and $5.7 million respectively. As of September 30, 2024, at fair value, the largest investment in a single portfolio company in PSLF was $25.1 million and the five largest investments totaled $109.9 million. As of September 30, 2023 at fair value, the largest investment in a single portfolio company in PSLF was $19.7 million and the five largest investments totaled $97.5 million. PSLF invests in portfolio companies in the same industries in which we may directly invest.</w:t>
      </w:r>
    </w:p>
    <w:p>
      <w:pPr>
        <w:spacing w:after="0" w:line="233" w:lineRule="exact"/>
        <w:rPr>
          <w:sz w:val="20"/>
          <w:szCs w:val="20"/>
          <w:color w:val="auto"/>
        </w:rPr>
      </w:pPr>
    </w:p>
    <w:p>
      <w:pPr>
        <w:ind w:right="80" w:firstLine="420"/>
        <w:spacing w:after="0" w:line="268" w:lineRule="auto"/>
        <w:rPr>
          <w:sz w:val="20"/>
          <w:szCs w:val="20"/>
          <w:color w:val="auto"/>
        </w:rPr>
      </w:pPr>
      <w:r>
        <w:rPr>
          <w:rFonts w:ascii="Times New Roman" w:cs="Times New Roman" w:eastAsia="Times New Roman" w:hAnsi="Times New Roman"/>
          <w:sz w:val="13"/>
          <w:szCs w:val="13"/>
          <w:color w:val="auto"/>
        </w:rPr>
        <w:t>We provide capital to PSLF in the form of subordinated notes and equity interests. As of September 30, 2024 and 2023, we and Pantheon owned 60.5% and 39.5%, respectively, of each of the outstanding subordinated notes and equity interests of PSLF. As of September 30, 2024 and 2023, our investment in PSLF consisted of subordinated notes of $115.9 million and $102.3 million, respectively, and equity interests of $67.4 million and $58.6 million, respectively.</w:t>
      </w:r>
    </w:p>
    <w:p>
      <w:pPr>
        <w:spacing w:after="0" w:line="87"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We and Pantheon each appointed two members to PSLF’s four-person Member Designees’ Committee, or the Member Designees’ Committee. All material decisions with respect to PSLF, including those involving its investment portfolio, require unanimous approval of quorum of the Member Designees’ Committee. Quorum is defined as (i) the presence of two members of the Member Designees’ Committee; provided that at least one individual is present that was elected, designated or appointed by each of us and Pantheon; (ii) the presence of three members of the Member Designees’ Committee, provided that the individual that was elected, designated or appointed by each of us or Pantheon, as the case may be, with only one individual present shall be entitled to cast two votes on each matter; and (iii) the presence of four members of the Member Designees’ Committee shall constitute a quorum, provided that two individuals are present that were elected, designated or appointed by each of us and Pantheon.</w:t>
      </w:r>
    </w:p>
    <w:p>
      <w:pPr>
        <w:spacing w:after="0" w:line="96" w:lineRule="exact"/>
        <w:rPr>
          <w:sz w:val="20"/>
          <w:szCs w:val="20"/>
          <w:color w:val="auto"/>
        </w:rPr>
      </w:pPr>
    </w:p>
    <w:p>
      <w:pPr>
        <w:ind w:right="80" w:firstLine="420"/>
        <w:spacing w:after="0" w:line="268" w:lineRule="auto"/>
        <w:rPr>
          <w:sz w:val="20"/>
          <w:szCs w:val="20"/>
          <w:color w:val="auto"/>
        </w:rPr>
      </w:pPr>
      <w:r>
        <w:rPr>
          <w:rFonts w:ascii="Times New Roman" w:cs="Times New Roman" w:eastAsia="Times New Roman" w:hAnsi="Times New Roman"/>
          <w:sz w:val="13"/>
          <w:szCs w:val="13"/>
          <w:color w:val="auto"/>
        </w:rPr>
        <w:t>Additionally, PSLF, through its wholly -owned subsidiary, or PSLF Subsidiary, has entered into a $400 million (increased from $325.0 million in August 2024) senior secured revolving credit facility, or the PSLF Credit Facility, with BNP Paribas, which bears interest at SOFR (or an alternative risk-free interest rate index) plus 260 basis points during the investment period, subject to leverage and borrowing base restrictions.</w:t>
      </w:r>
    </w:p>
    <w:p>
      <w:pPr>
        <w:spacing w:after="0" w:line="87" w:lineRule="exact"/>
        <w:rPr>
          <w:sz w:val="20"/>
          <w:szCs w:val="20"/>
          <w:color w:val="auto"/>
        </w:rPr>
      </w:pPr>
    </w:p>
    <w:p>
      <w:pPr>
        <w:ind w:right="60" w:firstLine="420"/>
        <w:spacing w:after="0" w:line="257" w:lineRule="auto"/>
        <w:rPr>
          <w:sz w:val="20"/>
          <w:szCs w:val="20"/>
          <w:color w:val="auto"/>
        </w:rPr>
      </w:pPr>
      <w:r>
        <w:rPr>
          <w:rFonts w:ascii="Times New Roman" w:cs="Times New Roman" w:eastAsia="Times New Roman" w:hAnsi="Times New Roman"/>
          <w:sz w:val="13"/>
          <w:szCs w:val="13"/>
          <w:color w:val="auto"/>
        </w:rPr>
        <w:t>In March 2022, PSLF completed a $304.0 million debt securitization in the form of a collateralized loan obligation, or the “2034 Asset-Backed Debt”. The 2034 Asset-Backed Debt is secured by a diversified portfolio of PennantPark CLO IV, LLC., a wholly- owned and consolidated subsidiary of PSLF, consisting primarily of middle market loans and participation interests in middle market loans. The 2034 Asset-Backed Debt is scheduled to mature in April 2034. On the closing date of the transaction, in consideration of PSLF’s transfer to PennantPark CLO IV, LLC. of the initial closing date loan portfolio, which included loans distributed to PSLF by certain of its wholly owned subsidiaries and us, PennantPark CLO IV, LLC. transferred to PSLF 100% of the Preferred Shares of PennantPark CLO IV, LLC. and 100% of the Subordinated Notes issued by PennantPark CLO IV, LLC. As of September 30, 2024 and 2023, there was $246.0 million of external 2034 Asset-Backed Debt.</w:t>
      </w:r>
    </w:p>
    <w:p>
      <w:pPr>
        <w:spacing w:after="0" w:line="96" w:lineRule="exact"/>
        <w:rPr>
          <w:sz w:val="20"/>
          <w:szCs w:val="20"/>
          <w:color w:val="auto"/>
        </w:rPr>
      </w:pPr>
    </w:p>
    <w:p>
      <w:pPr>
        <w:ind w:right="100" w:firstLine="420"/>
        <w:spacing w:after="0" w:line="256" w:lineRule="auto"/>
        <w:rPr>
          <w:sz w:val="20"/>
          <w:szCs w:val="20"/>
          <w:color w:val="auto"/>
        </w:rPr>
      </w:pPr>
      <w:r>
        <w:rPr>
          <w:rFonts w:ascii="Times New Roman" w:cs="Times New Roman" w:eastAsia="Times New Roman" w:hAnsi="Times New Roman"/>
          <w:sz w:val="13"/>
          <w:szCs w:val="13"/>
          <w:color w:val="auto"/>
        </w:rPr>
        <w:t>On July 26, 2023, CLO VII completed a $300 million debt securitization in the form of a collateralized loan obligation (the "2035 Debt Securitization" or "2035 Asset-Backed Debt"). The 2035 Asset-Backed Debt is secured by a diversified portfolio consisting primarily of middle market loans. The 2035 Debt Securitization was executed through a private placement of: (i) $151.0 million Class A -1a Notes maturing 2035, which bear interest at the three -month SOFR plus 2.7%, (ii) $20.0 million Class A-1b Loans 2035, which bear interest at 6.5%, (iii) $12.0 million Class A- 2 Senior Secured Floating Rate Notes due 2035, which bear interest at the three-month SOFR plus 3.2%, (iv) $21.0 million Class B Senior Secured Floating Rate Notes due 2035, which bear interest at the three -month SOFR plus 4.1%, (v) $24.0 million Class C Secured Deferrable Floating Rate Notes due 2035, which bear interest at the three-month SOFR plus 4.7%, (vi) $18.0 million Class D Secured Deferrable Floating Rate Notes due 2035, which bear interest at the three-month SOFR plus 7.0%. As of September 30, 2024 and 2023 there was $246.0 million of external 2035 Asset-Backed Debt.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is a summary of PSLF’s portfolio at fair value ($ in thousands):</w:t>
            </w:r>
          </w:p>
        </w:tc>
        <w:tc>
          <w:tcPr>
            <w:tcW w:w="2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96"/>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thousands)</w:t>
            </w:r>
          </w:p>
        </w:tc>
        <w:tc>
          <w:tcPr>
            <w:tcW w:w="2720" w:type="dxa"/>
            <w:vAlign w:val="bottom"/>
          </w:tcPr>
          <w:p>
            <w:pPr>
              <w:spacing w:after="0"/>
              <w:rPr>
                <w:sz w:val="24"/>
                <w:szCs w:val="24"/>
                <w:color w:val="auto"/>
              </w:rPr>
            </w:pPr>
          </w:p>
        </w:tc>
        <w:tc>
          <w:tcPr>
            <w:tcW w:w="15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20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September 30, 2023</w:t>
            </w:r>
          </w:p>
        </w:tc>
      </w:tr>
      <w:tr>
        <w:trPr>
          <w:trHeight w:val="156"/>
        </w:trPr>
        <w:tc>
          <w:tcPr>
            <w:tcW w:w="4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investments</w:t>
            </w:r>
          </w:p>
        </w:tc>
        <w:tc>
          <w:tcPr>
            <w:tcW w:w="2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1,031,225</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804,187</w:t>
            </w:r>
          </w:p>
        </w:tc>
        <w:tc>
          <w:tcPr>
            <w:tcW w:w="40" w:type="dxa"/>
            <w:vAlign w:val="bottom"/>
          </w:tcPr>
          <w:p>
            <w:pPr>
              <w:spacing w:after="0"/>
              <w:rPr>
                <w:sz w:val="13"/>
                <w:szCs w:val="13"/>
                <w:color w:val="auto"/>
              </w:rPr>
            </w:pPr>
          </w:p>
        </w:tc>
      </w:tr>
      <w:tr>
        <w:trPr>
          <w:trHeight w:val="156"/>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cost yield on income producing investments</w:t>
            </w:r>
          </w:p>
        </w:tc>
        <w:tc>
          <w:tcPr>
            <w:tcW w:w="2720" w:type="dxa"/>
            <w:vAlign w:val="bottom"/>
          </w:tcPr>
          <w:p>
            <w:pPr>
              <w:spacing w:after="0"/>
              <w:rPr>
                <w:sz w:val="13"/>
                <w:szCs w:val="13"/>
                <w:color w:val="auto"/>
              </w:rPr>
            </w:pPr>
          </w:p>
        </w:tc>
        <w:tc>
          <w:tcPr>
            <w:tcW w:w="15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11.3 %</w:t>
            </w:r>
          </w:p>
        </w:tc>
        <w:tc>
          <w:tcPr>
            <w:tcW w:w="2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12.1 %</w:t>
            </w:r>
          </w:p>
        </w:tc>
        <w:tc>
          <w:tcPr>
            <w:tcW w:w="40" w:type="dxa"/>
            <w:vAlign w:val="bottom"/>
          </w:tcPr>
          <w:p>
            <w:pPr>
              <w:spacing w:after="0"/>
              <w:rPr>
                <w:sz w:val="13"/>
                <w:szCs w:val="13"/>
                <w:color w:val="auto"/>
              </w:rPr>
            </w:pPr>
          </w:p>
        </w:tc>
      </w:tr>
      <w:tr>
        <w:trPr>
          <w:trHeight w:val="156"/>
        </w:trPr>
        <w:tc>
          <w:tcPr>
            <w:tcW w:w="4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Number of portfolio companies in PSLF</w:t>
            </w:r>
          </w:p>
        </w:tc>
        <w:tc>
          <w:tcPr>
            <w:tcW w:w="2720" w:type="dxa"/>
            <w:vAlign w:val="bottom"/>
            <w:shd w:val="clear" w:color="auto" w:fill="CCECFF"/>
          </w:tcPr>
          <w:p>
            <w:pPr>
              <w:spacing w:after="0"/>
              <w:rPr>
                <w:sz w:val="13"/>
                <w:szCs w:val="13"/>
                <w:color w:val="auto"/>
              </w:rPr>
            </w:pPr>
          </w:p>
        </w:tc>
        <w:tc>
          <w:tcPr>
            <w:tcW w:w="154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102</w:t>
            </w:r>
          </w:p>
        </w:tc>
        <w:tc>
          <w:tcPr>
            <w:tcW w:w="200" w:type="dxa"/>
            <w:vAlign w:val="bottom"/>
            <w:shd w:val="clear" w:color="auto" w:fill="CCECFF"/>
          </w:tcPr>
          <w:p>
            <w:pPr>
              <w:spacing w:after="0"/>
              <w:rPr>
                <w:sz w:val="13"/>
                <w:szCs w:val="13"/>
                <w:color w:val="auto"/>
              </w:rPr>
            </w:pPr>
          </w:p>
        </w:tc>
        <w:tc>
          <w:tcPr>
            <w:tcW w:w="14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90</w:t>
            </w:r>
          </w:p>
        </w:tc>
        <w:tc>
          <w:tcPr>
            <w:tcW w:w="40" w:type="dxa"/>
            <w:vAlign w:val="bottom"/>
          </w:tcPr>
          <w:p>
            <w:pPr>
              <w:spacing w:after="0"/>
              <w:rPr>
                <w:sz w:val="13"/>
                <w:szCs w:val="13"/>
                <w:color w:val="auto"/>
              </w:rPr>
            </w:pPr>
          </w:p>
        </w:tc>
      </w:tr>
      <w:tr>
        <w:trPr>
          <w:trHeight w:val="156"/>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Largest portfolio company investment at fair value</w:t>
            </w:r>
          </w:p>
        </w:tc>
        <w:tc>
          <w:tcPr>
            <w:tcW w:w="2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25,073</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19,737</w:t>
            </w:r>
          </w:p>
        </w:tc>
        <w:tc>
          <w:tcPr>
            <w:tcW w:w="40" w:type="dxa"/>
            <w:vAlign w:val="bottom"/>
          </w:tcPr>
          <w:p>
            <w:pPr>
              <w:spacing w:after="0"/>
              <w:rPr>
                <w:sz w:val="13"/>
                <w:szCs w:val="13"/>
                <w:color w:val="auto"/>
              </w:rPr>
            </w:pPr>
          </w:p>
        </w:tc>
      </w:tr>
      <w:tr>
        <w:trPr>
          <w:trHeight w:val="156"/>
        </w:trPr>
        <w:tc>
          <w:tcPr>
            <w:tcW w:w="4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of five largest portfolio company investments at fair value</w:t>
            </w:r>
          </w:p>
        </w:tc>
        <w:tc>
          <w:tcPr>
            <w:tcW w:w="2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109,927</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97,526</w:t>
            </w:r>
          </w:p>
        </w:tc>
        <w:tc>
          <w:tcPr>
            <w:tcW w:w="40" w:type="dxa"/>
            <w:vAlign w:val="bottom"/>
          </w:tcPr>
          <w:p>
            <w:pPr>
              <w:spacing w:after="0"/>
              <w:rPr>
                <w:sz w:val="13"/>
                <w:szCs w:val="13"/>
                <w:color w:val="auto"/>
              </w:rPr>
            </w:pPr>
          </w:p>
        </w:tc>
      </w:tr>
      <w:tr>
        <w:trPr>
          <w:trHeight w:val="652"/>
        </w:trPr>
        <w:tc>
          <w:tcPr>
            <w:tcW w:w="4680" w:type="dxa"/>
            <w:vAlign w:val="bottom"/>
          </w:tcPr>
          <w:p>
            <w:pPr>
              <w:spacing w:after="0"/>
              <w:rPr>
                <w:sz w:val="24"/>
                <w:szCs w:val="24"/>
                <w:color w:val="auto"/>
              </w:rPr>
            </w:pPr>
          </w:p>
        </w:tc>
        <w:tc>
          <w:tcPr>
            <w:tcW w:w="2720" w:type="dxa"/>
            <w:vAlign w:val="bottom"/>
          </w:tcPr>
          <w:p>
            <w:pPr>
              <w:jc w:val="right"/>
              <w:ind w:right="1974"/>
              <w:spacing w:after="0"/>
              <w:rPr>
                <w:sz w:val="20"/>
                <w:szCs w:val="20"/>
                <w:color w:val="auto"/>
              </w:rPr>
            </w:pPr>
            <w:r>
              <w:rPr>
                <w:rFonts w:ascii="Times New Roman" w:cs="Times New Roman" w:eastAsia="Times New Roman" w:hAnsi="Times New Roman"/>
                <w:sz w:val="13"/>
                <w:szCs w:val="13"/>
                <w:color w:val="auto"/>
              </w:rPr>
              <w:t>90</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80"/>
        </w:trPr>
        <w:tc>
          <w:tcPr>
            <w:tcW w:w="4680" w:type="dxa"/>
            <w:vAlign w:val="bottom"/>
            <w:tcBorders>
              <w:bottom w:val="single" w:sz="8" w:color="EEEEEE"/>
            </w:tcBorders>
          </w:tcPr>
          <w:p>
            <w:pPr>
              <w:spacing w:after="0"/>
              <w:rPr>
                <w:sz w:val="24"/>
                <w:szCs w:val="24"/>
                <w:color w:val="auto"/>
              </w:rPr>
            </w:pPr>
          </w:p>
        </w:tc>
        <w:tc>
          <w:tcPr>
            <w:tcW w:w="2720" w:type="dxa"/>
            <w:vAlign w:val="bottom"/>
            <w:tcBorders>
              <w:bottom w:val="single" w:sz="8" w:color="EEEEEE"/>
            </w:tcBorders>
          </w:tcPr>
          <w:p>
            <w:pPr>
              <w:spacing w:after="0"/>
              <w:rPr>
                <w:sz w:val="24"/>
                <w:szCs w:val="24"/>
                <w:color w:val="auto"/>
              </w:rPr>
            </w:pPr>
          </w:p>
        </w:tc>
        <w:tc>
          <w:tcPr>
            <w:tcW w:w="154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420" w:type="dxa"/>
            <w:vAlign w:val="bottom"/>
            <w:tcBorders>
              <w:bottom w:val="single" w:sz="8" w:color="EEEEEE"/>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132" w:right="640"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20" w:type="dxa"/>
            <w:vAlign w:val="bottom"/>
            <w:gridSpan w:val="3"/>
          </w:tcPr>
          <w:p>
            <w:pPr>
              <w:ind w:left="420"/>
              <w:spacing w:after="0"/>
              <w:rPr>
                <w:sz w:val="20"/>
                <w:szCs w:val="20"/>
                <w:color w:val="auto"/>
              </w:rPr>
            </w:pPr>
            <w:r>
              <w:rPr>
                <w:rFonts w:ascii="Times New Roman" w:cs="Times New Roman" w:eastAsia="Times New Roman" w:hAnsi="Times New Roman"/>
                <w:sz w:val="13"/>
                <w:szCs w:val="13"/>
                <w:color w:val="auto"/>
              </w:rPr>
              <w:t>Below is a listing of PSLF’s individual investments as of September 30, 2024 ($ in thousands):</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2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0" w:type="dxa"/>
            <w:vAlign w:val="bottom"/>
          </w:tcPr>
          <w:p>
            <w:pPr>
              <w:jc w:val="right"/>
              <w:ind w:right="312"/>
              <w:spacing w:after="0" w:line="14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960" w:type="dxa"/>
            <w:vAlign w:val="bottom"/>
          </w:tcPr>
          <w:p>
            <w:pPr>
              <w:jc w:val="center"/>
              <w:ind w:right="31"/>
              <w:spacing w:after="0" w:line="145" w:lineRule="exact"/>
              <w:rPr>
                <w:sz w:val="20"/>
                <w:szCs w:val="20"/>
                <w:color w:val="auto"/>
              </w:rPr>
            </w:pPr>
            <w:r>
              <w:rPr>
                <w:rFonts w:ascii="Times New Roman" w:cs="Times New Roman" w:eastAsia="Times New Roman" w:hAnsi="Times New Roman"/>
                <w:sz w:val="13"/>
                <w:szCs w:val="13"/>
                <w:b w:val="1"/>
                <w:bCs w:val="1"/>
                <w:color w:val="auto"/>
              </w:rPr>
              <w:t>Above</w:t>
            </w:r>
          </w:p>
        </w:tc>
        <w:tc>
          <w:tcPr>
            <w:tcW w:w="720" w:type="dxa"/>
            <w:vAlign w:val="bottom"/>
          </w:tcPr>
          <w:p>
            <w:pPr>
              <w:jc w:val="right"/>
              <w:ind w:right="231"/>
              <w:spacing w:after="0" w:line="145" w:lineRule="exact"/>
              <w:rPr>
                <w:sz w:val="20"/>
                <w:szCs w:val="20"/>
                <w:color w:val="auto"/>
              </w:rPr>
            </w:pPr>
            <w:r>
              <w:rPr>
                <w:rFonts w:ascii="Times New Roman" w:cs="Times New Roman" w:eastAsia="Times New Roman" w:hAnsi="Times New Roman"/>
                <w:sz w:val="13"/>
                <w:szCs w:val="13"/>
                <w:b w:val="1"/>
                <w:bCs w:val="1"/>
                <w:color w:val="auto"/>
              </w:rPr>
              <w:t>Par /</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840" w:type="dxa"/>
            <w:vAlign w:val="bottom"/>
          </w:tcPr>
          <w:p>
            <w:pPr>
              <w:ind w:left="20"/>
              <w:spacing w:after="0" w:line="179" w:lineRule="exact"/>
              <w:rPr>
                <w:sz w:val="20"/>
                <w:szCs w:val="20"/>
                <w:color w:val="auto"/>
              </w:rPr>
            </w:pPr>
            <w:r>
              <w:rPr>
                <w:rFonts w:ascii="Times New Roman" w:cs="Times New Roman" w:eastAsia="Times New Roman" w:hAnsi="Times New Roman"/>
                <w:sz w:val="13"/>
                <w:szCs w:val="13"/>
                <w:b w:val="1"/>
                <w:bCs w:val="1"/>
                <w:color w:val="auto"/>
              </w:rPr>
              <w:t xml:space="preserve">Issuer Name </w:t>
            </w:r>
            <w:r>
              <w:rPr>
                <w:rFonts w:ascii="Times New Roman" w:cs="Times New Roman" w:eastAsia="Times New Roman" w:hAnsi="Times New Roman"/>
                <w:sz w:val="16"/>
                <w:szCs w:val="16"/>
                <w:b w:val="1"/>
                <w:bCs w:val="1"/>
                <w:color w:val="auto"/>
                <w:vertAlign w:val="superscript"/>
              </w:rPr>
              <w:t>3,4</w:t>
            </w:r>
          </w:p>
        </w:tc>
        <w:tc>
          <w:tcPr>
            <w:tcW w:w="940" w:type="dxa"/>
            <w:vAlign w:val="bottom"/>
          </w:tcPr>
          <w:p>
            <w:pPr>
              <w:jc w:val="center"/>
              <w:ind w:left="52"/>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2140" w:type="dxa"/>
            <w:vAlign w:val="bottom"/>
          </w:tcPr>
          <w:p>
            <w:pPr>
              <w:jc w:val="right"/>
              <w:ind w:right="791"/>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1000" w:type="dxa"/>
            <w:vAlign w:val="bottom"/>
          </w:tcPr>
          <w:p>
            <w:pPr>
              <w:jc w:val="right"/>
              <w:ind w:right="312"/>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960" w:type="dxa"/>
            <w:vAlign w:val="bottom"/>
          </w:tcPr>
          <w:p>
            <w:pPr>
              <w:jc w:val="center"/>
              <w:ind w:right="31"/>
              <w:spacing w:after="0" w:line="179" w:lineRule="exact"/>
              <w:rPr>
                <w:sz w:val="20"/>
                <w:szCs w:val="20"/>
                <w:color w:val="auto"/>
              </w:rPr>
            </w:pPr>
            <w:r>
              <w:rPr>
                <w:rFonts w:ascii="Times New Roman" w:cs="Times New Roman" w:eastAsia="Times New Roman" w:hAnsi="Times New Roman"/>
                <w:sz w:val="13"/>
                <w:szCs w:val="13"/>
                <w:b w:val="1"/>
                <w:bCs w:val="1"/>
                <w:color w:val="auto"/>
                <w:w w:val="98"/>
              </w:rPr>
              <w:t xml:space="preserve">Index </w:t>
            </w:r>
            <w:r>
              <w:rPr>
                <w:rFonts w:ascii="Times New Roman" w:cs="Times New Roman" w:eastAsia="Times New Roman" w:hAnsi="Times New Roman"/>
                <w:sz w:val="16"/>
                <w:szCs w:val="16"/>
                <w:b w:val="1"/>
                <w:bCs w:val="1"/>
                <w:color w:val="auto"/>
                <w:w w:val="98"/>
                <w:vertAlign w:val="superscript"/>
              </w:rPr>
              <w:t>1</w:t>
            </w:r>
          </w:p>
        </w:tc>
        <w:tc>
          <w:tcPr>
            <w:tcW w:w="720" w:type="dxa"/>
            <w:vAlign w:val="bottom"/>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5"/>
                <w:szCs w:val="15"/>
                <w:color w:val="auto"/>
              </w:rPr>
            </w:pPr>
          </w:p>
        </w:tc>
        <w:tc>
          <w:tcPr>
            <w:tcW w:w="560" w:type="dxa"/>
            <w:vAlign w:val="bottom"/>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5"/>
                <w:szCs w:val="15"/>
                <w:color w:val="auto"/>
              </w:rPr>
            </w:pPr>
          </w:p>
        </w:tc>
        <w:tc>
          <w:tcPr>
            <w:tcW w:w="980" w:type="dxa"/>
            <w:vAlign w:val="bottom"/>
          </w:tcPr>
          <w:p>
            <w:pPr>
              <w:jc w:val="right"/>
              <w:ind w:right="192"/>
              <w:spacing w:after="0" w:line="179" w:lineRule="exact"/>
              <w:rPr>
                <w:sz w:val="20"/>
                <w:szCs w:val="20"/>
                <w:color w:val="auto"/>
              </w:rPr>
            </w:pPr>
            <w:r>
              <w:rPr>
                <w:rFonts w:ascii="Times New Roman" w:cs="Times New Roman" w:eastAsia="Times New Roman" w:hAnsi="Times New Roman"/>
                <w:sz w:val="13"/>
                <w:szCs w:val="13"/>
                <w:b w:val="1"/>
                <w:bCs w:val="1"/>
                <w:color w:val="auto"/>
              </w:rPr>
              <w:t xml:space="preserve">Fair Value </w:t>
            </w:r>
            <w:r>
              <w:rPr>
                <w:rFonts w:ascii="Times New Roman" w:cs="Times New Roman" w:eastAsia="Times New Roman" w:hAnsi="Times New Roman"/>
                <w:sz w:val="16"/>
                <w:szCs w:val="16"/>
                <w:b w:val="1"/>
                <w:bCs w:val="1"/>
                <w:color w:val="auto"/>
                <w:vertAlign w:val="superscript"/>
              </w:rPr>
              <w:t>2</w:t>
            </w:r>
          </w:p>
        </w:tc>
        <w:tc>
          <w:tcPr>
            <w:tcW w:w="0" w:type="dxa"/>
            <w:vAlign w:val="bottom"/>
          </w:tcPr>
          <w:p>
            <w:pPr>
              <w:spacing w:after="0"/>
              <w:rPr>
                <w:sz w:val="1"/>
                <w:szCs w:val="1"/>
                <w:color w:val="auto"/>
              </w:rPr>
            </w:pPr>
          </w:p>
        </w:tc>
      </w:tr>
      <w:tr>
        <w:trPr>
          <w:trHeight w:val="122"/>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- 916.4%</w:t>
            </w:r>
          </w:p>
        </w:tc>
        <w:tc>
          <w:tcPr>
            <w:tcW w:w="9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12/22/28</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10.95 %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SOFR+610</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14,738</w:t>
            </w:r>
          </w:p>
        </w:tc>
        <w:tc>
          <w:tcPr>
            <w:tcW w:w="2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14,504</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14,738</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ACP Avenu Buyer, LLC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10/02/29</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10.57 %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SOFR+525</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7,667</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7,526</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7,418</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ACP Falcon Buyer, Inc.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08/01/29</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10.83 %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SOFR+550</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15,351</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15,067</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15,412</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05/07/26</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11.28 %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SOFR+626</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4,838</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4,838</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4,838</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Aeronix, Inc. - Term Loan</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12/18/28</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9.85 %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SOFR+525</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14,888</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14,700</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14,888</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AFC - Dell Holding Corp.</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04/09/27</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10.49 %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SOFR+550</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7,131</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7,059</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7,059</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11/30/26</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Containers, Packaging and Glass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11.30 %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SOFR+610</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14,687</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14,459</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14,100</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Amsive Holding Corporation (f/k/a Vision Purchaser Corporation)</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06/10/25</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10.75 %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SOFR+650</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13,813</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13,769</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13,675</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Holdings Inc (fka MeritDirect)</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06/30/26</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10.50 %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SOFR+590</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14,714</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14,638</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14,714</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12/29/26</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10.50 %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SOFR+590</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14,522</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14,389</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14,304</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08/03/29</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11.56 %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SOFR+625</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21,574</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21,270</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21,466</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Beacon Behavioral Support Services, LLC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06/21/29</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9.92 %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SOFR+525</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14,963</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14,750</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14,738</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07/01/29</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10.35 %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14,700</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14,486</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14,259</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Big Top Holdings, LLC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02/28/30</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Manufacturing / Basic Industries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11.18 %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SOFR+625</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6,965</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6,852</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6,965</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01/31/28</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11.84 %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SOFR+650</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8,887</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8,795</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8,776</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09/17/26</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10.92 %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SOFR+640</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20,504</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20,245</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20,152</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BlueHalo Global Holdings, LLC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10/31/25</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10.70 %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SOFR+600</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13,292</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13,218</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13,026</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12/04/25</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10.97 %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SOFR+611</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9,374</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9,374</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9,374</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07/25/29</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Auto Sector</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10.20 %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SOFR+535</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4,874</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4,625</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4,585</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Carisk Buyer, Inc.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11/30/29</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10.35 %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5,473</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5,400</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5,390</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Carnegie Dartlet, LLC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02/07/30</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10.35 %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SOFR+550</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9,950</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9,810</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9,801</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06/14/28</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10.35 %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17,106</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16,879</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17,106</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08/20/26</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11.21 %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SOFR+619</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2,891</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2,876</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2,848</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07/13/27</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10.53 %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SOFR+561</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8,716</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8,702</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8,716</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08/16/27</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10.71 %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SOFR+586</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2,549</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2,529</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2,530</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08/31/27</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9.95 %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SOFR+535</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22,993</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22,842</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22,993</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12/21/28</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10.20 %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SOFR+535</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5,830</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5,423</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5,626</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11/03/25</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11.20 %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SOFR+635</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13,777</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13,760</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13,667</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Dynata, LLC - First Out Term Loan</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07/15/28</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10.38 %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SOFR+526</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1,588</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1,476</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1,586</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Dynata, LLC - Last Out Term Loan</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10/15/28</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10.88 %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SOFR+576</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9,768</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9,768</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8,993</w:t>
            </w:r>
          </w:p>
        </w:tc>
        <w:tc>
          <w:tcPr>
            <w:tcW w:w="0" w:type="dxa"/>
            <w:vAlign w:val="bottom"/>
          </w:tcPr>
          <w:p>
            <w:pPr>
              <w:spacing w:after="0"/>
              <w:rPr>
                <w:sz w:val="1"/>
                <w:szCs w:val="1"/>
                <w:color w:val="auto"/>
              </w:rPr>
            </w:pPr>
          </w:p>
        </w:tc>
      </w:tr>
      <w:tr>
        <w:trPr>
          <w:trHeight w:val="108"/>
        </w:trPr>
        <w:tc>
          <w:tcPr>
            <w:tcW w:w="2840" w:type="dxa"/>
            <w:vAlign w:val="bottom"/>
            <w:shd w:val="clear" w:color="auto" w:fill="CCECFF"/>
          </w:tcPr>
          <w:p>
            <w:pPr>
              <w:spacing w:after="0"/>
              <w:rPr>
                <w:sz w:val="9"/>
                <w:szCs w:val="9"/>
                <w:color w:val="auto"/>
              </w:rPr>
            </w:pPr>
          </w:p>
        </w:tc>
        <w:tc>
          <w:tcPr>
            <w:tcW w:w="940" w:type="dxa"/>
            <w:vAlign w:val="bottom"/>
            <w:shd w:val="clear" w:color="auto" w:fill="CCECFF"/>
          </w:tcPr>
          <w:p>
            <w:pPr>
              <w:spacing w:after="0"/>
              <w:rPr>
                <w:sz w:val="9"/>
                <w:szCs w:val="9"/>
                <w:color w:val="auto"/>
              </w:rPr>
            </w:pPr>
          </w:p>
        </w:tc>
        <w:tc>
          <w:tcPr>
            <w:tcW w:w="2140" w:type="dxa"/>
            <w:vAlign w:val="bottom"/>
            <w:shd w:val="clear" w:color="auto" w:fill="CCECFF"/>
          </w:tcPr>
          <w:p>
            <w:pPr>
              <w:spacing w:after="0"/>
              <w:rPr>
                <w:sz w:val="9"/>
                <w:szCs w:val="9"/>
                <w:color w:val="auto"/>
              </w:rPr>
            </w:pPr>
          </w:p>
        </w:tc>
        <w:tc>
          <w:tcPr>
            <w:tcW w:w="1000" w:type="dxa"/>
            <w:vAlign w:val="bottom"/>
            <w:shd w:val="clear" w:color="auto" w:fill="CCECFF"/>
          </w:tcPr>
          <w:p>
            <w:pPr>
              <w:jc w:val="right"/>
              <w:ind w:right="72"/>
              <w:spacing w:after="0" w:line="109"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spacing w:after="0"/>
              <w:rPr>
                <w:sz w:val="9"/>
                <w:szCs w:val="9"/>
                <w:color w:val="auto"/>
              </w:rPr>
            </w:pPr>
          </w:p>
        </w:tc>
        <w:tc>
          <w:tcPr>
            <w:tcW w:w="7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5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98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01/10/29</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10.35</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11,144</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11,013</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10,977</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ETE Intermediate II, LLC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05/29/29</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11.56 %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SOFR+650</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12,249</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12,049</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12,249</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Eval Home Health Solutions Intermediate, LLC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05/10/30</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10.85 %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7,396</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7,293</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7,322</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03/15/27</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11.20 %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SOFR+635</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9,651</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9,556</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9,603</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Fairbanks Morse Defense</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06/17/28</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9.74 %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SOFR+450</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3,491</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3,417</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3,495</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Five Star Buyer, Inc.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02/23/28</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Hotels, Motels, Inns and Gaming</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12.21 %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SOFR+710</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4,241</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4,175</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4,241</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03/16/26</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Banking, Finance, Insurance &amp; Real Estate</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11.43 %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SOFR+615</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6,952</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6,940</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6,605</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08/10/27</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10.45 %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SOFR+560</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3,118</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3,081</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3,087</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12/31/26</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10.20 %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SOFR+560</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6,146</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6,146</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6,023</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HEC Purchaser Corp.</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06/17/29</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9.75 %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SOFR+550</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7,980</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7,887</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7,924</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Hills Distribution, Inc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11/08/29</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11.11 %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SOFR+600</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14,292</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14,106</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14,149</w:t>
            </w:r>
          </w:p>
        </w:tc>
        <w:tc>
          <w:tcPr>
            <w:tcW w:w="0" w:type="dxa"/>
            <w:vAlign w:val="bottom"/>
          </w:tcPr>
          <w:p>
            <w:pPr>
              <w:spacing w:after="0"/>
              <w:rPr>
                <w:sz w:val="1"/>
                <w:szCs w:val="1"/>
                <w:color w:val="auto"/>
              </w:rPr>
            </w:pPr>
          </w:p>
        </w:tc>
      </w:tr>
      <w:tr>
        <w:trPr>
          <w:trHeight w:val="121"/>
        </w:trPr>
        <w:tc>
          <w:tcPr>
            <w:tcW w:w="2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12.00%</w:t>
            </w:r>
          </w:p>
        </w:tc>
        <w:tc>
          <w:tcPr>
            <w:tcW w:w="9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12/17/26</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(PIK 4.0%)</w:t>
            </w:r>
          </w:p>
        </w:tc>
        <w:tc>
          <w:tcPr>
            <w:tcW w:w="960" w:type="dxa"/>
            <w:vAlign w:val="bottom"/>
          </w:tcPr>
          <w:p>
            <w:pPr>
              <w:spacing w:after="0"/>
              <w:rPr>
                <w:sz w:val="10"/>
                <w:szCs w:val="10"/>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15,144</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15,019</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13,887</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05/10/26</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11.04 %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SOFR+590</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18,355</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18,296</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18,355</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IG Investments Holdings, LLC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09/22/28</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11.35 %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SOFR+610</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4,383</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4,322</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4,339</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11/15/27</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10.20 %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SOFR+510</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5,509</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5,440</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5,481</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12/28/28</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11.49 %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SOFR+685</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13,890</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13,730</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14,029</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Infolinks Media Buyco, LLC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11/01/26</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10.10 %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SOFR+550</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12,286</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12,214</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12,194</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Inventus Power, Inc.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06/30/25</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12.46 %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SOFR+761</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13,101</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12,980</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12,905</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11/10/27</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10.75 %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SOFR+615</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13,701</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13,520</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13,701</w:t>
            </w:r>
          </w:p>
        </w:tc>
        <w:tc>
          <w:tcPr>
            <w:tcW w:w="0" w:type="dxa"/>
            <w:vAlign w:val="bottom"/>
          </w:tcPr>
          <w:p>
            <w:pPr>
              <w:spacing w:after="0"/>
              <w:rPr>
                <w:sz w:val="1"/>
                <w:szCs w:val="1"/>
                <w:color w:val="auto"/>
              </w:rPr>
            </w:pPr>
          </w:p>
        </w:tc>
      </w:tr>
      <w:tr>
        <w:trPr>
          <w:trHeight w:val="121"/>
        </w:trPr>
        <w:tc>
          <w:tcPr>
            <w:tcW w:w="2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Leisure, Amusement, Motion Pictures,</w:t>
            </w:r>
          </w:p>
        </w:tc>
        <w:tc>
          <w:tcPr>
            <w:tcW w:w="1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10/31/25</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Entertainment</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11.66 %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SOFR+640</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4,613</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4,601</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4,530</w:t>
            </w:r>
          </w:p>
        </w:tc>
        <w:tc>
          <w:tcPr>
            <w:tcW w:w="0" w:type="dxa"/>
            <w:vAlign w:val="bottom"/>
          </w:tcPr>
          <w:p>
            <w:pPr>
              <w:spacing w:after="0"/>
              <w:rPr>
                <w:sz w:val="1"/>
                <w:szCs w:val="1"/>
                <w:color w:val="auto"/>
              </w:rPr>
            </w:pPr>
          </w:p>
        </w:tc>
      </w:tr>
      <w:tr>
        <w:trPr>
          <w:trHeight w:val="121"/>
        </w:trPr>
        <w:tc>
          <w:tcPr>
            <w:tcW w:w="284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2140" w:type="dxa"/>
            <w:vAlign w:val="bottom"/>
            <w:shd w:val="clear" w:color="auto" w:fill="CCECFF"/>
          </w:tcPr>
          <w:p>
            <w:pPr>
              <w:spacing w:after="0"/>
              <w:rPr>
                <w:sz w:val="10"/>
                <w:szCs w:val="10"/>
                <w:color w:val="auto"/>
              </w:rPr>
            </w:pP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12.94%</w:t>
            </w:r>
          </w:p>
        </w:tc>
        <w:tc>
          <w:tcPr>
            <w:tcW w:w="9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02/18/27</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(PIK 5.10%)</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SOFR+785</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20,447</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20,338</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20,243</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02/03/26</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10.20 %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SOFR+535</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14,267</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14,170</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14,267</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01/31/30</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10.48 %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SOFR+525</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6,255</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6,151</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6,255</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04/01/27</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10.20 %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SOFR+550</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8,266</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7,890</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7,770</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Magenta Buyer, LLC -First out</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07/31/28</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12.13 %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SOFR+701</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450</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450</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425</w:t>
            </w:r>
          </w:p>
        </w:tc>
        <w:tc>
          <w:tcPr>
            <w:tcW w:w="0" w:type="dxa"/>
            <w:vAlign w:val="bottom"/>
          </w:tcPr>
          <w:p>
            <w:pPr>
              <w:spacing w:after="0"/>
              <w:rPr>
                <w:sz w:val="1"/>
                <w:szCs w:val="1"/>
                <w:color w:val="auto"/>
              </w:rPr>
            </w:pPr>
          </w:p>
        </w:tc>
      </w:tr>
      <w:tr>
        <w:trPr>
          <w:trHeight w:val="124"/>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Magenta Buyer, LLC -Second out</w:t>
            </w:r>
          </w:p>
        </w:tc>
        <w:tc>
          <w:tcPr>
            <w:tcW w:w="940" w:type="dxa"/>
            <w:vAlign w:val="bottom"/>
            <w:vMerge w:val="restart"/>
          </w:tcPr>
          <w:p>
            <w:pPr>
              <w:jc w:val="center"/>
              <w:ind w:left="72"/>
              <w:spacing w:after="0"/>
              <w:rPr>
                <w:sz w:val="20"/>
                <w:szCs w:val="20"/>
                <w:color w:val="auto"/>
              </w:rPr>
            </w:pPr>
            <w:r>
              <w:rPr>
                <w:rFonts w:ascii="Times New Roman" w:cs="Times New Roman" w:eastAsia="Times New Roman" w:hAnsi="Times New Roman"/>
                <w:sz w:val="10"/>
                <w:szCs w:val="10"/>
                <w:color w:val="auto"/>
                <w:w w:val="95"/>
              </w:rPr>
              <w:t>07/31/28</w:t>
            </w: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100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12.38 %</w:t>
            </w:r>
          </w:p>
        </w:tc>
        <w:tc>
          <w:tcPr>
            <w:tcW w:w="960" w:type="dxa"/>
            <w:vAlign w:val="bottom"/>
            <w:vMerge w:val="restart"/>
          </w:tcPr>
          <w:p>
            <w:pPr>
              <w:ind w:left="400"/>
              <w:spacing w:after="0"/>
              <w:rPr>
                <w:sz w:val="20"/>
                <w:szCs w:val="20"/>
                <w:color w:val="auto"/>
              </w:rPr>
            </w:pPr>
            <w:r>
              <w:rPr>
                <w:rFonts w:ascii="Times New Roman" w:cs="Times New Roman" w:eastAsia="Times New Roman" w:hAnsi="Times New Roman"/>
                <w:sz w:val="10"/>
                <w:szCs w:val="10"/>
                <w:color w:val="auto"/>
              </w:rPr>
              <w:t>SOFR+801</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569</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569</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390</w:t>
            </w:r>
          </w:p>
        </w:tc>
        <w:tc>
          <w:tcPr>
            <w:tcW w:w="0" w:type="dxa"/>
            <w:vAlign w:val="bottom"/>
          </w:tcPr>
          <w:p>
            <w:pPr>
              <w:spacing w:after="0"/>
              <w:rPr>
                <w:sz w:val="1"/>
                <w:szCs w:val="1"/>
                <w:color w:val="auto"/>
              </w:rPr>
            </w:pPr>
          </w:p>
        </w:tc>
      </w:tr>
      <w:tr>
        <w:trPr>
          <w:trHeight w:val="104"/>
        </w:trPr>
        <w:tc>
          <w:tcPr>
            <w:tcW w:w="28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214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Magenta Buyer, LLC -Third out</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07/31/28</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11.63 %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SOFR+726</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2,109</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2,109</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617</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04/16/27</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10.67 %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SOFR+585</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8,330</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8,256</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8,338</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12/10/27</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10.50 %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SOFR+590</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2,923</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2,884</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2,850</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Medina Health, LLC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10/20/28</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10.85 %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SOFR+625</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14,912</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14,765</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14,912</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Megawatt Acquisitionco, Inc.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03/01/30</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9.85 %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SOFR+525</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7,960</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7,851</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7,514</w:t>
            </w:r>
          </w:p>
        </w:tc>
        <w:tc>
          <w:tcPr>
            <w:tcW w:w="0" w:type="dxa"/>
            <w:vAlign w:val="bottom"/>
          </w:tcPr>
          <w:p>
            <w:pPr>
              <w:spacing w:after="0"/>
              <w:rPr>
                <w:sz w:val="1"/>
                <w:szCs w:val="1"/>
                <w:color w:val="auto"/>
              </w:rPr>
            </w:pPr>
          </w:p>
        </w:tc>
      </w:tr>
      <w:tr>
        <w:trPr>
          <w:trHeight w:val="124"/>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MOREgroup Holdings, LLC</w:t>
            </w:r>
          </w:p>
        </w:tc>
        <w:tc>
          <w:tcPr>
            <w:tcW w:w="940" w:type="dxa"/>
            <w:vAlign w:val="bottom"/>
            <w:vMerge w:val="restart"/>
          </w:tcPr>
          <w:p>
            <w:pPr>
              <w:jc w:val="center"/>
              <w:ind w:left="72"/>
              <w:spacing w:after="0"/>
              <w:rPr>
                <w:sz w:val="20"/>
                <w:szCs w:val="20"/>
                <w:color w:val="auto"/>
              </w:rPr>
            </w:pPr>
            <w:r>
              <w:rPr>
                <w:rFonts w:ascii="Times New Roman" w:cs="Times New Roman" w:eastAsia="Times New Roman" w:hAnsi="Times New Roman"/>
                <w:sz w:val="10"/>
                <w:szCs w:val="10"/>
                <w:color w:val="auto"/>
                <w:w w:val="95"/>
              </w:rPr>
              <w:t>01/16/30</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10.35 %</w:t>
            </w:r>
          </w:p>
        </w:tc>
        <w:tc>
          <w:tcPr>
            <w:tcW w:w="960" w:type="dxa"/>
            <w:vAlign w:val="bottom"/>
            <w:vMerge w:val="restart"/>
          </w:tcPr>
          <w:p>
            <w:pPr>
              <w:ind w:left="400"/>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vMerge w:val="restart"/>
          </w:tcPr>
          <w:p>
            <w:pPr>
              <w:jc w:val="right"/>
              <w:ind w:right="51"/>
              <w:spacing w:after="0"/>
              <w:rPr>
                <w:sz w:val="20"/>
                <w:szCs w:val="20"/>
                <w:color w:val="auto"/>
              </w:rPr>
            </w:pPr>
            <w:r>
              <w:rPr>
                <w:rFonts w:ascii="Times New Roman" w:cs="Times New Roman" w:eastAsia="Times New Roman" w:hAnsi="Times New Roman"/>
                <w:sz w:val="10"/>
                <w:szCs w:val="10"/>
                <w:color w:val="auto"/>
              </w:rPr>
              <w:t>12,450</w:t>
            </w:r>
          </w:p>
        </w:tc>
        <w:tc>
          <w:tcPr>
            <w:tcW w:w="220" w:type="dxa"/>
            <w:vAlign w:val="bottom"/>
          </w:tcPr>
          <w:p>
            <w:pPr>
              <w:spacing w:after="0"/>
              <w:rPr>
                <w:sz w:val="10"/>
                <w:szCs w:val="10"/>
                <w:color w:val="auto"/>
              </w:rPr>
            </w:pPr>
          </w:p>
        </w:tc>
        <w:tc>
          <w:tcPr>
            <w:tcW w:w="5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12,303</w:t>
            </w:r>
          </w:p>
        </w:tc>
        <w:tc>
          <w:tcPr>
            <w:tcW w:w="200" w:type="dxa"/>
            <w:vAlign w:val="bottom"/>
          </w:tcPr>
          <w:p>
            <w:pPr>
              <w:spacing w:after="0"/>
              <w:rPr>
                <w:sz w:val="10"/>
                <w:szCs w:val="10"/>
                <w:color w:val="auto"/>
              </w:rPr>
            </w:pPr>
          </w:p>
        </w:tc>
        <w:tc>
          <w:tcPr>
            <w:tcW w:w="9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12,263</w:t>
            </w:r>
          </w:p>
        </w:tc>
        <w:tc>
          <w:tcPr>
            <w:tcW w:w="0" w:type="dxa"/>
            <w:vAlign w:val="bottom"/>
          </w:tcPr>
          <w:p>
            <w:pPr>
              <w:spacing w:after="0"/>
              <w:rPr>
                <w:sz w:val="1"/>
                <w:szCs w:val="1"/>
                <w:color w:val="auto"/>
              </w:rPr>
            </w:pPr>
          </w:p>
        </w:tc>
      </w:tr>
      <w:tr>
        <w:trPr>
          <w:trHeight w:val="80"/>
        </w:trPr>
        <w:tc>
          <w:tcPr>
            <w:tcW w:w="28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21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10/01/27</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9.77 %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SOFR+515</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5,912</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5,822</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5,912</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NBH Group LLC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08/19/26</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11.19 %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SOFR+585</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7,353</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7,311</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7,133</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NORA Acquisition, LLC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08/31/29</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10.95 %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SOFR+635</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14,850</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14,597</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14,850</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Omnia Exterior Solutions, LLC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12/29/29</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Diversified Conglomerate Service</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10.01 %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SOFR+550</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9,768</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9,650</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9,622</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05/07/27</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11.21 %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SOFR+636</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8,380</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8,256</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8,380</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02/04/28</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10.20 %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SOFR+535</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3,893</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3,811</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3,825</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Ox Two, LLC (New Issue)</w:t>
            </w:r>
          </w:p>
        </w:tc>
        <w:tc>
          <w:tcPr>
            <w:tcW w:w="9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05/18/26</w:t>
            </w: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11.12 %</w:t>
            </w:r>
          </w:p>
        </w:tc>
        <w:tc>
          <w:tcPr>
            <w:tcW w:w="96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0"/>
                <w:szCs w:val="10"/>
                <w:color w:val="auto"/>
              </w:rPr>
              <w:t>SOFR+651</w:t>
            </w:r>
          </w:p>
        </w:tc>
        <w:tc>
          <w:tcPr>
            <w:tcW w:w="7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9,340</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9,307</w:t>
            </w:r>
          </w:p>
        </w:tc>
        <w:tc>
          <w:tcPr>
            <w:tcW w:w="20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9,340</w:t>
            </w:r>
          </w:p>
        </w:tc>
        <w:tc>
          <w:tcPr>
            <w:tcW w:w="0" w:type="dxa"/>
            <w:vAlign w:val="bottom"/>
          </w:tcPr>
          <w:p>
            <w:pPr>
              <w:spacing w:after="0"/>
              <w:rPr>
                <w:sz w:val="1"/>
                <w:szCs w:val="1"/>
                <w:color w:val="auto"/>
              </w:rPr>
            </w:pPr>
          </w:p>
        </w:tc>
      </w:tr>
      <w:tr>
        <w:trPr>
          <w:trHeight w:val="124"/>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Pacific Purchaser, LLC</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10/02/28</w:t>
            </w:r>
          </w:p>
        </w:tc>
        <w:tc>
          <w:tcPr>
            <w:tcW w:w="21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11.51 %</w:t>
            </w: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SOFR+600</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12,903</w:t>
            </w:r>
          </w:p>
        </w:tc>
        <w:tc>
          <w:tcPr>
            <w:tcW w:w="22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12,682</w:t>
            </w:r>
          </w:p>
        </w:tc>
        <w:tc>
          <w:tcPr>
            <w:tcW w:w="20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12,877</w:t>
            </w:r>
          </w:p>
        </w:tc>
        <w:tc>
          <w:tcPr>
            <w:tcW w:w="0" w:type="dxa"/>
            <w:vAlign w:val="bottom"/>
          </w:tcPr>
          <w:p>
            <w:pPr>
              <w:spacing w:after="0"/>
              <w:rPr>
                <w:sz w:val="1"/>
                <w:szCs w:val="1"/>
                <w:color w:val="auto"/>
              </w:rPr>
            </w:pPr>
          </w:p>
        </w:tc>
      </w:tr>
      <w:tr>
        <w:trPr>
          <w:trHeight w:val="648"/>
        </w:trPr>
        <w:tc>
          <w:tcPr>
            <w:tcW w:w="2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40" w:type="dxa"/>
            <w:vAlign w:val="bottom"/>
          </w:tcPr>
          <w:p>
            <w:pPr>
              <w:jc w:val="right"/>
              <w:ind w:right="511"/>
              <w:spacing w:after="0"/>
              <w:rPr>
                <w:sz w:val="20"/>
                <w:szCs w:val="20"/>
                <w:color w:val="auto"/>
              </w:rPr>
            </w:pPr>
            <w:r>
              <w:rPr>
                <w:rFonts w:ascii="Times New Roman" w:cs="Times New Roman" w:eastAsia="Times New Roman" w:hAnsi="Times New Roman"/>
                <w:sz w:val="13"/>
                <w:szCs w:val="13"/>
                <w:color w:val="auto"/>
              </w:rPr>
              <w:t>91</w:t>
            </w: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0"/>
        </w:trPr>
        <w:tc>
          <w:tcPr>
            <w:tcW w:w="2840" w:type="dxa"/>
            <w:vAlign w:val="bottom"/>
            <w:tcBorders>
              <w:bottom w:val="single" w:sz="8" w:color="EEEEEE"/>
            </w:tcBorders>
          </w:tcPr>
          <w:p>
            <w:pPr>
              <w:spacing w:after="0"/>
              <w:rPr>
                <w:sz w:val="24"/>
                <w:szCs w:val="24"/>
                <w:color w:val="auto"/>
              </w:rPr>
            </w:pPr>
          </w:p>
        </w:tc>
        <w:tc>
          <w:tcPr>
            <w:tcW w:w="940" w:type="dxa"/>
            <w:vAlign w:val="bottom"/>
            <w:tcBorders>
              <w:bottom w:val="single" w:sz="8" w:color="EEEEEE"/>
            </w:tcBorders>
          </w:tcPr>
          <w:p>
            <w:pPr>
              <w:spacing w:after="0"/>
              <w:rPr>
                <w:sz w:val="24"/>
                <w:szCs w:val="24"/>
                <w:color w:val="auto"/>
              </w:rPr>
            </w:pPr>
          </w:p>
        </w:tc>
        <w:tc>
          <w:tcPr>
            <w:tcW w:w="214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80" w:type="dxa"/>
            <w:vAlign w:val="bottom"/>
          </w:tcPr>
          <w:p>
            <w:pPr>
              <w:jc w:val="right"/>
              <w:ind w:right="271"/>
              <w:spacing w:after="0" w:line="14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980" w:type="dxa"/>
            <w:vAlign w:val="bottom"/>
          </w:tcPr>
          <w:p>
            <w:pPr>
              <w:jc w:val="center"/>
              <w:ind w:right="90"/>
              <w:spacing w:after="0" w:line="145" w:lineRule="exact"/>
              <w:rPr>
                <w:sz w:val="20"/>
                <w:szCs w:val="20"/>
                <w:color w:val="auto"/>
              </w:rPr>
            </w:pPr>
            <w:r>
              <w:rPr>
                <w:rFonts w:ascii="Times New Roman" w:cs="Times New Roman" w:eastAsia="Times New Roman" w:hAnsi="Times New Roman"/>
                <w:sz w:val="13"/>
                <w:szCs w:val="13"/>
                <w:b w:val="1"/>
                <w:bCs w:val="1"/>
                <w:color w:val="auto"/>
              </w:rPr>
              <w:t>Above</w:t>
            </w:r>
          </w:p>
        </w:tc>
        <w:tc>
          <w:tcPr>
            <w:tcW w:w="880" w:type="dxa"/>
            <w:vAlign w:val="bottom"/>
          </w:tcPr>
          <w:p>
            <w:pPr>
              <w:jc w:val="right"/>
              <w:ind w:right="331"/>
              <w:spacing w:after="0" w:line="145" w:lineRule="exact"/>
              <w:rPr>
                <w:sz w:val="20"/>
                <w:szCs w:val="20"/>
                <w:color w:val="auto"/>
              </w:rPr>
            </w:pPr>
            <w:r>
              <w:rPr>
                <w:rFonts w:ascii="Times New Roman" w:cs="Times New Roman" w:eastAsia="Times New Roman" w:hAnsi="Times New Roman"/>
                <w:sz w:val="13"/>
                <w:szCs w:val="13"/>
                <w:b w:val="1"/>
                <w:bCs w:val="1"/>
                <w:color w:val="auto"/>
              </w:rPr>
              <w:t>Par /</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40" w:type="dxa"/>
            <w:vAlign w:val="bottom"/>
          </w:tcPr>
          <w:p>
            <w:pPr>
              <w:ind w:left="20"/>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Issuer Name </w:t>
            </w:r>
            <w:r>
              <w:rPr>
                <w:rFonts w:ascii="Times New Roman" w:cs="Times New Roman" w:eastAsia="Times New Roman" w:hAnsi="Times New Roman"/>
                <w:sz w:val="16"/>
                <w:szCs w:val="16"/>
                <w:b w:val="1"/>
                <w:bCs w:val="1"/>
                <w:color w:val="auto"/>
                <w:vertAlign w:val="superscript"/>
              </w:rPr>
              <w:t>3,4</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8"/>
              </w:rPr>
              <w:t>Maturity</w:t>
            </w: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Industry</w:t>
            </w:r>
          </w:p>
        </w:tc>
        <w:tc>
          <w:tcPr>
            <w:tcW w:w="980" w:type="dxa"/>
            <w:vAlign w:val="bottom"/>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98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3"/>
                <w:szCs w:val="13"/>
                <w:b w:val="1"/>
                <w:bCs w:val="1"/>
                <w:color w:val="auto"/>
                <w:w w:val="98"/>
              </w:rPr>
              <w:t xml:space="preserve">Index </w:t>
            </w:r>
            <w:r>
              <w:rPr>
                <w:rFonts w:ascii="Times New Roman" w:cs="Times New Roman" w:eastAsia="Times New Roman" w:hAnsi="Times New Roman"/>
                <w:sz w:val="16"/>
                <w:szCs w:val="16"/>
                <w:b w:val="1"/>
                <w:bCs w:val="1"/>
                <w:color w:val="auto"/>
                <w:w w:val="98"/>
                <w:vertAlign w:val="superscript"/>
              </w:rPr>
              <w:t>1</w:t>
            </w:r>
          </w:p>
        </w:tc>
        <w:tc>
          <w:tcPr>
            <w:tcW w:w="880" w:type="dxa"/>
            <w:vAlign w:val="bottom"/>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460" w:type="dxa"/>
            <w:vAlign w:val="bottom"/>
          </w:tcPr>
          <w:p>
            <w:pPr>
              <w:jc w:val="right"/>
              <w:ind w:right="112"/>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40"/>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Fair Value </w:t>
            </w:r>
            <w:r>
              <w:rPr>
                <w:rFonts w:ascii="Times New Roman" w:cs="Times New Roman" w:eastAsia="Times New Roman" w:hAnsi="Times New Roman"/>
                <w:sz w:val="16"/>
                <w:szCs w:val="16"/>
                <w:b w:val="1"/>
                <w:bCs w:val="1"/>
                <w:color w:val="auto"/>
                <w:vertAlign w:val="superscript"/>
              </w:rPr>
              <w:t>2</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PCS Midco, Inc.</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5"/>
              </w:rPr>
              <w:t>03/01/30</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10.81 %</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5,812</w:t>
            </w:r>
          </w:p>
        </w:tc>
        <w:tc>
          <w:tcPr>
            <w:tcW w:w="1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5,735</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5,812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4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206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11.99%</w:t>
            </w:r>
          </w:p>
        </w:tc>
        <w:tc>
          <w:tcPr>
            <w:tcW w:w="9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96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5"/>
              </w:rPr>
              <w:t>11/09/27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Retail</w:t>
            </w:r>
          </w:p>
        </w:tc>
        <w:tc>
          <w:tcPr>
            <w:tcW w:w="9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(PIK 3.5%)</w:t>
            </w:r>
          </w:p>
        </w:tc>
        <w:tc>
          <w:tcPr>
            <w:tcW w:w="98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0"/>
                <w:szCs w:val="10"/>
                <w:color w:val="auto"/>
              </w:rPr>
              <w:t>SOFR+725</w:t>
            </w:r>
          </w:p>
        </w:tc>
        <w:tc>
          <w:tcPr>
            <w:tcW w:w="8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8,193</w:t>
            </w: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8,100</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6,554</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5"/>
              </w:rPr>
              <w:t>11/19/26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10.95 %</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auto"/>
              </w:rPr>
              <w:t>SOFR+635</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3,280</w:t>
            </w: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3,245</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3,263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RTIC Subsidiary Holdings, LLC</w:t>
            </w:r>
          </w:p>
        </w:tc>
        <w:tc>
          <w:tcPr>
            <w:tcW w:w="96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5"/>
              </w:rPr>
              <w:t>05/03/29</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10.35 %</w:t>
            </w:r>
          </w:p>
        </w:tc>
        <w:tc>
          <w:tcPr>
            <w:tcW w:w="98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19,950</w:t>
            </w: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19,673</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19,551</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Radius Aerospace, Inc.</w:t>
            </w:r>
          </w:p>
        </w:tc>
        <w:tc>
          <w:tcPr>
            <w:tcW w:w="960" w:type="dxa"/>
            <w:vAlign w:val="bottom"/>
            <w:vMerge w:val="restart"/>
          </w:tcPr>
          <w:p>
            <w:pPr>
              <w:jc w:val="center"/>
              <w:ind w:right="51"/>
              <w:spacing w:after="0"/>
              <w:rPr>
                <w:sz w:val="20"/>
                <w:szCs w:val="20"/>
                <w:color w:val="auto"/>
              </w:rPr>
            </w:pPr>
            <w:r>
              <w:rPr>
                <w:rFonts w:ascii="Times New Roman" w:cs="Times New Roman" w:eastAsia="Times New Roman" w:hAnsi="Times New Roman"/>
                <w:sz w:val="10"/>
                <w:szCs w:val="10"/>
                <w:color w:val="auto"/>
                <w:w w:val="95"/>
              </w:rPr>
              <w:t>03/31/25</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80" w:type="dxa"/>
            <w:vAlign w:val="bottom"/>
            <w:vMerge w:val="restart"/>
          </w:tcPr>
          <w:p>
            <w:pPr>
              <w:jc w:val="right"/>
              <w:ind w:right="51"/>
              <w:spacing w:after="0"/>
              <w:rPr>
                <w:sz w:val="20"/>
                <w:szCs w:val="20"/>
                <w:color w:val="auto"/>
              </w:rPr>
            </w:pPr>
            <w:r>
              <w:rPr>
                <w:rFonts w:ascii="Times New Roman" w:cs="Times New Roman" w:eastAsia="Times New Roman" w:hAnsi="Times New Roman"/>
                <w:sz w:val="10"/>
                <w:szCs w:val="10"/>
                <w:color w:val="auto"/>
              </w:rPr>
              <w:t>10.75 %</w:t>
            </w:r>
          </w:p>
        </w:tc>
        <w:tc>
          <w:tcPr>
            <w:tcW w:w="980" w:type="dxa"/>
            <w:vAlign w:val="bottom"/>
            <w:vMerge w:val="restart"/>
          </w:tcPr>
          <w:p>
            <w:pPr>
              <w:jc w:val="right"/>
              <w:ind w:right="130"/>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vMerge w:val="restart"/>
          </w:tcPr>
          <w:p>
            <w:pPr>
              <w:jc w:val="right"/>
              <w:ind w:right="151"/>
              <w:spacing w:after="0"/>
              <w:rPr>
                <w:sz w:val="20"/>
                <w:szCs w:val="20"/>
                <w:color w:val="auto"/>
              </w:rPr>
            </w:pPr>
            <w:r>
              <w:rPr>
                <w:rFonts w:ascii="Times New Roman" w:cs="Times New Roman" w:eastAsia="Times New Roman" w:hAnsi="Times New Roman"/>
                <w:sz w:val="10"/>
                <w:szCs w:val="10"/>
                <w:color w:val="auto"/>
              </w:rPr>
              <w:t>12,565</w:t>
            </w:r>
          </w:p>
        </w:tc>
        <w:tc>
          <w:tcPr>
            <w:tcW w:w="12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12,543</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12,313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4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20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96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5"/>
              </w:rPr>
              <w:t>12/18/25</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10.85 %</w:t>
            </w:r>
          </w:p>
        </w:tc>
        <w:tc>
          <w:tcPr>
            <w:tcW w:w="98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0"/>
                <w:szCs w:val="10"/>
                <w:color w:val="auto"/>
              </w:rPr>
              <w:t>SOFR+560</w:t>
            </w:r>
          </w:p>
        </w:tc>
        <w:tc>
          <w:tcPr>
            <w:tcW w:w="8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5,530</w:t>
            </w: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5,530</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5,530</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5"/>
              </w:rPr>
              <w:t>04/28/28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25.00 %</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auto"/>
              </w:rPr>
              <w:t>SOFR+615</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4,937</w:t>
            </w: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4,888</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3,703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96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5"/>
              </w:rPr>
              <w:t>01/29/26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11.75 %</w:t>
            </w:r>
          </w:p>
        </w:tc>
        <w:tc>
          <w:tcPr>
            <w:tcW w:w="98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0"/>
                <w:szCs w:val="10"/>
                <w:color w:val="auto"/>
              </w:rPr>
              <w:t>SOFR+715</w:t>
            </w:r>
          </w:p>
        </w:tc>
        <w:tc>
          <w:tcPr>
            <w:tcW w:w="8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9,650</w:t>
            </w: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9,592</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9,554</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Riverpoint Medical, LLC</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5"/>
              </w:rPr>
              <w:t>06/21/25</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9.85 %</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auto"/>
              </w:rPr>
              <w:t>SOFR+525</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3,932</w:t>
            </w: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3,919</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3,936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96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5"/>
              </w:rPr>
              <w:t>06/16/29</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10.74 %</w:t>
            </w:r>
          </w:p>
        </w:tc>
        <w:tc>
          <w:tcPr>
            <w:tcW w:w="98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4,336</w:t>
            </w: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4,268</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4,282</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S101 Holdings Inc.</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5"/>
              </w:rPr>
              <w:t>12/29/26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11.48 %</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auto"/>
              </w:rPr>
              <w:t>SOFR+615</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6,467</w:t>
            </w: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6,387</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6,402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96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5"/>
              </w:rPr>
              <w:t>01/03/25</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10.80 %</w:t>
            </w:r>
          </w:p>
        </w:tc>
        <w:tc>
          <w:tcPr>
            <w:tcW w:w="98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0"/>
                <w:szCs w:val="10"/>
                <w:color w:val="auto"/>
              </w:rPr>
              <w:t>SOFR+620</w:t>
            </w:r>
          </w:p>
        </w:tc>
        <w:tc>
          <w:tcPr>
            <w:tcW w:w="8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6,676</w:t>
            </w: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6,668</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6,676</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9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12.45%</w:t>
            </w: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5"/>
              </w:rPr>
              <w:t>12/20/24</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9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(PIK 1.00%)</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auto"/>
              </w:rPr>
              <w:t>SOFR+760</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4,634</w:t>
            </w: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4,634</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4,634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96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5"/>
              </w:rPr>
              <w:t>06/13/29</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9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10.75 %</w:t>
            </w:r>
          </w:p>
        </w:tc>
        <w:tc>
          <w:tcPr>
            <w:tcW w:w="98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0"/>
                <w:szCs w:val="10"/>
                <w:color w:val="auto"/>
              </w:rPr>
              <w:t>SOFR+615</w:t>
            </w:r>
          </w:p>
        </w:tc>
        <w:tc>
          <w:tcPr>
            <w:tcW w:w="8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14,700</w:t>
            </w: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14,510</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14,186</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5"/>
              </w:rPr>
              <w:t>12/18/27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11.50 %</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auto"/>
              </w:rPr>
              <w:t>SOFR+690</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14,621</w:t>
            </w: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14,465</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14,475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Simplicity Financial Marketing Group Holdings, Inc</w:t>
            </w:r>
          </w:p>
        </w:tc>
        <w:tc>
          <w:tcPr>
            <w:tcW w:w="96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5"/>
              </w:rPr>
              <w:t>12/02/26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Banking, Finance, Insurance &amp; Real Estate</w:t>
            </w:r>
          </w:p>
        </w:tc>
        <w:tc>
          <w:tcPr>
            <w:tcW w:w="9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11.38 %</w:t>
            </w:r>
          </w:p>
        </w:tc>
        <w:tc>
          <w:tcPr>
            <w:tcW w:w="98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0"/>
                <w:szCs w:val="10"/>
                <w:color w:val="auto"/>
              </w:rPr>
              <w:t>SOFR+640</w:t>
            </w:r>
          </w:p>
        </w:tc>
        <w:tc>
          <w:tcPr>
            <w:tcW w:w="8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11,359</w:t>
            </w: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11,207</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11,472</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Skopima Consilio Parent, LLC</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5"/>
              </w:rPr>
              <w:t>05/17/28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9.46 %</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auto"/>
              </w:rPr>
              <w:t>SOFR+461</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1,290</w:t>
            </w: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1,269</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Smartronix, LLC</w:t>
            </w:r>
          </w:p>
        </w:tc>
        <w:tc>
          <w:tcPr>
            <w:tcW w:w="96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5"/>
              </w:rPr>
              <w:t>11/23/28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10.35 %</w:t>
            </w:r>
          </w:p>
        </w:tc>
        <w:tc>
          <w:tcPr>
            <w:tcW w:w="98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0"/>
                <w:szCs w:val="10"/>
                <w:color w:val="auto"/>
              </w:rPr>
              <w:t>SOFR+610</w:t>
            </w:r>
          </w:p>
        </w:tc>
        <w:tc>
          <w:tcPr>
            <w:tcW w:w="8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25,078</w:t>
            </w: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24,798</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25,073</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5"/>
              </w:rPr>
              <w:t>07/17/25</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Communications</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12.40 %</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auto"/>
              </w:rPr>
              <w:t>SOFR+715</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9,239</w:t>
            </w: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9,216</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9,239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96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5"/>
              </w:rPr>
              <w:t>03/01/28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10.26 %</w:t>
            </w:r>
          </w:p>
        </w:tc>
        <w:tc>
          <w:tcPr>
            <w:tcW w:w="98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0"/>
                <w:szCs w:val="10"/>
                <w:color w:val="auto"/>
              </w:rPr>
              <w:t>SOFR+565</w:t>
            </w:r>
          </w:p>
        </w:tc>
        <w:tc>
          <w:tcPr>
            <w:tcW w:w="8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9,510</w:t>
            </w: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9,302</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9,510</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5"/>
              </w:rPr>
              <w:t>11/24/28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9.31 %</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auto"/>
              </w:rPr>
              <w:t>SOFR+425</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3,554</w:t>
            </w: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3,398</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3,305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(f/k/a Management Consulting &amp;</w:t>
            </w:r>
          </w:p>
        </w:tc>
        <w:tc>
          <w:tcPr>
            <w:tcW w:w="960" w:type="dxa"/>
            <w:vAlign w:val="bottom"/>
            <w:shd w:val="clear" w:color="auto" w:fill="CCECFF"/>
          </w:tcPr>
          <w:p>
            <w:pPr>
              <w:spacing w:after="0"/>
              <w:rPr>
                <w:sz w:val="10"/>
                <w:szCs w:val="10"/>
                <w:color w:val="auto"/>
              </w:rPr>
            </w:pPr>
          </w:p>
        </w:tc>
        <w:tc>
          <w:tcPr>
            <w:tcW w:w="206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Research, LLC)</w:t>
            </w:r>
          </w:p>
        </w:tc>
        <w:tc>
          <w:tcPr>
            <w:tcW w:w="96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5"/>
              </w:rPr>
              <w:t>08/16/27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10.26 %</w:t>
            </w:r>
          </w:p>
        </w:tc>
        <w:tc>
          <w:tcPr>
            <w:tcW w:w="98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0"/>
                <w:szCs w:val="10"/>
                <w:color w:val="auto"/>
              </w:rPr>
              <w:t>SOFR+500</w:t>
            </w:r>
          </w:p>
        </w:tc>
        <w:tc>
          <w:tcPr>
            <w:tcW w:w="8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15,803</w:t>
            </w: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15,600</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15,772</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TCG 3.0 Jogger Acquisitionco, Inc.</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5"/>
              </w:rPr>
              <w:t>01/23/29</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11.10 %</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auto"/>
              </w:rPr>
              <w:t>SOFR+650</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9,950</w:t>
            </w: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9,800</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9,851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TPC US Parent, LLC</w:t>
            </w:r>
          </w:p>
        </w:tc>
        <w:tc>
          <w:tcPr>
            <w:tcW w:w="96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5"/>
              </w:rPr>
              <w:t>11/24/25</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Food</w:t>
            </w:r>
          </w:p>
        </w:tc>
        <w:tc>
          <w:tcPr>
            <w:tcW w:w="9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10.98 %</w:t>
            </w:r>
          </w:p>
        </w:tc>
        <w:tc>
          <w:tcPr>
            <w:tcW w:w="98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0"/>
                <w:szCs w:val="10"/>
                <w:color w:val="auto"/>
              </w:rPr>
              <w:t>SOFR+565</w:t>
            </w:r>
          </w:p>
        </w:tc>
        <w:tc>
          <w:tcPr>
            <w:tcW w:w="8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11,392</w:t>
            </w: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11,330</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11,392</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5"/>
              </w:rPr>
              <w:t>06/06/25</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11.33 %</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auto"/>
              </w:rPr>
              <w:t>SOFR+640</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1,568</w:t>
            </w: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1,567</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1,568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96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5"/>
              </w:rPr>
              <w:t>11/24/28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9.95 %</w:t>
            </w:r>
          </w:p>
        </w:tc>
        <w:tc>
          <w:tcPr>
            <w:tcW w:w="98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0"/>
                <w:szCs w:val="10"/>
                <w:color w:val="auto"/>
              </w:rPr>
              <w:t>SOFR+500</w:t>
            </w:r>
          </w:p>
        </w:tc>
        <w:tc>
          <w:tcPr>
            <w:tcW w:w="8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9,661</w:t>
            </w: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9,462</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9,537</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Teneo Holdings LLC</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5"/>
              </w:rPr>
              <w:t>03/13/31</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9.60 %</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auto"/>
              </w:rPr>
              <w:t>SOFR+475</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2,985</w:t>
            </w: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2,955</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2,994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96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5"/>
              </w:rPr>
              <w:t>07/27/26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11.25 %</w:t>
            </w:r>
          </w:p>
        </w:tc>
        <w:tc>
          <w:tcPr>
            <w:tcW w:w="98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0"/>
                <w:szCs w:val="10"/>
                <w:color w:val="auto"/>
              </w:rPr>
              <w:t>SOFR+665</w:t>
            </w:r>
          </w:p>
        </w:tc>
        <w:tc>
          <w:tcPr>
            <w:tcW w:w="8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14,445</w:t>
            </w: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14,404</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14,445</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5"/>
              </w:rPr>
              <w:t>08/31/27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10.99 %</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auto"/>
              </w:rPr>
              <w:t>SOFR+610</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7,611</w:t>
            </w: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7,536</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7,611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Transgo, LLC</w:t>
            </w:r>
          </w:p>
        </w:tc>
        <w:tc>
          <w:tcPr>
            <w:tcW w:w="96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5"/>
              </w:rPr>
              <w:t>12/29/28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Auto Sector</w:t>
            </w:r>
          </w:p>
        </w:tc>
        <w:tc>
          <w:tcPr>
            <w:tcW w:w="9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10.60 %</w:t>
            </w:r>
          </w:p>
        </w:tc>
        <w:tc>
          <w:tcPr>
            <w:tcW w:w="98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14,479</w:t>
            </w: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14,282</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14,479</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5"/>
              </w:rPr>
              <w:t>04/03/28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10.23 %</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auto"/>
              </w:rPr>
              <w:t>SOFR+490</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11,393</w:t>
            </w: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11,306</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11,165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96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5"/>
              </w:rPr>
              <w:t>06/15/26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11.46 %</w:t>
            </w:r>
          </w:p>
        </w:tc>
        <w:tc>
          <w:tcPr>
            <w:tcW w:w="98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0"/>
                <w:szCs w:val="10"/>
                <w:color w:val="auto"/>
              </w:rPr>
              <w:t>SOFR+550</w:t>
            </w:r>
          </w:p>
        </w:tc>
        <w:tc>
          <w:tcPr>
            <w:tcW w:w="8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10,928</w:t>
            </w: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10,836</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10,819</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Watchtower Buyer, LLC</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5"/>
              </w:rPr>
              <w:t>12/01/29</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10.60 %</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auto"/>
              </w:rPr>
              <w:t>SOFR+600</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13,942</w:t>
            </w: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13,769</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13,803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96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5"/>
              </w:rPr>
              <w:t>02/27/27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9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10.60 %</w:t>
            </w:r>
          </w:p>
        </w:tc>
        <w:tc>
          <w:tcPr>
            <w:tcW w:w="98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19,256</w:t>
            </w: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19,126</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19,256</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9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12.46%</w:t>
            </w: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5"/>
              </w:rPr>
              <w:t>12/31/24</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(PIK 1.5%)</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auto"/>
              </w:rPr>
              <w:t>SOFR+740</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19,687</w:t>
            </w: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19,648</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18,801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206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1,033,954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1,028,874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Equity Security - 2.1%</w:t>
            </w:r>
          </w:p>
        </w:tc>
        <w:tc>
          <w:tcPr>
            <w:tcW w:w="960" w:type="dxa"/>
            <w:vAlign w:val="bottom"/>
            <w:shd w:val="clear" w:color="auto" w:fill="CCECFF"/>
          </w:tcPr>
          <w:p>
            <w:pPr>
              <w:spacing w:after="0"/>
              <w:rPr>
                <w:sz w:val="10"/>
                <w:szCs w:val="10"/>
                <w:color w:val="auto"/>
              </w:rPr>
            </w:pPr>
          </w:p>
        </w:tc>
        <w:tc>
          <w:tcPr>
            <w:tcW w:w="206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Dynata, LLC - Common Equity</w:t>
            </w:r>
          </w:p>
        </w:tc>
        <w:tc>
          <w:tcPr>
            <w:tcW w:w="96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134</w:t>
            </w: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2,351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2,351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206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- 918.5%</w:t>
            </w:r>
          </w:p>
        </w:tc>
        <w:tc>
          <w:tcPr>
            <w:tcW w:w="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1,036,305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1,031,225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- 32.6%</w:t>
            </w:r>
          </w:p>
        </w:tc>
        <w:tc>
          <w:tcPr>
            <w:tcW w:w="960" w:type="dxa"/>
            <w:vAlign w:val="bottom"/>
            <w:shd w:val="clear" w:color="auto" w:fill="CCECFF"/>
          </w:tcPr>
          <w:p>
            <w:pPr>
              <w:spacing w:after="0"/>
              <w:rPr>
                <w:sz w:val="13"/>
                <w:szCs w:val="13"/>
                <w:color w:val="auto"/>
              </w:rPr>
            </w:pPr>
          </w:p>
        </w:tc>
        <w:tc>
          <w:tcPr>
            <w:tcW w:w="206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36,595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36,595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960" w:type="dxa"/>
            <w:vAlign w:val="bottom"/>
            <w:shd w:val="clear" w:color="auto" w:fill="CCECFF"/>
          </w:tcPr>
          <w:p>
            <w:pPr>
              <w:spacing w:after="0"/>
              <w:rPr>
                <w:sz w:val="13"/>
                <w:szCs w:val="13"/>
                <w:color w:val="auto"/>
              </w:rPr>
            </w:pPr>
          </w:p>
        </w:tc>
        <w:tc>
          <w:tcPr>
            <w:tcW w:w="206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36,595</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36,595</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Total Investments and Cash Equivalents - 951.1%</w:t>
            </w:r>
          </w:p>
        </w:tc>
        <w:tc>
          <w:tcPr>
            <w:tcW w:w="9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1,072,900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1,067,820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84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b w:val="1"/>
                <w:bCs w:val="1"/>
                <w:color w:val="auto"/>
              </w:rPr>
              <w:t>Liabilities in Excess of Other Assets — (851.1)%</w:t>
            </w:r>
          </w:p>
        </w:tc>
        <w:tc>
          <w:tcPr>
            <w:tcW w:w="960" w:type="dxa"/>
            <w:vAlign w:val="bottom"/>
            <w:shd w:val="clear" w:color="auto" w:fill="CCECFF"/>
          </w:tcPr>
          <w:p>
            <w:pPr>
              <w:spacing w:after="0"/>
              <w:rPr>
                <w:sz w:val="11"/>
                <w:szCs w:val="11"/>
                <w:color w:val="auto"/>
              </w:rPr>
            </w:pPr>
          </w:p>
        </w:tc>
        <w:tc>
          <w:tcPr>
            <w:tcW w:w="206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6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9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0"/>
                <w:szCs w:val="10"/>
                <w:color w:val="auto"/>
              </w:rPr>
              <w:t>(955,549 )</w:t>
            </w:r>
          </w:p>
        </w:tc>
        <w:tc>
          <w:tcPr>
            <w:tcW w:w="0" w:type="dxa"/>
            <w:vAlign w:val="bottom"/>
          </w:tcPr>
          <w:p>
            <w:pPr>
              <w:spacing w:after="0"/>
              <w:rPr>
                <w:sz w:val="1"/>
                <w:szCs w:val="1"/>
                <w:color w:val="auto"/>
              </w:rPr>
            </w:pPr>
          </w:p>
        </w:tc>
      </w:tr>
      <w:tr>
        <w:trPr>
          <w:trHeight w:val="252"/>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Members' Equity—100.0%</w:t>
            </w:r>
          </w:p>
        </w:tc>
        <w:tc>
          <w:tcPr>
            <w:tcW w:w="9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112,271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480" w:right="40"/>
        <w:spacing w:after="0" w:line="301" w:lineRule="auto"/>
        <w:rPr>
          <w:sz w:val="20"/>
          <w:szCs w:val="20"/>
          <w:color w:val="auto"/>
        </w:rPr>
      </w:pPr>
      <w:r>
        <w:rPr>
          <w:rFonts w:ascii="Times New Roman" w:cs="Times New Roman" w:eastAsia="Times New Roman" w:hAnsi="Times New Roman"/>
          <w:sz w:val="10"/>
          <w:szCs w:val="10"/>
          <w:color w:val="auto"/>
        </w:rPr>
        <w:t>(1)Represents floating rate instruments that accrue interest at a predetermined spread relative to an index, typically the applicable Secured Overnight Financing Rate, or “SOFR” or Prime rate or “P”. The spread may change based on the type of rate used. The terms in the Schedule of Investments disclose the actual interest rate in effect as of the reporting period.SOFR loans are typically indexed to a 30-day, 60-day, 90-day or 180-day SOFR rate (1M S, 2M S, 3M S, or 6M S, respectively), at the borrower’s option. All securities are subject to a SOFR or Prime rate floor where a spread is provided, unless noted. The spread provided includes PIK interest and other fee rates, if any.</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(2)Valued based on PSLF’s accounting policy.</w:t>
      </w:r>
    </w:p>
    <w:p>
      <w:pPr>
        <w:spacing w:after="0" w:line="1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(3)All investments are in US Companies unless noted otherwise</w:t>
      </w:r>
    </w:p>
    <w:p>
      <w:pPr>
        <w:spacing w:after="0" w:line="102" w:lineRule="exact"/>
        <w:rPr>
          <w:sz w:val="20"/>
          <w:szCs w:val="20"/>
          <w:color w:val="auto"/>
        </w:rPr>
      </w:pPr>
    </w:p>
    <w:p>
      <w:pPr>
        <w:ind w:left="480" w:right="300"/>
        <w:spacing w:after="0" w:line="276" w:lineRule="auto"/>
        <w:rPr>
          <w:sz w:val="20"/>
          <w:szCs w:val="20"/>
          <w:color w:val="auto"/>
        </w:rPr>
      </w:pPr>
      <w:r>
        <w:rPr>
          <w:rFonts w:ascii="Times New Roman" w:cs="Times New Roman" w:eastAsia="Times New Roman" w:hAnsi="Times New Roman"/>
          <w:sz w:val="11"/>
          <w:szCs w:val="11"/>
          <w:color w:val="auto"/>
        </w:rPr>
        <w:t>(4)The securities are, 1) pledged as collateral under the BNP Credit Facility and held through Funding I; or, 2) securing the 2034 Asset-Backed Debt and held through PennantPark CLO IV, LLC; or, 3) securing the 2035 Asset-Backed Debt held through PennantPark CLO VII, LLC</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20" w:type="dxa"/>
            <w:vAlign w:val="bottom"/>
            <w:gridSpan w:val="3"/>
          </w:tcPr>
          <w:p>
            <w:pPr>
              <w:ind w:left="420"/>
              <w:spacing w:after="0"/>
              <w:rPr>
                <w:sz w:val="20"/>
                <w:szCs w:val="20"/>
                <w:color w:val="auto"/>
              </w:rPr>
            </w:pPr>
            <w:r>
              <w:rPr>
                <w:rFonts w:ascii="Times New Roman" w:cs="Times New Roman" w:eastAsia="Times New Roman" w:hAnsi="Times New Roman"/>
                <w:sz w:val="13"/>
                <w:szCs w:val="13"/>
                <w:color w:val="auto"/>
              </w:rPr>
              <w:t>Below is a listing of PSLF’s individual investments as of September 30, 2023 ($ in thousands):</w:t>
            </w: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2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20" w:type="dxa"/>
            <w:vAlign w:val="bottom"/>
          </w:tcPr>
          <w:p>
            <w:pPr>
              <w:ind w:left="240"/>
              <w:spacing w:after="0" w:line="14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440" w:type="dxa"/>
            <w:vAlign w:val="bottom"/>
          </w:tcPr>
          <w:p>
            <w:pPr>
              <w:spacing w:after="0"/>
              <w:rPr>
                <w:sz w:val="12"/>
                <w:szCs w:val="12"/>
                <w:color w:val="auto"/>
              </w:rPr>
            </w:pPr>
          </w:p>
        </w:tc>
        <w:tc>
          <w:tcPr>
            <w:tcW w:w="920" w:type="dxa"/>
            <w:vAlign w:val="bottom"/>
          </w:tcPr>
          <w:p>
            <w:pPr>
              <w:jc w:val="center"/>
              <w:ind w:right="71"/>
              <w:spacing w:after="0" w:line="145" w:lineRule="exact"/>
              <w:rPr>
                <w:sz w:val="20"/>
                <w:szCs w:val="20"/>
                <w:color w:val="auto"/>
              </w:rPr>
            </w:pPr>
            <w:r>
              <w:rPr>
                <w:rFonts w:ascii="Times New Roman" w:cs="Times New Roman" w:eastAsia="Times New Roman" w:hAnsi="Times New Roman"/>
                <w:sz w:val="13"/>
                <w:szCs w:val="13"/>
                <w:b w:val="1"/>
                <w:bCs w:val="1"/>
                <w:color w:val="auto"/>
              </w:rPr>
              <w:t>Above</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800" w:type="dxa"/>
            <w:vAlign w:val="bottom"/>
          </w:tcPr>
          <w:p>
            <w:pPr>
              <w:ind w:left="20"/>
              <w:spacing w:after="0" w:line="179" w:lineRule="exact"/>
              <w:rPr>
                <w:sz w:val="20"/>
                <w:szCs w:val="20"/>
                <w:color w:val="auto"/>
              </w:rPr>
            </w:pPr>
            <w:r>
              <w:rPr>
                <w:rFonts w:ascii="Times New Roman" w:cs="Times New Roman" w:eastAsia="Times New Roman" w:hAnsi="Times New Roman"/>
                <w:sz w:val="13"/>
                <w:szCs w:val="13"/>
                <w:b w:val="1"/>
                <w:bCs w:val="1"/>
                <w:color w:val="auto"/>
              </w:rPr>
              <w:t xml:space="preserve">Issuer Name </w:t>
            </w:r>
            <w:r>
              <w:rPr>
                <w:rFonts w:ascii="Times New Roman" w:cs="Times New Roman" w:eastAsia="Times New Roman" w:hAnsi="Times New Roman"/>
                <w:sz w:val="16"/>
                <w:szCs w:val="16"/>
                <w:b w:val="1"/>
                <w:bCs w:val="1"/>
                <w:color w:val="auto"/>
                <w:vertAlign w:val="superscript"/>
              </w:rPr>
              <w:t>4,5</w:t>
            </w:r>
          </w:p>
        </w:tc>
        <w:tc>
          <w:tcPr>
            <w:tcW w:w="90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2220" w:type="dxa"/>
            <w:vAlign w:val="bottom"/>
          </w:tcPr>
          <w:p>
            <w:pPr>
              <w:jc w:val="right"/>
              <w:ind w:right="851"/>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72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w w:val="99"/>
              </w:rPr>
              <w:t>Coupon</w:t>
            </w:r>
          </w:p>
        </w:tc>
        <w:tc>
          <w:tcPr>
            <w:tcW w:w="440" w:type="dxa"/>
            <w:vAlign w:val="bottom"/>
          </w:tcPr>
          <w:p>
            <w:pPr>
              <w:spacing w:after="0"/>
              <w:rPr>
                <w:sz w:val="15"/>
                <w:szCs w:val="15"/>
                <w:color w:val="auto"/>
              </w:rPr>
            </w:pPr>
          </w:p>
        </w:tc>
        <w:tc>
          <w:tcPr>
            <w:tcW w:w="920" w:type="dxa"/>
            <w:vAlign w:val="bottom"/>
          </w:tcPr>
          <w:p>
            <w:pPr>
              <w:jc w:val="center"/>
              <w:ind w:right="71"/>
              <w:spacing w:after="0" w:line="179" w:lineRule="exact"/>
              <w:rPr>
                <w:sz w:val="20"/>
                <w:szCs w:val="20"/>
                <w:color w:val="auto"/>
              </w:rPr>
            </w:pPr>
            <w:r>
              <w:rPr>
                <w:rFonts w:ascii="Times New Roman" w:cs="Times New Roman" w:eastAsia="Times New Roman" w:hAnsi="Times New Roman"/>
                <w:sz w:val="13"/>
                <w:szCs w:val="13"/>
                <w:b w:val="1"/>
                <w:bCs w:val="1"/>
                <w:color w:val="auto"/>
                <w:w w:val="98"/>
              </w:rPr>
              <w:t xml:space="preserve">Index </w:t>
            </w:r>
            <w:r>
              <w:rPr>
                <w:rFonts w:ascii="Times New Roman" w:cs="Times New Roman" w:eastAsia="Times New Roman" w:hAnsi="Times New Roman"/>
                <w:sz w:val="16"/>
                <w:szCs w:val="16"/>
                <w:b w:val="1"/>
                <w:bCs w:val="1"/>
                <w:color w:val="auto"/>
                <w:w w:val="98"/>
                <w:vertAlign w:val="superscript"/>
              </w:rPr>
              <w:t>1</w:t>
            </w:r>
          </w:p>
        </w:tc>
        <w:tc>
          <w:tcPr>
            <w:tcW w:w="660" w:type="dxa"/>
            <w:vAlign w:val="bottom"/>
          </w:tcPr>
          <w:p>
            <w:pPr>
              <w:jc w:val="right"/>
              <w:ind w:right="252"/>
              <w:spacing w:after="0"/>
              <w:rPr>
                <w:sz w:val="20"/>
                <w:szCs w:val="20"/>
                <w:color w:val="auto"/>
              </w:rPr>
            </w:pPr>
            <w:r>
              <w:rPr>
                <w:rFonts w:ascii="Times New Roman" w:cs="Times New Roman" w:eastAsia="Times New Roman" w:hAnsi="Times New Roman"/>
                <w:sz w:val="13"/>
                <w:szCs w:val="13"/>
                <w:b w:val="1"/>
                <w:bCs w:val="1"/>
                <w:color w:val="auto"/>
              </w:rPr>
              <w:t>Par</w:t>
            </w:r>
          </w:p>
        </w:tc>
        <w:tc>
          <w:tcPr>
            <w:tcW w:w="220" w:type="dxa"/>
            <w:vAlign w:val="bottom"/>
          </w:tcPr>
          <w:p>
            <w:pPr>
              <w:spacing w:after="0"/>
              <w:rPr>
                <w:sz w:val="15"/>
                <w:szCs w:val="15"/>
                <w:color w:val="auto"/>
              </w:rPr>
            </w:pPr>
          </w:p>
        </w:tc>
        <w:tc>
          <w:tcPr>
            <w:tcW w:w="540" w:type="dxa"/>
            <w:vAlign w:val="bottom"/>
          </w:tcPr>
          <w:p>
            <w:pPr>
              <w:jc w:val="right"/>
              <w:ind w:right="192"/>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5"/>
                <w:szCs w:val="15"/>
                <w:color w:val="auto"/>
              </w:rPr>
            </w:pPr>
          </w:p>
        </w:tc>
        <w:tc>
          <w:tcPr>
            <w:tcW w:w="940" w:type="dxa"/>
            <w:vAlign w:val="bottom"/>
          </w:tcPr>
          <w:p>
            <w:pPr>
              <w:jc w:val="right"/>
              <w:ind w:right="192"/>
              <w:spacing w:after="0" w:line="179" w:lineRule="exact"/>
              <w:rPr>
                <w:sz w:val="20"/>
                <w:szCs w:val="20"/>
                <w:color w:val="auto"/>
              </w:rPr>
            </w:pPr>
            <w:r>
              <w:rPr>
                <w:rFonts w:ascii="Times New Roman" w:cs="Times New Roman" w:eastAsia="Times New Roman" w:hAnsi="Times New Roman"/>
                <w:sz w:val="13"/>
                <w:szCs w:val="13"/>
                <w:b w:val="1"/>
                <w:bCs w:val="1"/>
                <w:color w:val="auto"/>
                <w:w w:val="99"/>
              </w:rPr>
              <w:t xml:space="preserve">Fair Value </w:t>
            </w:r>
            <w:r>
              <w:rPr>
                <w:rFonts w:ascii="Times New Roman" w:cs="Times New Roman" w:eastAsia="Times New Roman" w:hAnsi="Times New Roman"/>
                <w:sz w:val="16"/>
                <w:szCs w:val="16"/>
                <w:b w:val="1"/>
                <w:bCs w:val="1"/>
                <w:color w:val="auto"/>
                <w:w w:val="99"/>
                <w:vertAlign w:val="superscript"/>
              </w:rPr>
              <w:t>2</w:t>
            </w:r>
          </w:p>
        </w:tc>
        <w:tc>
          <w:tcPr>
            <w:tcW w:w="0" w:type="dxa"/>
            <w:vAlign w:val="bottom"/>
          </w:tcPr>
          <w:p>
            <w:pPr>
              <w:spacing w:after="0"/>
              <w:rPr>
                <w:sz w:val="1"/>
                <w:szCs w:val="1"/>
                <w:color w:val="auto"/>
              </w:rPr>
            </w:pPr>
          </w:p>
        </w:tc>
      </w:tr>
      <w:tr>
        <w:trPr>
          <w:trHeight w:val="122"/>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- 783.7%</w:t>
            </w:r>
          </w:p>
        </w:tc>
        <w:tc>
          <w:tcPr>
            <w:tcW w:w="90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90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12/22/2028</w:t>
            </w:r>
          </w:p>
        </w:tc>
        <w:tc>
          <w:tcPr>
            <w:tcW w:w="222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11.84 %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SOFR+660</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14,925</w:t>
            </w:r>
          </w:p>
        </w:tc>
        <w:tc>
          <w:tcPr>
            <w:tcW w:w="2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14,668</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14,850</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5/7/2026</w:t>
            </w:r>
          </w:p>
        </w:tc>
        <w:tc>
          <w:tcPr>
            <w:tcW w:w="22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3"/>
              </w:rPr>
              <w:t>Media</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11.65 %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SOFR+600</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4,888</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4,888</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4,863</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90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11/30/2026</w:t>
            </w:r>
          </w:p>
        </w:tc>
        <w:tc>
          <w:tcPr>
            <w:tcW w:w="222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5"/>
              </w:rPr>
              <w:t>Containers, Packaging and Glass</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11.26 %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SOFR+600</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14,837</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14,528</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14,244</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Amsive Holding Corporation (f/k/a Vision Purchaser Corporation)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6/10/2025</w:t>
            </w:r>
          </w:p>
        </w:tc>
        <w:tc>
          <w:tcPr>
            <w:tcW w:w="22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3"/>
              </w:rPr>
              <w:t>Media</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11.79 %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SOFR+640</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13,958</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13,869</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13,749</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5/23/2024</w:t>
            </w:r>
          </w:p>
        </w:tc>
        <w:tc>
          <w:tcPr>
            <w:tcW w:w="22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3"/>
              </w:rPr>
              <w:t>Media</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12.04 %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SOFR+665</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14,354</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14,319</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14,103</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Any Hour Services</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7/21/2027</w:t>
            </w:r>
          </w:p>
        </w:tc>
        <w:tc>
          <w:tcPr>
            <w:tcW w:w="222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11.22 %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SOFR+585</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10,882</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10,847</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10,665</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7/31/2025</w:t>
            </w:r>
          </w:p>
        </w:tc>
        <w:tc>
          <w:tcPr>
            <w:tcW w:w="222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10.52 %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SOFR+525</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6,424</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6,380</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6,408</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 Term Loan B</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7/31/2025</w:t>
            </w:r>
          </w:p>
        </w:tc>
        <w:tc>
          <w:tcPr>
            <w:tcW w:w="222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11.11 %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SOFR+550</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3,316</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3,299</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3,308</w:t>
            </w:r>
          </w:p>
        </w:tc>
        <w:tc>
          <w:tcPr>
            <w:tcW w:w="0" w:type="dxa"/>
            <w:vAlign w:val="bottom"/>
          </w:tcPr>
          <w:p>
            <w:pPr>
              <w:spacing w:after="0"/>
              <w:rPr>
                <w:sz w:val="1"/>
                <w:szCs w:val="1"/>
                <w:color w:val="auto"/>
              </w:rPr>
            </w:pPr>
          </w:p>
        </w:tc>
      </w:tr>
      <w:tr>
        <w:trPr>
          <w:trHeight w:val="148"/>
        </w:trPr>
        <w:tc>
          <w:tcPr>
            <w:tcW w:w="28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 - Term Loan C</w:t>
            </w:r>
          </w:p>
        </w:tc>
        <w:tc>
          <w:tcPr>
            <w:tcW w:w="90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7/31/2025</w:t>
            </w:r>
          </w:p>
        </w:tc>
        <w:tc>
          <w:tcPr>
            <w:tcW w:w="2220" w:type="dxa"/>
            <w:vAlign w:val="bottom"/>
            <w:tcBorders>
              <w:bottom w:val="single" w:sz="8" w:color="CCECFF"/>
            </w:tcBorders>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720" w:type="dxa"/>
            <w:vAlign w:val="bottom"/>
            <w:tcBorders>
              <w:bottom w:val="single" w:sz="8" w:color="CCECFF"/>
            </w:tcBorders>
            <w:shd w:val="clear" w:color="auto" w:fill="CCECFF"/>
          </w:tcPr>
          <w:p>
            <w:pPr>
              <w:spacing w:after="0"/>
              <w:rPr>
                <w:sz w:val="12"/>
                <w:szCs w:val="12"/>
                <w:color w:val="auto"/>
              </w:rPr>
            </w:pPr>
          </w:p>
        </w:tc>
        <w:tc>
          <w:tcPr>
            <w:tcW w:w="44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10.76 %</w:t>
            </w:r>
          </w:p>
        </w:tc>
        <w:tc>
          <w:tcPr>
            <w:tcW w:w="920" w:type="dxa"/>
            <w:vAlign w:val="bottom"/>
            <w:tcBorders>
              <w:bottom w:val="single" w:sz="8" w:color="CCECFF"/>
            </w:tcBorders>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SOFR+525</w:t>
            </w:r>
          </w:p>
        </w:tc>
        <w:tc>
          <w:tcPr>
            <w:tcW w:w="660" w:type="dxa"/>
            <w:vAlign w:val="bottom"/>
            <w:tcBorders>
              <w:bottom w:val="single" w:sz="8" w:color="CCECFF"/>
            </w:tcBorders>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7,531</w:t>
            </w:r>
          </w:p>
        </w:tc>
        <w:tc>
          <w:tcPr>
            <w:tcW w:w="220" w:type="dxa"/>
            <w:vAlign w:val="bottom"/>
            <w:tcBorders>
              <w:bottom w:val="single" w:sz="8" w:color="CCECFF"/>
            </w:tcBorders>
            <w:shd w:val="clear" w:color="auto" w:fill="CCECFF"/>
          </w:tcPr>
          <w:p>
            <w:pPr>
              <w:spacing w:after="0"/>
              <w:rPr>
                <w:sz w:val="12"/>
                <w:szCs w:val="12"/>
                <w:color w:val="auto"/>
              </w:rPr>
            </w:pPr>
          </w:p>
        </w:tc>
        <w:tc>
          <w:tcPr>
            <w:tcW w:w="540" w:type="dxa"/>
            <w:vAlign w:val="bottom"/>
            <w:tcBorders>
              <w:bottom w:val="single" w:sz="8" w:color="CCECFF"/>
            </w:tcBorders>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7,531</w:t>
            </w:r>
          </w:p>
        </w:tc>
        <w:tc>
          <w:tcPr>
            <w:tcW w:w="200" w:type="dxa"/>
            <w:vAlign w:val="bottom"/>
            <w:tcBorders>
              <w:bottom w:val="single" w:sz="8" w:color="CCECFF"/>
            </w:tcBorders>
            <w:shd w:val="clear" w:color="auto" w:fill="CCECFF"/>
          </w:tcPr>
          <w:p>
            <w:pPr>
              <w:spacing w:after="0"/>
              <w:rPr>
                <w:sz w:val="12"/>
                <w:szCs w:val="12"/>
                <w:color w:val="auto"/>
              </w:rPr>
            </w:pPr>
          </w:p>
        </w:tc>
        <w:tc>
          <w:tcPr>
            <w:tcW w:w="94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7,512</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90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12/29/2026</w:t>
            </w:r>
          </w:p>
        </w:tc>
        <w:tc>
          <w:tcPr>
            <w:tcW w:w="2220" w:type="dxa"/>
            <w:vAlign w:val="bottom"/>
          </w:tcPr>
          <w:p>
            <w:pPr>
              <w:jc w:val="center"/>
              <w:ind w:right="51"/>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11.51 %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SOFR+615</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11,394</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11,271</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11,166</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Applied Technical Services, LLC - Unfunded Term Loan </w:t>
            </w:r>
            <w:r>
              <w:rPr>
                <w:rFonts w:ascii="Times New Roman" w:cs="Times New Roman" w:eastAsia="Times New Roman" w:hAnsi="Times New Roman"/>
                <w:sz w:val="12"/>
                <w:szCs w:val="12"/>
                <w:color w:val="auto"/>
                <w:vertAlign w:val="superscript"/>
              </w:rPr>
              <w:t>(3)</w:t>
            </w:r>
          </w:p>
        </w:tc>
        <w:tc>
          <w:tcPr>
            <w:tcW w:w="90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12/29/2026</w:t>
            </w:r>
          </w:p>
        </w:tc>
        <w:tc>
          <w:tcPr>
            <w:tcW w:w="222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513</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8/3/2029</w:t>
            </w:r>
          </w:p>
        </w:tc>
        <w:tc>
          <w:tcPr>
            <w:tcW w:w="222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11.62 %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SOFR+625</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11,820</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11,642</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11,702</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7/1/2029</w:t>
            </w:r>
          </w:p>
        </w:tc>
        <w:tc>
          <w:tcPr>
            <w:tcW w:w="222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11.14 %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SOFR+575</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14,850</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14,604</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13,811</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1/31/2028</w:t>
            </w:r>
          </w:p>
        </w:tc>
        <w:tc>
          <w:tcPr>
            <w:tcW w:w="222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11.83 %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SOFR+650</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8,978</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8,874</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8,933</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9/17/2024</w:t>
            </w:r>
          </w:p>
        </w:tc>
        <w:tc>
          <w:tcPr>
            <w:tcW w:w="222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5"/>
              </w:rPr>
              <w:t>Distribution</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11.79 %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SOFR+640</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17,823</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17,588</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17,556</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12/4/2025</w:t>
            </w:r>
          </w:p>
        </w:tc>
        <w:tc>
          <w:tcPr>
            <w:tcW w:w="22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11.50 %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SOFR+626</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9,683</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9,683</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9,683</w:t>
            </w:r>
          </w:p>
        </w:tc>
        <w:tc>
          <w:tcPr>
            <w:tcW w:w="0" w:type="dxa"/>
            <w:vAlign w:val="bottom"/>
          </w:tcPr>
          <w:p>
            <w:pPr>
              <w:spacing w:after="0"/>
              <w:rPr>
                <w:sz w:val="1"/>
                <w:szCs w:val="1"/>
                <w:color w:val="auto"/>
              </w:rPr>
            </w:pPr>
          </w:p>
        </w:tc>
      </w:tr>
      <w:tr>
        <w:trPr>
          <w:trHeight w:val="124"/>
        </w:trPr>
        <w:tc>
          <w:tcPr>
            <w:tcW w:w="280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90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9/26/2029</w:t>
            </w:r>
          </w:p>
        </w:tc>
        <w:tc>
          <w:tcPr>
            <w:tcW w:w="222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5"/>
              </w:rPr>
              <w:t>Auto Sector</w:t>
            </w:r>
          </w:p>
        </w:tc>
        <w:tc>
          <w:tcPr>
            <w:tcW w:w="720" w:type="dxa"/>
            <w:vAlign w:val="bottom"/>
            <w:shd w:val="clear" w:color="auto" w:fill="CCECFF"/>
          </w:tcPr>
          <w:p>
            <w:pPr>
              <w:spacing w:after="0"/>
              <w:rPr>
                <w:sz w:val="10"/>
                <w:szCs w:val="10"/>
                <w:color w:val="auto"/>
              </w:rPr>
            </w:pPr>
          </w:p>
        </w:tc>
        <w:tc>
          <w:tcPr>
            <w:tcW w:w="44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10.67 %</w:t>
            </w:r>
          </w:p>
        </w:tc>
        <w:tc>
          <w:tcPr>
            <w:tcW w:w="920" w:type="dxa"/>
            <w:vAlign w:val="bottom"/>
            <w:vMerge w:val="restart"/>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SOFR+532</w:t>
            </w:r>
          </w:p>
        </w:tc>
        <w:tc>
          <w:tcPr>
            <w:tcW w:w="660" w:type="dxa"/>
            <w:vAlign w:val="bottom"/>
            <w:vMerge w:val="restart"/>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893</w:t>
            </w:r>
          </w:p>
        </w:tc>
        <w:tc>
          <w:tcPr>
            <w:tcW w:w="220" w:type="dxa"/>
            <w:vAlign w:val="bottom"/>
            <w:shd w:val="clear" w:color="auto" w:fill="CCECFF"/>
          </w:tcPr>
          <w:p>
            <w:pPr>
              <w:spacing w:after="0"/>
              <w:rPr>
                <w:sz w:val="10"/>
                <w:szCs w:val="10"/>
                <w:color w:val="auto"/>
              </w:rPr>
            </w:pPr>
          </w:p>
        </w:tc>
        <w:tc>
          <w:tcPr>
            <w:tcW w:w="540" w:type="dxa"/>
            <w:vAlign w:val="bottom"/>
            <w:vMerge w:val="restart"/>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836</w:t>
            </w:r>
          </w:p>
        </w:tc>
        <w:tc>
          <w:tcPr>
            <w:tcW w:w="200" w:type="dxa"/>
            <w:vAlign w:val="bottom"/>
            <w:shd w:val="clear" w:color="auto" w:fill="CCECFF"/>
          </w:tcPr>
          <w:p>
            <w:pPr>
              <w:spacing w:after="0"/>
              <w:rPr>
                <w:sz w:val="10"/>
                <w:szCs w:val="10"/>
                <w:color w:val="auto"/>
              </w:rPr>
            </w:pPr>
          </w:p>
        </w:tc>
        <w:tc>
          <w:tcPr>
            <w:tcW w:w="94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841</w:t>
            </w:r>
          </w:p>
        </w:tc>
        <w:tc>
          <w:tcPr>
            <w:tcW w:w="0" w:type="dxa"/>
            <w:vAlign w:val="bottom"/>
          </w:tcPr>
          <w:p>
            <w:pPr>
              <w:spacing w:after="0"/>
              <w:rPr>
                <w:sz w:val="1"/>
                <w:szCs w:val="1"/>
                <w:color w:val="auto"/>
              </w:rPr>
            </w:pPr>
          </w:p>
        </w:tc>
      </w:tr>
      <w:tr>
        <w:trPr>
          <w:trHeight w:val="104"/>
        </w:trPr>
        <w:tc>
          <w:tcPr>
            <w:tcW w:w="2800" w:type="dxa"/>
            <w:vAlign w:val="bottom"/>
            <w:vMerge w:val="continue"/>
            <w:shd w:val="clear" w:color="auto" w:fill="CCECFF"/>
          </w:tcPr>
          <w:p>
            <w:pPr>
              <w:spacing w:after="0"/>
              <w:rPr>
                <w:sz w:val="9"/>
                <w:szCs w:val="9"/>
                <w:color w:val="auto"/>
              </w:rPr>
            </w:pPr>
          </w:p>
        </w:tc>
        <w:tc>
          <w:tcPr>
            <w:tcW w:w="900" w:type="dxa"/>
            <w:vAlign w:val="bottom"/>
            <w:vMerge w:val="continue"/>
            <w:shd w:val="clear" w:color="auto" w:fill="CCECFF"/>
          </w:tcPr>
          <w:p>
            <w:pPr>
              <w:spacing w:after="0"/>
              <w:rPr>
                <w:sz w:val="9"/>
                <w:szCs w:val="9"/>
                <w:color w:val="auto"/>
              </w:rPr>
            </w:pPr>
          </w:p>
        </w:tc>
        <w:tc>
          <w:tcPr>
            <w:tcW w:w="2220" w:type="dxa"/>
            <w:vAlign w:val="bottom"/>
            <w:shd w:val="clear" w:color="auto" w:fill="CCECFF"/>
          </w:tcPr>
          <w:p>
            <w:pPr>
              <w:spacing w:after="0"/>
              <w:rPr>
                <w:sz w:val="9"/>
                <w:szCs w:val="9"/>
                <w:color w:val="auto"/>
              </w:rPr>
            </w:pPr>
          </w:p>
        </w:tc>
        <w:tc>
          <w:tcPr>
            <w:tcW w:w="720" w:type="dxa"/>
            <w:vAlign w:val="bottom"/>
            <w:shd w:val="clear" w:color="auto" w:fill="CCECFF"/>
          </w:tcPr>
          <w:p>
            <w:pPr>
              <w:spacing w:after="0"/>
              <w:rPr>
                <w:sz w:val="9"/>
                <w:szCs w:val="9"/>
                <w:color w:val="auto"/>
              </w:rPr>
            </w:pPr>
          </w:p>
        </w:tc>
        <w:tc>
          <w:tcPr>
            <w:tcW w:w="440" w:type="dxa"/>
            <w:vAlign w:val="bottom"/>
            <w:vMerge w:val="continue"/>
            <w:shd w:val="clear" w:color="auto" w:fill="CCECFF"/>
          </w:tcPr>
          <w:p>
            <w:pPr>
              <w:spacing w:after="0"/>
              <w:rPr>
                <w:sz w:val="9"/>
                <w:szCs w:val="9"/>
                <w:color w:val="auto"/>
              </w:rPr>
            </w:pPr>
          </w:p>
        </w:tc>
        <w:tc>
          <w:tcPr>
            <w:tcW w:w="920" w:type="dxa"/>
            <w:vAlign w:val="bottom"/>
            <w:vMerge w:val="continue"/>
            <w:shd w:val="clear" w:color="auto" w:fill="CCECFF"/>
          </w:tcPr>
          <w:p>
            <w:pPr>
              <w:spacing w:after="0"/>
              <w:rPr>
                <w:sz w:val="9"/>
                <w:szCs w:val="9"/>
                <w:color w:val="auto"/>
              </w:rPr>
            </w:pPr>
          </w:p>
        </w:tc>
        <w:tc>
          <w:tcPr>
            <w:tcW w:w="660" w:type="dxa"/>
            <w:vAlign w:val="bottom"/>
            <w:vMerge w:val="continue"/>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540" w:type="dxa"/>
            <w:vAlign w:val="bottom"/>
            <w:vMerge w:val="continue"/>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940" w:type="dxa"/>
            <w:vAlign w:val="bottom"/>
            <w:vMerge w:val="continue"/>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6/14/2028</w:t>
            </w:r>
          </w:p>
        </w:tc>
        <w:tc>
          <w:tcPr>
            <w:tcW w:w="222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5"/>
              </w:rPr>
              <w:t>Distribution</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11.39 %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SOFR+600</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17,281</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17,013</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17,281</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8/20/2026</w:t>
            </w:r>
          </w:p>
        </w:tc>
        <w:tc>
          <w:tcPr>
            <w:tcW w:w="22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3"/>
              </w:rPr>
              <w:t>Media</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11.60 %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SOFR+600</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2,921</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2,901</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2,862</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7/13/2027</w:t>
            </w:r>
          </w:p>
        </w:tc>
        <w:tc>
          <w:tcPr>
            <w:tcW w:w="22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3"/>
              </w:rPr>
              <w:t>Media</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11.16 %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SOFR+550</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8,808</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8,792</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8,500</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8/16/2027</w:t>
            </w:r>
          </w:p>
        </w:tc>
        <w:tc>
          <w:tcPr>
            <w:tcW w:w="222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10.90 %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SOFR+551</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2,575</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2,550</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2,562</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8/31/2027</w:t>
            </w:r>
          </w:p>
        </w:tc>
        <w:tc>
          <w:tcPr>
            <w:tcW w:w="22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11.24 %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SOFR+585</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10,882</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10,834</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10,882</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90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12/21/2028</w:t>
            </w:r>
          </w:p>
        </w:tc>
        <w:tc>
          <w:tcPr>
            <w:tcW w:w="22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3"/>
              </w:rPr>
              <w:t>Media</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10.67 %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SOFR+525</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4,382</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3,959</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3,993</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11/3/2025</w:t>
            </w:r>
          </w:p>
        </w:tc>
        <w:tc>
          <w:tcPr>
            <w:tcW w:w="222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11.77 %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SOFR+640</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14,395</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14,345</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14,222</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Duraco Specialty Tapes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6/30/2024</w:t>
            </w:r>
          </w:p>
        </w:tc>
        <w:tc>
          <w:tcPr>
            <w:tcW w:w="222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5"/>
              </w:rPr>
              <w:t>Manufacturing / Basic Industries</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11.93 %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SOFR+650</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8,635</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8,561</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8,505</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1/10/2029</w:t>
            </w:r>
          </w:p>
        </w:tc>
        <w:tc>
          <w:tcPr>
            <w:tcW w:w="222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11.64 %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SOFR+625</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6,219</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6,148</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6,125</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Electro Rent Corporation</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1/17/2024</w:t>
            </w:r>
          </w:p>
        </w:tc>
        <w:tc>
          <w:tcPr>
            <w:tcW w:w="222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3"/>
              </w:rPr>
              <w:t>Electronics</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10.93 %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SOFR+550</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3,712</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3,665</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3,632</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ETE Intermediate II, LLC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5/29/2029</w:t>
            </w:r>
          </w:p>
        </w:tc>
        <w:tc>
          <w:tcPr>
            <w:tcW w:w="222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11.89 %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SOFR+650</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12,404</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12,171</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12,193</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3/15/2027</w:t>
            </w:r>
          </w:p>
        </w:tc>
        <w:tc>
          <w:tcPr>
            <w:tcW w:w="222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11.17 %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SOFR+585</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9,750</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9,637</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9,555</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Fairbanks Morse Defense</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6/17/2028</w:t>
            </w:r>
          </w:p>
        </w:tc>
        <w:tc>
          <w:tcPr>
            <w:tcW w:w="222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10.40 %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SOFR+475</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1,518</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1,470</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1,506</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Five Star Buyer, Inc.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2/23/2028</w:t>
            </w:r>
          </w:p>
        </w:tc>
        <w:tc>
          <w:tcPr>
            <w:tcW w:w="222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4"/>
              </w:rPr>
              <w:t>Hotels, Motels, Inns and Gaming</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12.43 %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SOFR+710</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4,373</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4,291</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4,307</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3/16/2026</w:t>
            </w:r>
          </w:p>
        </w:tc>
        <w:tc>
          <w:tcPr>
            <w:tcW w:w="222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Banking, Finance, Insurance &amp; Real Estate</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11.96 %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SOFR+660</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7,027</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7,008</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6,676</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8/10/2027</w:t>
            </w:r>
          </w:p>
        </w:tc>
        <w:tc>
          <w:tcPr>
            <w:tcW w:w="222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5"/>
              </w:rPr>
              <w:t>Distribution</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10.99 %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SOFR+560</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1,954</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1,925</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1,935</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90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12/31/2026</w:t>
            </w:r>
          </w:p>
        </w:tc>
        <w:tc>
          <w:tcPr>
            <w:tcW w:w="222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7"/>
              </w:rPr>
              <w:t>Insurance</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10.93 %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SOFR+550</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6,423</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6,423</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6,262</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Holdco Sands Intermediate, LLC</w:t>
            </w:r>
          </w:p>
        </w:tc>
        <w:tc>
          <w:tcPr>
            <w:tcW w:w="90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11/23/2028</w:t>
            </w:r>
          </w:p>
        </w:tc>
        <w:tc>
          <w:tcPr>
            <w:tcW w:w="222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11.32 %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SOFR+585</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19,717</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19,388</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19,717</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90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12/17/2026</w:t>
            </w:r>
          </w:p>
        </w:tc>
        <w:tc>
          <w:tcPr>
            <w:tcW w:w="222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11.79 %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SOFR+625</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15,140</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14,974</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15,110</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90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12/10/2024</w:t>
            </w:r>
          </w:p>
        </w:tc>
        <w:tc>
          <w:tcPr>
            <w:tcW w:w="222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3"/>
              </w:rPr>
              <w:t>Media</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11.70 %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SOFR+640</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14,250</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14,171</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14,036</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IG Investments Holdings, LLC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9/22/2028</w:t>
            </w:r>
          </w:p>
        </w:tc>
        <w:tc>
          <w:tcPr>
            <w:tcW w:w="222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11.45 %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SOFR+610</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4,428</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4,355</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4,362</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90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11/15/2027</w:t>
            </w:r>
          </w:p>
        </w:tc>
        <w:tc>
          <w:tcPr>
            <w:tcW w:w="222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10.72 %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SOFR+535</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5,565</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5,481</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5,482</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Inception Fertility Ventures, LLC</w:t>
            </w:r>
          </w:p>
        </w:tc>
        <w:tc>
          <w:tcPr>
            <w:tcW w:w="90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12/31/2024</w:t>
            </w:r>
          </w:p>
        </w:tc>
        <w:tc>
          <w:tcPr>
            <w:tcW w:w="222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12.50 %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SOFR+715</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19,737</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19,410</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19,737</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90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12/28/2028</w:t>
            </w:r>
          </w:p>
        </w:tc>
        <w:tc>
          <w:tcPr>
            <w:tcW w:w="222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12.24 %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SOFR+685</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11,053</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10,867</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11,053</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Infolinks Media Buyco, LLC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11/1/2026</w:t>
            </w:r>
          </w:p>
        </w:tc>
        <w:tc>
          <w:tcPr>
            <w:tcW w:w="22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3"/>
              </w:rPr>
              <w:t>Media</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11.17 %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SOFR+585</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6,364</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6,364</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6,364</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Integrity Marketing Acquisition,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8/27/2026</w:t>
            </w:r>
          </w:p>
        </w:tc>
        <w:tc>
          <w:tcPr>
            <w:tcW w:w="222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7"/>
              </w:rPr>
              <w:t>Insurance</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11.57 %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SOFR+615</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19,701</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19,639</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19,504</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K2 Pure Solutions NoCal, L.P.</w:t>
            </w:r>
          </w:p>
        </w:tc>
        <w:tc>
          <w:tcPr>
            <w:tcW w:w="90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12/20/2023</w:t>
            </w:r>
          </w:p>
        </w:tc>
        <w:tc>
          <w:tcPr>
            <w:tcW w:w="222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13.42 %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SOFR+810</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12,061</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12,040</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12,061</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90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6"/>
              </w:rPr>
              <w:t>11/10/2027</w:t>
            </w:r>
          </w:p>
        </w:tc>
        <w:tc>
          <w:tcPr>
            <w:tcW w:w="222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11.54 %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SOFR+615</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16,920</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16,641</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16,666</w:t>
            </w:r>
          </w:p>
        </w:tc>
        <w:tc>
          <w:tcPr>
            <w:tcW w:w="0" w:type="dxa"/>
            <w:vAlign w:val="bottom"/>
          </w:tcPr>
          <w:p>
            <w:pPr>
              <w:spacing w:after="0"/>
              <w:rPr>
                <w:sz w:val="1"/>
                <w:szCs w:val="1"/>
                <w:color w:val="auto"/>
              </w:rPr>
            </w:pPr>
          </w:p>
        </w:tc>
      </w:tr>
      <w:tr>
        <w:trPr>
          <w:trHeight w:val="121"/>
        </w:trPr>
        <w:tc>
          <w:tcPr>
            <w:tcW w:w="2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2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Leisure, Amusement, Motion Pictures,</w:t>
            </w: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90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10/31/2024</w:t>
            </w:r>
          </w:p>
        </w:tc>
        <w:tc>
          <w:tcPr>
            <w:tcW w:w="222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5"/>
              </w:rPr>
              <w:t>Entertainment</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11.46 %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SOFR+625</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4,658</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4,631</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4,603</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2/18/2027</w:t>
            </w:r>
          </w:p>
        </w:tc>
        <w:tc>
          <w:tcPr>
            <w:tcW w:w="222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12.13 %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SOFR+700</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19,723</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19,565</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19,526</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2/3/2026</w:t>
            </w:r>
          </w:p>
        </w:tc>
        <w:tc>
          <w:tcPr>
            <w:tcW w:w="222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10.67 %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SOFR+535</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12,218</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12,056</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12,096</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1/31/2030</w:t>
            </w:r>
          </w:p>
        </w:tc>
        <w:tc>
          <w:tcPr>
            <w:tcW w:w="2220" w:type="dxa"/>
            <w:vAlign w:val="bottom"/>
            <w:shd w:val="clear" w:color="auto" w:fill="CCECFF"/>
          </w:tcPr>
          <w:p>
            <w:pPr>
              <w:jc w:val="center"/>
              <w:ind w:right="51"/>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11.77 %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SOFR+640</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6,318</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6,206</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6,192</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4/1/2027</w:t>
            </w:r>
          </w:p>
        </w:tc>
        <w:tc>
          <w:tcPr>
            <w:tcW w:w="222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10.99 %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SOFR+549</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7,601</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7,153</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7,202</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Magenta Buyer,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7/31/2028</w:t>
            </w:r>
          </w:p>
        </w:tc>
        <w:tc>
          <w:tcPr>
            <w:tcW w:w="222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4"/>
              </w:rPr>
              <w:t>Software</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10.63 %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SOFR+500</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3,785</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3,550</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2,805</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5/14/2026</w:t>
            </w:r>
          </w:p>
        </w:tc>
        <w:tc>
          <w:tcPr>
            <w:tcW w:w="222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3"/>
              </w:rPr>
              <w:t>Media</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11.04 %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SOFR+550</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10,885</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10,811</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10,776</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4/16/2027</w:t>
            </w:r>
          </w:p>
        </w:tc>
        <w:tc>
          <w:tcPr>
            <w:tcW w:w="222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7"/>
              </w:rPr>
              <w:t>Telecommunications</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11.22 %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SOFR+585</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7,859</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7,780</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7,749</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90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6"/>
              </w:rPr>
              <w:t>12/10/2027</w:t>
            </w:r>
          </w:p>
        </w:tc>
        <w:tc>
          <w:tcPr>
            <w:tcW w:w="222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10.58 %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SOFR+550</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2,958</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2,911</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2,884</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10/1/2027</w:t>
            </w:r>
          </w:p>
        </w:tc>
        <w:tc>
          <w:tcPr>
            <w:tcW w:w="222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5"/>
              </w:rPr>
              <w:t>Distribution</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11.04 %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SOFR+565</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5,975</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5,860</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5,843</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NBH Group LLC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8/19/2026</w:t>
            </w:r>
          </w:p>
        </w:tc>
        <w:tc>
          <w:tcPr>
            <w:tcW w:w="222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10.93 %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SOFR+525</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7,429</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7,369</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7,280</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Neptune Flood Incorporated</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5/9/2029</w:t>
            </w:r>
          </w:p>
        </w:tc>
        <w:tc>
          <w:tcPr>
            <w:tcW w:w="222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11.97 %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SOFR+650</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8,020</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7,910</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8,020</w:t>
            </w:r>
          </w:p>
        </w:tc>
        <w:tc>
          <w:tcPr>
            <w:tcW w:w="0" w:type="dxa"/>
            <w:vAlign w:val="bottom"/>
          </w:tcPr>
          <w:p>
            <w:pPr>
              <w:spacing w:after="0"/>
              <w:rPr>
                <w:sz w:val="1"/>
                <w:szCs w:val="1"/>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5/7/2027</w:t>
            </w:r>
          </w:p>
        </w:tc>
        <w:tc>
          <w:tcPr>
            <w:tcW w:w="222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8"/>
              </w:rPr>
              <w:t>Transportation</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11.68 %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SOFR+636</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8,470</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8,311</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8,470</w:t>
            </w:r>
          </w:p>
        </w:tc>
        <w:tc>
          <w:tcPr>
            <w:tcW w:w="0" w:type="dxa"/>
            <w:vAlign w:val="bottom"/>
          </w:tcPr>
          <w:p>
            <w:pPr>
              <w:spacing w:after="0"/>
              <w:rPr>
                <w:sz w:val="1"/>
                <w:szCs w:val="1"/>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2/4/2028</w:t>
            </w:r>
          </w:p>
        </w:tc>
        <w:tc>
          <w:tcPr>
            <w:tcW w:w="222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3"/>
              </w:rPr>
              <w:t>Education</w:t>
            </w:r>
          </w:p>
        </w:tc>
        <w:tc>
          <w:tcPr>
            <w:tcW w:w="72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10.80 %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SOFR+575</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3,893</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3,794</w:t>
            </w:r>
          </w:p>
        </w:tc>
        <w:tc>
          <w:tcPr>
            <w:tcW w:w="20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3,834</w:t>
            </w:r>
          </w:p>
        </w:tc>
        <w:tc>
          <w:tcPr>
            <w:tcW w:w="0" w:type="dxa"/>
            <w:vAlign w:val="bottom"/>
          </w:tcPr>
          <w:p>
            <w:pPr>
              <w:spacing w:after="0"/>
              <w:rPr>
                <w:sz w:val="1"/>
                <w:szCs w:val="1"/>
                <w:color w:val="auto"/>
              </w:rPr>
            </w:pPr>
          </w:p>
        </w:tc>
      </w:tr>
      <w:tr>
        <w:trPr>
          <w:trHeight w:val="124"/>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Ox Two, LLC (New Issue)</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5/18/2026</w:t>
            </w:r>
          </w:p>
        </w:tc>
        <w:tc>
          <w:tcPr>
            <w:tcW w:w="222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5"/>
              </w:rPr>
              <w:t>Distribution</w:t>
            </w:r>
          </w:p>
        </w:tc>
        <w:tc>
          <w:tcPr>
            <w:tcW w:w="72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12.90 %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SOFR+725</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4,378</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4,343</w:t>
            </w:r>
          </w:p>
        </w:tc>
        <w:tc>
          <w:tcPr>
            <w:tcW w:w="20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4,301</w:t>
            </w:r>
          </w:p>
        </w:tc>
        <w:tc>
          <w:tcPr>
            <w:tcW w:w="0" w:type="dxa"/>
            <w:vAlign w:val="bottom"/>
          </w:tcPr>
          <w:p>
            <w:pPr>
              <w:spacing w:after="0"/>
              <w:rPr>
                <w:sz w:val="1"/>
                <w:szCs w:val="1"/>
                <w:color w:val="auto"/>
              </w:rPr>
            </w:pPr>
          </w:p>
        </w:tc>
      </w:tr>
      <w:tr>
        <w:trPr>
          <w:trHeight w:val="624"/>
        </w:trPr>
        <w:tc>
          <w:tcPr>
            <w:tcW w:w="2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20" w:type="dxa"/>
            <w:vAlign w:val="bottom"/>
          </w:tcPr>
          <w:p>
            <w:pPr>
              <w:jc w:val="right"/>
              <w:ind w:right="511"/>
              <w:spacing w:after="0"/>
              <w:rPr>
                <w:sz w:val="20"/>
                <w:szCs w:val="20"/>
                <w:color w:val="auto"/>
              </w:rPr>
            </w:pPr>
            <w:r>
              <w:rPr>
                <w:rFonts w:ascii="Times New Roman" w:cs="Times New Roman" w:eastAsia="Times New Roman" w:hAnsi="Times New Roman"/>
                <w:sz w:val="13"/>
                <w:szCs w:val="13"/>
                <w:color w:val="auto"/>
              </w:rPr>
              <w:t>93</w:t>
            </w: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0"/>
        </w:trPr>
        <w:tc>
          <w:tcPr>
            <w:tcW w:w="280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222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54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94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5"/>
        </w:trPr>
        <w:tc>
          <w:tcPr>
            <w:tcW w:w="2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760" w:type="dxa"/>
            <w:vAlign w:val="bottom"/>
          </w:tcPr>
          <w:p>
            <w:pPr>
              <w:ind w:left="280"/>
              <w:spacing w:after="0" w:line="14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440" w:type="dxa"/>
            <w:vAlign w:val="bottom"/>
          </w:tcPr>
          <w:p>
            <w:pPr>
              <w:spacing w:after="0"/>
              <w:rPr>
                <w:sz w:val="12"/>
                <w:szCs w:val="12"/>
                <w:color w:val="auto"/>
              </w:rPr>
            </w:pPr>
          </w:p>
        </w:tc>
        <w:tc>
          <w:tcPr>
            <w:tcW w:w="920" w:type="dxa"/>
            <w:vAlign w:val="bottom"/>
          </w:tcPr>
          <w:p>
            <w:pPr>
              <w:jc w:val="center"/>
              <w:ind w:right="70"/>
              <w:spacing w:after="0" w:line="145" w:lineRule="exact"/>
              <w:rPr>
                <w:sz w:val="20"/>
                <w:szCs w:val="20"/>
                <w:color w:val="auto"/>
              </w:rPr>
            </w:pPr>
            <w:r>
              <w:rPr>
                <w:rFonts w:ascii="Times New Roman" w:cs="Times New Roman" w:eastAsia="Times New Roman" w:hAnsi="Times New Roman"/>
                <w:sz w:val="13"/>
                <w:szCs w:val="13"/>
                <w:b w:val="1"/>
                <w:bCs w:val="1"/>
                <w:color w:val="auto"/>
              </w:rPr>
              <w:t>Above</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21"/>
        </w:trPr>
        <w:tc>
          <w:tcPr>
            <w:tcW w:w="2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Issuer Name </w:t>
            </w:r>
            <w:r>
              <w:rPr>
                <w:rFonts w:ascii="Times New Roman" w:cs="Times New Roman" w:eastAsia="Times New Roman" w:hAnsi="Times New Roman"/>
                <w:sz w:val="16"/>
                <w:szCs w:val="16"/>
                <w:b w:val="1"/>
                <w:bCs w:val="1"/>
                <w:color w:val="auto"/>
                <w:vertAlign w:val="superscript"/>
              </w:rPr>
              <w:t>4,5</w:t>
            </w:r>
          </w:p>
        </w:tc>
        <w:tc>
          <w:tcPr>
            <w:tcW w:w="94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214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76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w w:val="99"/>
              </w:rPr>
              <w:t>Coupon</w:t>
            </w:r>
          </w:p>
        </w:tc>
        <w:tc>
          <w:tcPr>
            <w:tcW w:w="440" w:type="dxa"/>
            <w:vAlign w:val="bottom"/>
          </w:tcPr>
          <w:p>
            <w:pPr>
              <w:spacing w:after="0"/>
              <w:rPr>
                <w:sz w:val="19"/>
                <w:szCs w:val="19"/>
                <w:color w:val="auto"/>
              </w:rPr>
            </w:pPr>
          </w:p>
        </w:tc>
        <w:tc>
          <w:tcPr>
            <w:tcW w:w="92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8"/>
              </w:rPr>
              <w:t xml:space="preserve">Index </w:t>
            </w:r>
            <w:r>
              <w:rPr>
                <w:rFonts w:ascii="Times New Roman" w:cs="Times New Roman" w:eastAsia="Times New Roman" w:hAnsi="Times New Roman"/>
                <w:sz w:val="16"/>
                <w:szCs w:val="16"/>
                <w:b w:val="1"/>
                <w:bCs w:val="1"/>
                <w:color w:val="auto"/>
                <w:w w:val="98"/>
                <w:vertAlign w:val="superscript"/>
              </w:rPr>
              <w:t>1</w:t>
            </w:r>
          </w:p>
        </w:tc>
        <w:tc>
          <w:tcPr>
            <w:tcW w:w="760" w:type="dxa"/>
            <w:vAlign w:val="bottom"/>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Par</w:t>
            </w:r>
          </w:p>
        </w:tc>
        <w:tc>
          <w:tcPr>
            <w:tcW w:w="120" w:type="dxa"/>
            <w:vAlign w:val="bottom"/>
          </w:tcPr>
          <w:p>
            <w:pPr>
              <w:spacing w:after="0"/>
              <w:rPr>
                <w:sz w:val="19"/>
                <w:szCs w:val="19"/>
                <w:color w:val="auto"/>
              </w:rPr>
            </w:pPr>
          </w:p>
        </w:tc>
        <w:tc>
          <w:tcPr>
            <w:tcW w:w="440" w:type="dxa"/>
            <w:vAlign w:val="bottom"/>
          </w:tcPr>
          <w:p>
            <w:pPr>
              <w:jc w:val="right"/>
              <w:ind w:right="92"/>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9"/>
              </w:rPr>
              <w:t xml:space="preserve">Fair Value </w:t>
            </w:r>
            <w:r>
              <w:rPr>
                <w:rFonts w:ascii="Times New Roman" w:cs="Times New Roman" w:eastAsia="Times New Roman" w:hAnsi="Times New Roman"/>
                <w:sz w:val="16"/>
                <w:szCs w:val="16"/>
                <w:b w:val="1"/>
                <w:bCs w:val="1"/>
                <w:color w:val="auto"/>
                <w:w w:val="99"/>
                <w:vertAlign w:val="superscript"/>
              </w:rPr>
              <w:t>2</w:t>
            </w:r>
          </w:p>
        </w:tc>
      </w:tr>
      <w:tr>
        <w:trPr>
          <w:trHeight w:val="80"/>
        </w:trPr>
        <w:tc>
          <w:tcPr>
            <w:tcW w:w="28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Pequod Merger Sub, Inc.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12/2/2026</w:t>
            </w:r>
          </w:p>
        </w:tc>
        <w:tc>
          <w:tcPr>
            <w:tcW w:w="21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Banking, Finance, Insurance &amp; Real Estate</w:t>
            </w:r>
          </w:p>
        </w:tc>
        <w:tc>
          <w:tcPr>
            <w:tcW w:w="76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11.79 %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SOFR+640</w:t>
            </w:r>
          </w:p>
        </w:tc>
        <w:tc>
          <w:tcPr>
            <w:tcW w:w="76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11,474</w:t>
            </w:r>
          </w:p>
        </w:tc>
        <w:tc>
          <w:tcPr>
            <w:tcW w:w="1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11,267</w:t>
            </w:r>
          </w:p>
        </w:tc>
        <w:tc>
          <w:tcPr>
            <w:tcW w:w="3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11,244</w:t>
            </w:r>
          </w:p>
        </w:tc>
        <w:tc>
          <w:tcPr>
            <w:tcW w:w="80" w:type="dxa"/>
            <w:vAlign w:val="bottom"/>
            <w:shd w:val="clear" w:color="auto" w:fill="CCECFF"/>
          </w:tcPr>
          <w:p>
            <w:pPr>
              <w:spacing w:after="0"/>
              <w:rPr>
                <w:sz w:val="10"/>
                <w:szCs w:val="10"/>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11/9/2027</w:t>
            </w:r>
          </w:p>
        </w:tc>
        <w:tc>
          <w:tcPr>
            <w:tcW w:w="21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1"/>
              </w:rPr>
              <w:t>Retail</w:t>
            </w:r>
          </w:p>
        </w:tc>
        <w:tc>
          <w:tcPr>
            <w:tcW w:w="76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12.42 %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SOFR+700</w:t>
            </w: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7,930</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7,818</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7,137</w:t>
            </w:r>
          </w:p>
        </w:tc>
        <w:tc>
          <w:tcPr>
            <w:tcW w:w="80" w:type="dxa"/>
            <w:vAlign w:val="bottom"/>
          </w:tcPr>
          <w:p>
            <w:pPr>
              <w:spacing w:after="0"/>
              <w:rPr>
                <w:sz w:val="10"/>
                <w:szCs w:val="10"/>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PlayPower, Inc.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5/8/2026</w:t>
            </w:r>
          </w:p>
        </w:tc>
        <w:tc>
          <w:tcPr>
            <w:tcW w:w="21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76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10.92 %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SOFR+565</w:t>
            </w:r>
          </w:p>
        </w:tc>
        <w:tc>
          <w:tcPr>
            <w:tcW w:w="76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2,551</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2,481</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2,436</w:t>
            </w:r>
          </w:p>
        </w:tc>
        <w:tc>
          <w:tcPr>
            <w:tcW w:w="80" w:type="dxa"/>
            <w:vAlign w:val="bottom"/>
            <w:shd w:val="clear" w:color="auto" w:fill="CCECFF"/>
          </w:tcPr>
          <w:p>
            <w:pPr>
              <w:spacing w:after="0"/>
              <w:rPr>
                <w:sz w:val="10"/>
                <w:szCs w:val="10"/>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11/19/2026</w:t>
            </w:r>
          </w:p>
        </w:tc>
        <w:tc>
          <w:tcPr>
            <w:tcW w:w="21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6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11.74 %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SOFR+635</w:t>
            </w: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3,314</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3,267</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3,264</w:t>
            </w:r>
          </w:p>
        </w:tc>
        <w:tc>
          <w:tcPr>
            <w:tcW w:w="80" w:type="dxa"/>
            <w:vAlign w:val="bottom"/>
          </w:tcPr>
          <w:p>
            <w:pPr>
              <w:spacing w:after="0"/>
              <w:rPr>
                <w:sz w:val="10"/>
                <w:szCs w:val="10"/>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Radius Aerospace, Inc.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3/31/2025</w:t>
            </w:r>
          </w:p>
        </w:tc>
        <w:tc>
          <w:tcPr>
            <w:tcW w:w="21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6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11.29 %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SOFR+575</w:t>
            </w:r>
          </w:p>
        </w:tc>
        <w:tc>
          <w:tcPr>
            <w:tcW w:w="76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12,703</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12,641</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12,576</w:t>
            </w:r>
          </w:p>
        </w:tc>
        <w:tc>
          <w:tcPr>
            <w:tcW w:w="80" w:type="dxa"/>
            <w:vAlign w:val="bottom"/>
            <w:shd w:val="clear" w:color="auto" w:fill="CCECFF"/>
          </w:tcPr>
          <w:p>
            <w:pPr>
              <w:spacing w:after="0"/>
              <w:rPr>
                <w:sz w:val="10"/>
                <w:szCs w:val="10"/>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12/18/2025</w:t>
            </w:r>
          </w:p>
        </w:tc>
        <w:tc>
          <w:tcPr>
            <w:tcW w:w="21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6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11.22 %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SOFR+575</w:t>
            </w: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5,603</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5,603</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5,603</w:t>
            </w:r>
          </w:p>
        </w:tc>
        <w:tc>
          <w:tcPr>
            <w:tcW w:w="80" w:type="dxa"/>
            <w:vAlign w:val="bottom"/>
          </w:tcPr>
          <w:p>
            <w:pPr>
              <w:spacing w:after="0"/>
              <w:rPr>
                <w:sz w:val="10"/>
                <w:szCs w:val="10"/>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4/28/2028</w:t>
            </w:r>
          </w:p>
        </w:tc>
        <w:tc>
          <w:tcPr>
            <w:tcW w:w="21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8"/>
              </w:rPr>
              <w:t>Transportation</w:t>
            </w:r>
          </w:p>
        </w:tc>
        <w:tc>
          <w:tcPr>
            <w:tcW w:w="76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11.54 %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SOFR+615</w:t>
            </w:r>
          </w:p>
        </w:tc>
        <w:tc>
          <w:tcPr>
            <w:tcW w:w="76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5,000</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4,937</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4,800</w:t>
            </w:r>
          </w:p>
        </w:tc>
        <w:tc>
          <w:tcPr>
            <w:tcW w:w="80" w:type="dxa"/>
            <w:vAlign w:val="bottom"/>
            <w:shd w:val="clear" w:color="auto" w:fill="CCECFF"/>
          </w:tcPr>
          <w:p>
            <w:pPr>
              <w:spacing w:after="0"/>
              <w:rPr>
                <w:sz w:val="10"/>
                <w:szCs w:val="10"/>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1/29/2026</w:t>
            </w:r>
          </w:p>
        </w:tc>
        <w:tc>
          <w:tcPr>
            <w:tcW w:w="21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76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12.54 %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SOFR+700</w:t>
            </w: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9,750</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9,655</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9,458</w:t>
            </w:r>
          </w:p>
        </w:tc>
        <w:tc>
          <w:tcPr>
            <w:tcW w:w="80" w:type="dxa"/>
            <w:vAlign w:val="bottom"/>
          </w:tcPr>
          <w:p>
            <w:pPr>
              <w:spacing w:after="0"/>
              <w:rPr>
                <w:sz w:val="10"/>
                <w:szCs w:val="10"/>
                <w:color w:val="auto"/>
              </w:rPr>
            </w:pPr>
          </w:p>
        </w:tc>
      </w:tr>
      <w:tr>
        <w:trPr>
          <w:trHeight w:val="18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Research Now Group, LLC and Dynata,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12/20/2024</w:t>
            </w:r>
          </w:p>
        </w:tc>
        <w:tc>
          <w:tcPr>
            <w:tcW w:w="21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60" w:type="dxa"/>
            <w:vAlign w:val="bottom"/>
            <w:shd w:val="clear" w:color="auto" w:fill="CCECFF"/>
          </w:tcPr>
          <w:p>
            <w:pPr>
              <w:spacing w:after="0"/>
              <w:rPr>
                <w:sz w:val="15"/>
                <w:szCs w:val="15"/>
                <w:color w:val="auto"/>
              </w:rPr>
            </w:pPr>
          </w:p>
        </w:tc>
        <w:tc>
          <w:tcPr>
            <w:tcW w:w="440" w:type="dxa"/>
            <w:vAlign w:val="bottom"/>
            <w:shd w:val="clear" w:color="auto" w:fill="CCECFF"/>
          </w:tcPr>
          <w:p>
            <w:pPr>
              <w:jc w:val="right"/>
              <w:ind w:right="52"/>
              <w:spacing w:after="0" w:line="180" w:lineRule="exact"/>
              <w:rPr>
                <w:sz w:val="20"/>
                <w:szCs w:val="20"/>
                <w:color w:val="auto"/>
              </w:rPr>
            </w:pPr>
            <w:r>
              <w:rPr>
                <w:rFonts w:ascii="Times New Roman" w:cs="Times New Roman" w:eastAsia="Times New Roman" w:hAnsi="Times New Roman"/>
                <w:sz w:val="10"/>
                <w:szCs w:val="10"/>
                <w:color w:val="auto"/>
                <w:w w:val="89"/>
              </w:rPr>
              <w:t xml:space="preserve">11.13 </w:t>
            </w:r>
            <w:r>
              <w:rPr>
                <w:rFonts w:ascii="Times New Roman" w:cs="Times New Roman" w:eastAsia="Times New Roman" w:hAnsi="Times New Roman"/>
                <w:sz w:val="19"/>
                <w:szCs w:val="19"/>
                <w:color w:val="auto"/>
                <w:w w:val="89"/>
                <w:vertAlign w:val="superscript"/>
              </w:rPr>
              <w:t>%</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SOFR+576</w:t>
            </w:r>
          </w:p>
        </w:tc>
        <w:tc>
          <w:tcPr>
            <w:tcW w:w="76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14,389</w:t>
            </w:r>
          </w:p>
        </w:tc>
        <w:tc>
          <w:tcPr>
            <w:tcW w:w="120" w:type="dxa"/>
            <w:vAlign w:val="bottom"/>
            <w:shd w:val="clear" w:color="auto" w:fill="CCECFF"/>
          </w:tcPr>
          <w:p>
            <w:pPr>
              <w:spacing w:after="0"/>
              <w:rPr>
                <w:sz w:val="15"/>
                <w:szCs w:val="15"/>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14,332</w:t>
            </w:r>
          </w:p>
        </w:tc>
        <w:tc>
          <w:tcPr>
            <w:tcW w:w="2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12,591</w:t>
            </w:r>
          </w:p>
        </w:tc>
        <w:tc>
          <w:tcPr>
            <w:tcW w:w="80" w:type="dxa"/>
            <w:vAlign w:val="bottom"/>
            <w:shd w:val="clear" w:color="auto" w:fill="CCECFF"/>
          </w:tcPr>
          <w:p>
            <w:pPr>
              <w:spacing w:after="0"/>
              <w:rPr>
                <w:sz w:val="15"/>
                <w:szCs w:val="15"/>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Riverpoint Medical,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6/20/2025</w:t>
            </w:r>
          </w:p>
        </w:tc>
        <w:tc>
          <w:tcPr>
            <w:tcW w:w="21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6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10.54 %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SOFR+515</w:t>
            </w: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3,176</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3,162</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3,131</w:t>
            </w:r>
          </w:p>
        </w:tc>
        <w:tc>
          <w:tcPr>
            <w:tcW w:w="80" w:type="dxa"/>
            <w:vAlign w:val="bottom"/>
          </w:tcPr>
          <w:p>
            <w:pPr>
              <w:spacing w:after="0"/>
              <w:rPr>
                <w:sz w:val="10"/>
                <w:szCs w:val="10"/>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Riverside Assessments,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3/10/2025</w:t>
            </w:r>
          </w:p>
        </w:tc>
        <w:tc>
          <w:tcPr>
            <w:tcW w:w="21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3"/>
              </w:rPr>
              <w:t>Education</w:t>
            </w:r>
          </w:p>
        </w:tc>
        <w:tc>
          <w:tcPr>
            <w:tcW w:w="76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11.29 %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SOFR+575</w:t>
            </w:r>
          </w:p>
        </w:tc>
        <w:tc>
          <w:tcPr>
            <w:tcW w:w="76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10,895</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10,834</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10,786</w:t>
            </w:r>
          </w:p>
        </w:tc>
        <w:tc>
          <w:tcPr>
            <w:tcW w:w="80" w:type="dxa"/>
            <w:vAlign w:val="bottom"/>
            <w:shd w:val="clear" w:color="auto" w:fill="CCECFF"/>
          </w:tcPr>
          <w:p>
            <w:pPr>
              <w:spacing w:after="0"/>
              <w:rPr>
                <w:sz w:val="10"/>
                <w:szCs w:val="10"/>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6/16/2029</w:t>
            </w:r>
          </w:p>
        </w:tc>
        <w:tc>
          <w:tcPr>
            <w:tcW w:w="21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6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11.52 %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SOFR+625</w:t>
            </w: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3,749</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3,678</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3,692</w:t>
            </w:r>
          </w:p>
        </w:tc>
        <w:tc>
          <w:tcPr>
            <w:tcW w:w="80" w:type="dxa"/>
            <w:vAlign w:val="bottom"/>
          </w:tcPr>
          <w:p>
            <w:pPr>
              <w:spacing w:after="0"/>
              <w:rPr>
                <w:sz w:val="10"/>
                <w:szCs w:val="10"/>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1/3/2025</w:t>
            </w:r>
          </w:p>
        </w:tc>
        <w:tc>
          <w:tcPr>
            <w:tcW w:w="21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6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11.59 %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SOFR+600</w:t>
            </w:r>
          </w:p>
        </w:tc>
        <w:tc>
          <w:tcPr>
            <w:tcW w:w="76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6,859</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6,815</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6,825</w:t>
            </w:r>
          </w:p>
        </w:tc>
        <w:tc>
          <w:tcPr>
            <w:tcW w:w="80" w:type="dxa"/>
            <w:vAlign w:val="bottom"/>
            <w:shd w:val="clear" w:color="auto" w:fill="CCECFF"/>
          </w:tcPr>
          <w:p>
            <w:pPr>
              <w:spacing w:after="0"/>
              <w:rPr>
                <w:sz w:val="10"/>
                <w:szCs w:val="10"/>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12/20/2024</w:t>
            </w:r>
          </w:p>
        </w:tc>
        <w:tc>
          <w:tcPr>
            <w:tcW w:w="21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3"/>
              </w:rPr>
              <w:t>Electronics</w:t>
            </w:r>
          </w:p>
        </w:tc>
        <w:tc>
          <w:tcPr>
            <w:tcW w:w="76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12.92 %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SOFR+750</w:t>
            </w: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4,872</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4,872</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4,823</w:t>
            </w:r>
          </w:p>
        </w:tc>
        <w:tc>
          <w:tcPr>
            <w:tcW w:w="80" w:type="dxa"/>
            <w:vAlign w:val="bottom"/>
          </w:tcPr>
          <w:p>
            <w:pPr>
              <w:spacing w:after="0"/>
              <w:rPr>
                <w:sz w:val="10"/>
                <w:szCs w:val="10"/>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6/13/2029</w:t>
            </w:r>
          </w:p>
        </w:tc>
        <w:tc>
          <w:tcPr>
            <w:tcW w:w="21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76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11.54 %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SOFR+605</w:t>
            </w:r>
          </w:p>
        </w:tc>
        <w:tc>
          <w:tcPr>
            <w:tcW w:w="76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14,850</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14,633</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14,405</w:t>
            </w:r>
          </w:p>
        </w:tc>
        <w:tc>
          <w:tcPr>
            <w:tcW w:w="80" w:type="dxa"/>
            <w:vAlign w:val="bottom"/>
            <w:shd w:val="clear" w:color="auto" w:fill="CCECFF"/>
          </w:tcPr>
          <w:p>
            <w:pPr>
              <w:spacing w:after="0"/>
              <w:rPr>
                <w:sz w:val="10"/>
                <w:szCs w:val="10"/>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Signature Systems Holding Company</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5/3/2024</w:t>
            </w:r>
          </w:p>
        </w:tc>
        <w:tc>
          <w:tcPr>
            <w:tcW w:w="21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76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12.04 %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SOFR+650</w:t>
            </w: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11,201</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11,173</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11,201</w:t>
            </w:r>
          </w:p>
        </w:tc>
        <w:tc>
          <w:tcPr>
            <w:tcW w:w="80" w:type="dxa"/>
            <w:vAlign w:val="bottom"/>
          </w:tcPr>
          <w:p>
            <w:pPr>
              <w:spacing w:after="0"/>
              <w:rPr>
                <w:sz w:val="10"/>
                <w:szCs w:val="10"/>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Skopima Consilio Parent,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5/17/2028</w:t>
            </w:r>
          </w:p>
        </w:tc>
        <w:tc>
          <w:tcPr>
            <w:tcW w:w="21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6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9.93 %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SOFR+450</w:t>
            </w:r>
          </w:p>
        </w:tc>
        <w:tc>
          <w:tcPr>
            <w:tcW w:w="76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1,300</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1,274</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1,272</w:t>
            </w:r>
          </w:p>
        </w:tc>
        <w:tc>
          <w:tcPr>
            <w:tcW w:w="80" w:type="dxa"/>
            <w:vAlign w:val="bottom"/>
            <w:shd w:val="clear" w:color="auto" w:fill="CCECFF"/>
          </w:tcPr>
          <w:p>
            <w:pPr>
              <w:spacing w:after="0"/>
              <w:rPr>
                <w:sz w:val="10"/>
                <w:szCs w:val="10"/>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7/17/2025</w:t>
            </w:r>
          </w:p>
        </w:tc>
        <w:tc>
          <w:tcPr>
            <w:tcW w:w="21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6"/>
              </w:rPr>
              <w:t>Communications</w:t>
            </w:r>
          </w:p>
        </w:tc>
        <w:tc>
          <w:tcPr>
            <w:tcW w:w="76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12.37 %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SOFR+715</w:t>
            </w: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9,239</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9,206</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9,202</w:t>
            </w:r>
          </w:p>
        </w:tc>
        <w:tc>
          <w:tcPr>
            <w:tcW w:w="80" w:type="dxa"/>
            <w:vAlign w:val="bottom"/>
          </w:tcPr>
          <w:p>
            <w:pPr>
              <w:spacing w:after="0"/>
              <w:rPr>
                <w:sz w:val="10"/>
                <w:szCs w:val="10"/>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3/1/2028</w:t>
            </w:r>
          </w:p>
        </w:tc>
        <w:tc>
          <w:tcPr>
            <w:tcW w:w="21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6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11.04 %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SOFR+565</w:t>
            </w:r>
          </w:p>
        </w:tc>
        <w:tc>
          <w:tcPr>
            <w:tcW w:w="76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9,607</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9,352</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9,396</w:t>
            </w:r>
          </w:p>
        </w:tc>
        <w:tc>
          <w:tcPr>
            <w:tcW w:w="80" w:type="dxa"/>
            <w:vAlign w:val="bottom"/>
            <w:shd w:val="clear" w:color="auto" w:fill="CCECFF"/>
          </w:tcPr>
          <w:p>
            <w:pPr>
              <w:spacing w:after="0"/>
              <w:rPr>
                <w:sz w:val="10"/>
                <w:szCs w:val="10"/>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STV Group Incorporated</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12/11/2026</w:t>
            </w:r>
          </w:p>
        </w:tc>
        <w:tc>
          <w:tcPr>
            <w:tcW w:w="21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8"/>
              </w:rPr>
              <w:t>Transportation</w:t>
            </w:r>
          </w:p>
        </w:tc>
        <w:tc>
          <w:tcPr>
            <w:tcW w:w="76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10.67 %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SOFR+535</w:t>
            </w: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12,099</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12,045</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11,857</w:t>
            </w:r>
          </w:p>
        </w:tc>
        <w:tc>
          <w:tcPr>
            <w:tcW w:w="80" w:type="dxa"/>
            <w:vAlign w:val="bottom"/>
          </w:tcPr>
          <w:p>
            <w:pPr>
              <w:spacing w:after="0"/>
              <w:rPr>
                <w:sz w:val="10"/>
                <w:szCs w:val="10"/>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11/24/2028</w:t>
            </w:r>
          </w:p>
        </w:tc>
        <w:tc>
          <w:tcPr>
            <w:tcW w:w="21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6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10.43 %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SOFR+475</w:t>
            </w:r>
          </w:p>
        </w:tc>
        <w:tc>
          <w:tcPr>
            <w:tcW w:w="76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3,572</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3,389</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3,559</w:t>
            </w:r>
          </w:p>
        </w:tc>
        <w:tc>
          <w:tcPr>
            <w:tcW w:w="80" w:type="dxa"/>
            <w:vAlign w:val="bottom"/>
            <w:shd w:val="clear" w:color="auto" w:fill="CCECFF"/>
          </w:tcPr>
          <w:p>
            <w:pPr>
              <w:spacing w:after="0"/>
              <w:rPr>
                <w:sz w:val="10"/>
                <w:szCs w:val="10"/>
                <w:color w:val="auto"/>
              </w:rPr>
            </w:pPr>
          </w:p>
        </w:tc>
      </w:tr>
      <w:tr>
        <w:trPr>
          <w:trHeight w:val="121"/>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(f/k/a Management Consulting</w:t>
            </w:r>
          </w:p>
        </w:tc>
        <w:tc>
          <w:tcPr>
            <w:tcW w:w="9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&amp; Research,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8/16/2027</w:t>
            </w:r>
          </w:p>
        </w:tc>
        <w:tc>
          <w:tcPr>
            <w:tcW w:w="21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6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11.49 %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SOFR+600</w:t>
            </w: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15,966</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15,695</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15,790</w:t>
            </w:r>
          </w:p>
        </w:tc>
        <w:tc>
          <w:tcPr>
            <w:tcW w:w="80" w:type="dxa"/>
            <w:vAlign w:val="bottom"/>
          </w:tcPr>
          <w:p>
            <w:pPr>
              <w:spacing w:after="0"/>
              <w:rPr>
                <w:sz w:val="10"/>
                <w:szCs w:val="10"/>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11/24/2028</w:t>
            </w:r>
          </w:p>
        </w:tc>
        <w:tc>
          <w:tcPr>
            <w:tcW w:w="21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6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10.75 %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SOFR+515</w:t>
            </w:r>
          </w:p>
        </w:tc>
        <w:tc>
          <w:tcPr>
            <w:tcW w:w="76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2,688</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2,584</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2,627</w:t>
            </w:r>
          </w:p>
        </w:tc>
        <w:tc>
          <w:tcPr>
            <w:tcW w:w="80" w:type="dxa"/>
            <w:vAlign w:val="bottom"/>
            <w:shd w:val="clear" w:color="auto" w:fill="CCECFF"/>
          </w:tcPr>
          <w:p>
            <w:pPr>
              <w:spacing w:after="0"/>
              <w:rPr>
                <w:sz w:val="10"/>
                <w:szCs w:val="10"/>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Teneo Holdings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7/18/2025</w:t>
            </w:r>
          </w:p>
        </w:tc>
        <w:tc>
          <w:tcPr>
            <w:tcW w:w="21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76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10.67 %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SOFR+535</w:t>
            </w: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2,936</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2,927</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2,931</w:t>
            </w:r>
          </w:p>
        </w:tc>
        <w:tc>
          <w:tcPr>
            <w:tcW w:w="80" w:type="dxa"/>
            <w:vAlign w:val="bottom"/>
          </w:tcPr>
          <w:p>
            <w:pPr>
              <w:spacing w:after="0"/>
              <w:rPr>
                <w:sz w:val="10"/>
                <w:szCs w:val="10"/>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Aegis Technologies Group,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10/31/2025</w:t>
            </w:r>
          </w:p>
        </w:tc>
        <w:tc>
          <w:tcPr>
            <w:tcW w:w="21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6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12.04 %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SOFR+665</w:t>
            </w:r>
          </w:p>
        </w:tc>
        <w:tc>
          <w:tcPr>
            <w:tcW w:w="76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11,095</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11,008</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10,929</w:t>
            </w:r>
          </w:p>
        </w:tc>
        <w:tc>
          <w:tcPr>
            <w:tcW w:w="80" w:type="dxa"/>
            <w:vAlign w:val="bottom"/>
            <w:shd w:val="clear" w:color="auto" w:fill="CCECFF"/>
          </w:tcPr>
          <w:p>
            <w:pPr>
              <w:spacing w:after="0"/>
              <w:rPr>
                <w:sz w:val="10"/>
                <w:szCs w:val="10"/>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7/27/2026</w:t>
            </w:r>
          </w:p>
        </w:tc>
        <w:tc>
          <w:tcPr>
            <w:tcW w:w="21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6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12.79 %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SOFR+740</w:t>
            </w: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7,855</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7,872</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7,823</w:t>
            </w:r>
          </w:p>
        </w:tc>
        <w:tc>
          <w:tcPr>
            <w:tcW w:w="80" w:type="dxa"/>
            <w:vAlign w:val="bottom"/>
          </w:tcPr>
          <w:p>
            <w:pPr>
              <w:spacing w:after="0"/>
              <w:rPr>
                <w:sz w:val="10"/>
                <w:szCs w:val="10"/>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8/31/2027</w:t>
            </w:r>
          </w:p>
        </w:tc>
        <w:tc>
          <w:tcPr>
            <w:tcW w:w="21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6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11.70 %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SOFR+635</w:t>
            </w:r>
          </w:p>
        </w:tc>
        <w:tc>
          <w:tcPr>
            <w:tcW w:w="76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7,690</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7,596</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7,628</w:t>
            </w:r>
          </w:p>
        </w:tc>
        <w:tc>
          <w:tcPr>
            <w:tcW w:w="80" w:type="dxa"/>
            <w:vAlign w:val="bottom"/>
            <w:shd w:val="clear" w:color="auto" w:fill="CCECFF"/>
          </w:tcPr>
          <w:p>
            <w:pPr>
              <w:spacing w:after="0"/>
              <w:rPr>
                <w:sz w:val="10"/>
                <w:szCs w:val="10"/>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TPC Canada Parent, Inc. and TPC US Parent,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11/24/2025</w:t>
            </w:r>
          </w:p>
        </w:tc>
        <w:tc>
          <w:tcPr>
            <w:tcW w:w="214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7"/>
              </w:rPr>
              <w:t>Food</w:t>
            </w:r>
          </w:p>
        </w:tc>
        <w:tc>
          <w:tcPr>
            <w:tcW w:w="76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10.68 %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SOFR+550</w:t>
            </w: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5,479</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5,378</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5,479</w:t>
            </w:r>
          </w:p>
        </w:tc>
        <w:tc>
          <w:tcPr>
            <w:tcW w:w="80" w:type="dxa"/>
            <w:vAlign w:val="bottom"/>
          </w:tcPr>
          <w:p>
            <w:pPr>
              <w:spacing w:after="0"/>
              <w:rPr>
                <w:sz w:val="10"/>
                <w:szCs w:val="10"/>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6/6/2025</w:t>
            </w:r>
          </w:p>
        </w:tc>
        <w:tc>
          <w:tcPr>
            <w:tcW w:w="21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3"/>
              </w:rPr>
              <w:t>Education</w:t>
            </w:r>
          </w:p>
        </w:tc>
        <w:tc>
          <w:tcPr>
            <w:tcW w:w="76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11.80 %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SOFR+625</w:t>
            </w:r>
          </w:p>
        </w:tc>
        <w:tc>
          <w:tcPr>
            <w:tcW w:w="76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7,177</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7,161</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7,177</w:t>
            </w:r>
          </w:p>
        </w:tc>
        <w:tc>
          <w:tcPr>
            <w:tcW w:w="80" w:type="dxa"/>
            <w:vAlign w:val="bottom"/>
            <w:shd w:val="clear" w:color="auto" w:fill="CCECFF"/>
          </w:tcPr>
          <w:p>
            <w:pPr>
              <w:spacing w:after="0"/>
              <w:rPr>
                <w:sz w:val="10"/>
                <w:szCs w:val="10"/>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4/3/2028</w:t>
            </w:r>
          </w:p>
        </w:tc>
        <w:tc>
          <w:tcPr>
            <w:tcW w:w="21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6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10.90 %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SOFR+550</w:t>
            </w: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11,393</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11,285</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10,391</w:t>
            </w:r>
          </w:p>
        </w:tc>
        <w:tc>
          <w:tcPr>
            <w:tcW w:w="80" w:type="dxa"/>
            <w:vAlign w:val="bottom"/>
          </w:tcPr>
          <w:p>
            <w:pPr>
              <w:spacing w:after="0"/>
              <w:rPr>
                <w:sz w:val="10"/>
                <w:szCs w:val="10"/>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6/15/2026</w:t>
            </w:r>
          </w:p>
        </w:tc>
        <w:tc>
          <w:tcPr>
            <w:tcW w:w="21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6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5"/>
              </w:rPr>
              <w:t>11.79 %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SOFR+625</w:t>
            </w:r>
          </w:p>
        </w:tc>
        <w:tc>
          <w:tcPr>
            <w:tcW w:w="76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3,860</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3,792</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3,780</w:t>
            </w:r>
          </w:p>
        </w:tc>
        <w:tc>
          <w:tcPr>
            <w:tcW w:w="80" w:type="dxa"/>
            <w:vAlign w:val="bottom"/>
            <w:shd w:val="clear" w:color="auto" w:fill="CCECFF"/>
          </w:tcPr>
          <w:p>
            <w:pPr>
              <w:spacing w:after="0"/>
              <w:rPr>
                <w:sz w:val="10"/>
                <w:szCs w:val="10"/>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2/27/2026</w:t>
            </w:r>
          </w:p>
        </w:tc>
        <w:tc>
          <w:tcPr>
            <w:tcW w:w="214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auto"/>
                <w:w w:val="93"/>
              </w:rPr>
              <w:t>Electronics</w:t>
            </w:r>
          </w:p>
        </w:tc>
        <w:tc>
          <w:tcPr>
            <w:tcW w:w="760" w:type="dxa"/>
            <w:vAlign w:val="bottom"/>
          </w:tcPr>
          <w:p>
            <w:pPr>
              <w:spacing w:after="0"/>
              <w:rPr>
                <w:sz w:val="10"/>
                <w:szCs w:val="10"/>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10.54 %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SOFR+515</w:t>
            </w: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11,386</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11,323</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11,272</w:t>
            </w:r>
          </w:p>
        </w:tc>
        <w:tc>
          <w:tcPr>
            <w:tcW w:w="80" w:type="dxa"/>
            <w:vAlign w:val="bottom"/>
          </w:tcPr>
          <w:p>
            <w:pPr>
              <w:spacing w:after="0"/>
              <w:rPr>
                <w:sz w:val="10"/>
                <w:szCs w:val="10"/>
                <w:color w:val="auto"/>
              </w:rPr>
            </w:pPr>
          </w:p>
        </w:tc>
      </w:tr>
      <w:tr>
        <w:trPr>
          <w:trHeight w:val="18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3/1/2024</w:t>
            </w:r>
          </w:p>
        </w:tc>
        <w:tc>
          <w:tcPr>
            <w:tcW w:w="2140" w:type="dxa"/>
            <w:vAlign w:val="bottom"/>
            <w:shd w:val="clear" w:color="auto" w:fill="CCECFF"/>
          </w:tcPr>
          <w:p>
            <w:pPr>
              <w:jc w:val="center"/>
              <w:ind w:right="31"/>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60" w:type="dxa"/>
            <w:vAlign w:val="bottom"/>
            <w:shd w:val="clear" w:color="auto" w:fill="CCECFF"/>
          </w:tcPr>
          <w:p>
            <w:pPr>
              <w:spacing w:after="0"/>
              <w:rPr>
                <w:sz w:val="15"/>
                <w:szCs w:val="15"/>
                <w:color w:val="auto"/>
              </w:rPr>
            </w:pPr>
          </w:p>
        </w:tc>
        <w:tc>
          <w:tcPr>
            <w:tcW w:w="440" w:type="dxa"/>
            <w:vAlign w:val="bottom"/>
            <w:shd w:val="clear" w:color="auto" w:fill="CCECFF"/>
          </w:tcPr>
          <w:p>
            <w:pPr>
              <w:jc w:val="right"/>
              <w:ind w:right="52"/>
              <w:spacing w:after="0" w:line="180" w:lineRule="exact"/>
              <w:rPr>
                <w:sz w:val="20"/>
                <w:szCs w:val="20"/>
                <w:color w:val="auto"/>
              </w:rPr>
            </w:pPr>
            <w:r>
              <w:rPr>
                <w:rFonts w:ascii="Times New Roman" w:cs="Times New Roman" w:eastAsia="Times New Roman" w:hAnsi="Times New Roman"/>
                <w:sz w:val="10"/>
                <w:szCs w:val="10"/>
                <w:color w:val="auto"/>
                <w:w w:val="89"/>
              </w:rPr>
              <w:t xml:space="preserve">12.67 </w:t>
            </w:r>
            <w:r>
              <w:rPr>
                <w:rFonts w:ascii="Times New Roman" w:cs="Times New Roman" w:eastAsia="Times New Roman" w:hAnsi="Times New Roman"/>
                <w:sz w:val="19"/>
                <w:szCs w:val="19"/>
                <w:color w:val="auto"/>
                <w:w w:val="89"/>
                <w:vertAlign w:val="subscript"/>
              </w:rPr>
              <w:t>%</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SOFR+735</w:t>
            </w:r>
          </w:p>
        </w:tc>
        <w:tc>
          <w:tcPr>
            <w:tcW w:w="76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19,682</w:t>
            </w:r>
          </w:p>
        </w:tc>
        <w:tc>
          <w:tcPr>
            <w:tcW w:w="120" w:type="dxa"/>
            <w:vAlign w:val="bottom"/>
            <w:shd w:val="clear" w:color="auto" w:fill="CCECFF"/>
          </w:tcPr>
          <w:p>
            <w:pPr>
              <w:spacing w:after="0"/>
              <w:rPr>
                <w:sz w:val="15"/>
                <w:szCs w:val="15"/>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19,581</w:t>
            </w:r>
          </w:p>
        </w:tc>
        <w:tc>
          <w:tcPr>
            <w:tcW w:w="2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19,042</w:t>
            </w:r>
          </w:p>
        </w:tc>
        <w:tc>
          <w:tcPr>
            <w:tcW w:w="80" w:type="dxa"/>
            <w:vAlign w:val="bottom"/>
            <w:shd w:val="clear" w:color="auto" w:fill="CCECFF"/>
          </w:tcPr>
          <w:p>
            <w:pPr>
              <w:spacing w:after="0"/>
              <w:rPr>
                <w:sz w:val="15"/>
                <w:szCs w:val="15"/>
                <w:color w:val="auto"/>
              </w:rPr>
            </w:pPr>
          </w:p>
        </w:tc>
      </w:tr>
      <w:tr>
        <w:trPr>
          <w:trHeight w:val="120"/>
        </w:trPr>
        <w:tc>
          <w:tcPr>
            <w:tcW w:w="2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280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214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44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9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810,737</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804,187</w:t>
            </w:r>
          </w:p>
        </w:tc>
        <w:tc>
          <w:tcPr>
            <w:tcW w:w="80" w:type="dxa"/>
            <w:vAlign w:val="bottom"/>
          </w:tcPr>
          <w:p>
            <w:pPr>
              <w:spacing w:after="0"/>
              <w:rPr>
                <w:sz w:val="10"/>
                <w:szCs w:val="10"/>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- 783.7%</w:t>
            </w:r>
          </w:p>
        </w:tc>
        <w:tc>
          <w:tcPr>
            <w:tcW w:w="940" w:type="dxa"/>
            <w:vAlign w:val="bottom"/>
            <w:shd w:val="clear" w:color="auto" w:fill="CCECFF"/>
          </w:tcPr>
          <w:p>
            <w:pPr>
              <w:spacing w:after="0"/>
              <w:rPr>
                <w:sz w:val="10"/>
                <w:szCs w:val="10"/>
                <w:color w:val="auto"/>
              </w:rPr>
            </w:pPr>
          </w:p>
        </w:tc>
        <w:tc>
          <w:tcPr>
            <w:tcW w:w="214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44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- 57.6%</w:t>
            </w:r>
          </w:p>
        </w:tc>
        <w:tc>
          <w:tcPr>
            <w:tcW w:w="9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940" w:type="dxa"/>
            <w:vAlign w:val="bottom"/>
            <w:shd w:val="clear" w:color="auto" w:fill="CCECFF"/>
          </w:tcPr>
          <w:p>
            <w:pPr>
              <w:spacing w:after="0"/>
              <w:rPr>
                <w:sz w:val="10"/>
                <w:szCs w:val="10"/>
                <w:color w:val="auto"/>
              </w:rPr>
            </w:pPr>
          </w:p>
        </w:tc>
        <w:tc>
          <w:tcPr>
            <w:tcW w:w="214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44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80" w:type="dxa"/>
            <w:vAlign w:val="bottom"/>
            <w:shd w:val="clear" w:color="auto" w:fill="CCECFF"/>
          </w:tcPr>
          <w:p>
            <w:pPr>
              <w:spacing w:after="0"/>
              <w:rPr>
                <w:sz w:val="10"/>
                <w:szCs w:val="10"/>
                <w:color w:val="auto"/>
              </w:rPr>
            </w:pPr>
          </w:p>
        </w:tc>
      </w:tr>
      <w:tr>
        <w:trPr>
          <w:trHeight w:val="12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9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80" w:type="dxa"/>
            <w:vAlign w:val="bottom"/>
          </w:tcPr>
          <w:p>
            <w:pPr>
              <w:spacing w:after="0"/>
              <w:rPr>
                <w:sz w:val="10"/>
                <w:szCs w:val="10"/>
                <w:color w:val="auto"/>
              </w:rPr>
            </w:pPr>
          </w:p>
        </w:tc>
      </w:tr>
      <w:tr>
        <w:trPr>
          <w:trHeight w:val="160"/>
        </w:trPr>
        <w:tc>
          <w:tcPr>
            <w:tcW w:w="2800" w:type="dxa"/>
            <w:vAlign w:val="bottom"/>
            <w:tcBorders>
              <w:bottom w:val="single" w:sz="8" w:color="CCECFF"/>
            </w:tcBorders>
            <w:shd w:val="clear" w:color="auto" w:fill="CCEC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Total Investments and Cash Equivalents - 841.3%</w:t>
            </w:r>
          </w:p>
        </w:tc>
        <w:tc>
          <w:tcPr>
            <w:tcW w:w="940" w:type="dxa"/>
            <w:vAlign w:val="bottom"/>
            <w:tcBorders>
              <w:bottom w:val="single" w:sz="8" w:color="CCECFF"/>
            </w:tcBorders>
            <w:shd w:val="clear" w:color="auto" w:fill="CCECFF"/>
          </w:tcPr>
          <w:p>
            <w:pPr>
              <w:spacing w:after="0"/>
              <w:rPr>
                <w:sz w:val="13"/>
                <w:szCs w:val="13"/>
                <w:color w:val="auto"/>
              </w:rPr>
            </w:pPr>
          </w:p>
        </w:tc>
        <w:tc>
          <w:tcPr>
            <w:tcW w:w="2140" w:type="dxa"/>
            <w:vAlign w:val="bottom"/>
            <w:tcBorders>
              <w:bottom w:val="single" w:sz="8" w:color="CCECFF"/>
            </w:tcBorders>
            <w:shd w:val="clear" w:color="auto" w:fill="CCECFF"/>
          </w:tcPr>
          <w:p>
            <w:pPr>
              <w:spacing w:after="0"/>
              <w:rPr>
                <w:sz w:val="13"/>
                <w:szCs w:val="13"/>
                <w:color w:val="auto"/>
              </w:rPr>
            </w:pPr>
          </w:p>
        </w:tc>
        <w:tc>
          <w:tcPr>
            <w:tcW w:w="760" w:type="dxa"/>
            <w:vAlign w:val="bottom"/>
            <w:tcBorders>
              <w:bottom w:val="single" w:sz="8" w:color="CCECFF"/>
            </w:tcBorders>
            <w:shd w:val="clear" w:color="auto" w:fill="CCECFF"/>
          </w:tcPr>
          <w:p>
            <w:pPr>
              <w:spacing w:after="0"/>
              <w:rPr>
                <w:sz w:val="13"/>
                <w:szCs w:val="13"/>
                <w:color w:val="auto"/>
              </w:rPr>
            </w:pPr>
          </w:p>
        </w:tc>
        <w:tc>
          <w:tcPr>
            <w:tcW w:w="440" w:type="dxa"/>
            <w:vAlign w:val="bottom"/>
            <w:tcBorders>
              <w:bottom w:val="single" w:sz="8" w:color="CCECFF"/>
            </w:tcBorders>
            <w:shd w:val="clear" w:color="auto" w:fill="CCECFF"/>
          </w:tcPr>
          <w:p>
            <w:pPr>
              <w:spacing w:after="0"/>
              <w:rPr>
                <w:sz w:val="13"/>
                <w:szCs w:val="13"/>
                <w:color w:val="auto"/>
              </w:rPr>
            </w:pPr>
          </w:p>
        </w:tc>
        <w:tc>
          <w:tcPr>
            <w:tcW w:w="920" w:type="dxa"/>
            <w:vAlign w:val="bottom"/>
            <w:tcBorders>
              <w:bottom w:val="single" w:sz="8" w:color="CCECFF"/>
            </w:tcBorders>
            <w:shd w:val="clear" w:color="auto" w:fill="CCECFF"/>
          </w:tcPr>
          <w:p>
            <w:pPr>
              <w:spacing w:after="0"/>
              <w:rPr>
                <w:sz w:val="13"/>
                <w:szCs w:val="13"/>
                <w:color w:val="auto"/>
              </w:rPr>
            </w:pPr>
          </w:p>
        </w:tc>
        <w:tc>
          <w:tcPr>
            <w:tcW w:w="76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869,833</w:t>
            </w:r>
          </w:p>
        </w:tc>
        <w:tc>
          <w:tcPr>
            <w:tcW w:w="20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863,283</w:t>
            </w:r>
          </w:p>
        </w:tc>
        <w:tc>
          <w:tcPr>
            <w:tcW w:w="80" w:type="dxa"/>
            <w:vAlign w:val="bottom"/>
            <w:tcBorders>
              <w:bottom w:val="single" w:sz="8" w:color="CCECFF"/>
            </w:tcBorders>
            <w:shd w:val="clear" w:color="auto" w:fill="CCECFF"/>
          </w:tcPr>
          <w:p>
            <w:pPr>
              <w:spacing w:after="0"/>
              <w:rPr>
                <w:sz w:val="13"/>
                <w:szCs w:val="13"/>
                <w:color w:val="auto"/>
              </w:rPr>
            </w:pPr>
          </w:p>
        </w:tc>
      </w:tr>
      <w:tr>
        <w:trPr>
          <w:trHeight w:val="96"/>
        </w:trPr>
        <w:tc>
          <w:tcPr>
            <w:tcW w:w="2800" w:type="dxa"/>
            <w:vAlign w:val="bottom"/>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rPr>
              <w:t>Liabilities in Excess of Other Assets — (741.3)%</w:t>
            </w:r>
          </w:p>
        </w:tc>
        <w:tc>
          <w:tcPr>
            <w:tcW w:w="9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tcPr>
          <w:p>
            <w:pPr>
              <w:jc w:val="right"/>
              <w:ind w:right="40"/>
              <w:spacing w:after="0" w:line="96" w:lineRule="exact"/>
              <w:rPr>
                <w:sz w:val="20"/>
                <w:szCs w:val="20"/>
                <w:color w:val="auto"/>
              </w:rPr>
            </w:pPr>
            <w:r>
              <w:rPr>
                <w:rFonts w:ascii="Times New Roman" w:cs="Times New Roman" w:eastAsia="Times New Roman" w:hAnsi="Times New Roman"/>
                <w:sz w:val="10"/>
                <w:szCs w:val="10"/>
                <w:color w:val="auto"/>
              </w:rPr>
              <w:t>(760,665 )</w:t>
            </w:r>
          </w:p>
        </w:tc>
      </w:tr>
      <w:tr>
        <w:trPr>
          <w:trHeight w:val="160"/>
        </w:trPr>
        <w:tc>
          <w:tcPr>
            <w:tcW w:w="2800" w:type="dxa"/>
            <w:vAlign w:val="bottom"/>
            <w:tcBorders>
              <w:bottom w:val="single" w:sz="8" w:color="CCECFF"/>
            </w:tcBorders>
            <w:shd w:val="clear" w:color="auto" w:fill="CCEC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Members' Equity—100.0%</w:t>
            </w:r>
          </w:p>
        </w:tc>
        <w:tc>
          <w:tcPr>
            <w:tcW w:w="940" w:type="dxa"/>
            <w:vAlign w:val="bottom"/>
            <w:tcBorders>
              <w:bottom w:val="single" w:sz="8" w:color="CCECFF"/>
            </w:tcBorders>
            <w:shd w:val="clear" w:color="auto" w:fill="CCECFF"/>
          </w:tcPr>
          <w:p>
            <w:pPr>
              <w:spacing w:after="0"/>
              <w:rPr>
                <w:sz w:val="13"/>
                <w:szCs w:val="13"/>
                <w:color w:val="auto"/>
              </w:rPr>
            </w:pPr>
          </w:p>
        </w:tc>
        <w:tc>
          <w:tcPr>
            <w:tcW w:w="2140" w:type="dxa"/>
            <w:vAlign w:val="bottom"/>
            <w:tcBorders>
              <w:bottom w:val="single" w:sz="8" w:color="CCECFF"/>
            </w:tcBorders>
            <w:shd w:val="clear" w:color="auto" w:fill="CCECFF"/>
          </w:tcPr>
          <w:p>
            <w:pPr>
              <w:spacing w:after="0"/>
              <w:rPr>
                <w:sz w:val="13"/>
                <w:szCs w:val="13"/>
                <w:color w:val="auto"/>
              </w:rPr>
            </w:pPr>
          </w:p>
        </w:tc>
        <w:tc>
          <w:tcPr>
            <w:tcW w:w="760" w:type="dxa"/>
            <w:vAlign w:val="bottom"/>
            <w:tcBorders>
              <w:bottom w:val="single" w:sz="8" w:color="CCECFF"/>
            </w:tcBorders>
            <w:shd w:val="clear" w:color="auto" w:fill="CCECFF"/>
          </w:tcPr>
          <w:p>
            <w:pPr>
              <w:spacing w:after="0"/>
              <w:rPr>
                <w:sz w:val="13"/>
                <w:szCs w:val="13"/>
                <w:color w:val="auto"/>
              </w:rPr>
            </w:pPr>
          </w:p>
        </w:tc>
        <w:tc>
          <w:tcPr>
            <w:tcW w:w="440" w:type="dxa"/>
            <w:vAlign w:val="bottom"/>
            <w:tcBorders>
              <w:bottom w:val="single" w:sz="8" w:color="CCECFF"/>
            </w:tcBorders>
            <w:shd w:val="clear" w:color="auto" w:fill="CCECFF"/>
          </w:tcPr>
          <w:p>
            <w:pPr>
              <w:spacing w:after="0"/>
              <w:rPr>
                <w:sz w:val="13"/>
                <w:szCs w:val="13"/>
                <w:color w:val="auto"/>
              </w:rPr>
            </w:pPr>
          </w:p>
        </w:tc>
        <w:tc>
          <w:tcPr>
            <w:tcW w:w="920" w:type="dxa"/>
            <w:vAlign w:val="bottom"/>
            <w:tcBorders>
              <w:bottom w:val="single" w:sz="8" w:color="CCECFF"/>
            </w:tcBorders>
            <w:shd w:val="clear" w:color="auto" w:fill="CCECFF"/>
          </w:tcPr>
          <w:p>
            <w:pPr>
              <w:spacing w:after="0"/>
              <w:rPr>
                <w:sz w:val="13"/>
                <w:szCs w:val="13"/>
                <w:color w:val="auto"/>
              </w:rPr>
            </w:pPr>
          </w:p>
        </w:tc>
        <w:tc>
          <w:tcPr>
            <w:tcW w:w="76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44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102,618</w:t>
            </w:r>
          </w:p>
        </w:tc>
        <w:tc>
          <w:tcPr>
            <w:tcW w:w="80" w:type="dxa"/>
            <w:vAlign w:val="bottom"/>
            <w:tcBorders>
              <w:bottom w:val="single" w:sz="8" w:color="CCECFF"/>
            </w:tcBorders>
            <w:shd w:val="clear" w:color="auto" w:fill="CCECFF"/>
          </w:tcPr>
          <w:p>
            <w:pPr>
              <w:spacing w:after="0"/>
              <w:rPr>
                <w:sz w:val="13"/>
                <w:szCs w:val="13"/>
                <w:color w:val="auto"/>
              </w:rPr>
            </w:pPr>
          </w:p>
        </w:tc>
      </w:tr>
    </w:tbl>
    <w:p>
      <w:pPr>
        <w:spacing w:after="0" w:line="72" w:lineRule="exact"/>
        <w:rPr>
          <w:sz w:val="20"/>
          <w:szCs w:val="20"/>
          <w:color w:val="auto"/>
        </w:rPr>
      </w:pPr>
    </w:p>
    <w:p>
      <w:pPr>
        <w:ind w:right="60"/>
        <w:spacing w:after="0" w:line="219"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Secured Overnight Financing Rate, or "SOFR" or Prime rate or “P”. The spread may change based on the type of rate used. The terms in the Schedule of Investments disclose the actual interest rate in effect as of the reporting period. SOFR loans are typically indexed to a 30-day, 60-day, 90-day or 180-day SOFR rate (1M S, 2M S, 3M S, or 6M S, respectively), at the borrower’s option. All securities are subject to a SOFR or Prime rate floor where a spread is provided, unless noted. The spread provided includes PIK interest and other fee rates, if any.</w:t>
      </w:r>
    </w:p>
    <w:p>
      <w:pPr>
        <w:spacing w:after="0" w:line="231" w:lineRule="auto"/>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1"/>
          <w:szCs w:val="11"/>
          <w:color w:val="auto"/>
        </w:rPr>
        <w:t>Valued based on PSLF’s accounting policy.</w:t>
      </w:r>
    </w:p>
    <w:p>
      <w:pPr>
        <w:spacing w:after="0" w:line="203" w:lineRule="auto"/>
        <w:rPr>
          <w:sz w:val="20"/>
          <w:szCs w:val="20"/>
          <w:color w:val="auto"/>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1"/>
          <w:szCs w:val="11"/>
          <w:color w:val="auto"/>
        </w:rPr>
        <w:t>Represents the purchase of a security with delay settlement or a revolving line of credit that is currently an unfunded investment. This security does not earn a basis point spread above an index while it is unfunded.</w:t>
      </w:r>
    </w:p>
    <w:p>
      <w:pPr>
        <w:spacing w:after="0" w:line="203" w:lineRule="auto"/>
        <w:rPr>
          <w:sz w:val="20"/>
          <w:szCs w:val="20"/>
          <w:color w:val="auto"/>
        </w:rPr>
      </w:pP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1"/>
          <w:szCs w:val="11"/>
          <w:color w:val="auto"/>
        </w:rPr>
        <w:t>All investments are in US Companies unless noted otherwise</w:t>
      </w:r>
    </w:p>
    <w:p>
      <w:pPr>
        <w:ind w:right="220"/>
        <w:spacing w:after="0" w:line="201" w:lineRule="auto"/>
        <w:rPr>
          <w:sz w:val="20"/>
          <w:szCs w:val="20"/>
          <w:color w:val="auto"/>
        </w:rPr>
      </w:pP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1"/>
          <w:szCs w:val="11"/>
          <w:color w:val="auto"/>
        </w:rPr>
        <w:t>The securities are, 1) pledged as collateral under the BNP Credit Facility and held through Funding I; or, 2) securing the 2034 Asset-Backed Debt and held through PennantPark CLO IV, LLC; or, 3) securing the 2035 Asset-Backed Debt held through PennantPark CLO VII, LLC</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1</w:t>
      </w:r>
    </w:p>
    <w:tbl>
      <w:tblPr>
        <w:tblLayout w:type="fixed"/>
        <w:tblInd w:w="0" w:type="dxa"/>
        <w:tblCellMar>
          <w:top w:w="0" w:type="dxa"/>
          <w:left w:w="0" w:type="dxa"/>
          <w:bottom w:w="0" w:type="dxa"/>
          <w:right w:w="0" w:type="dxa"/>
        </w:tblCellMar>
      </w:tblPr>
      <w:tr>
        <w:trPr>
          <w:trHeight w:val="172"/>
        </w:trPr>
        <w:tc>
          <w:tcPr>
            <w:tcW w:w="59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is the consolidated statements of assets and liabilities for PSLF ($ in thousands):</w:t>
            </w: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300" w:type="dxa"/>
            <w:vAlign w:val="bottom"/>
          </w:tcPr>
          <w:p>
            <w:pPr>
              <w:spacing w:after="0"/>
              <w:rPr>
                <w:sz w:val="24"/>
                <w:szCs w:val="24"/>
                <w:color w:val="auto"/>
              </w:rPr>
            </w:pPr>
          </w:p>
        </w:tc>
        <w:tc>
          <w:tcPr>
            <w:tcW w:w="1860" w:type="dxa"/>
            <w:vAlign w:val="bottom"/>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0" w:type="dxa"/>
            <w:vAlign w:val="bottom"/>
          </w:tcPr>
          <w:p>
            <w:pPr>
              <w:spacing w:after="0"/>
              <w:rPr>
                <w:sz w:val="1"/>
                <w:szCs w:val="1"/>
                <w:color w:val="auto"/>
              </w:rPr>
            </w:pPr>
          </w:p>
        </w:tc>
      </w:tr>
      <w:tr>
        <w:trPr>
          <w:trHeight w:val="152"/>
        </w:trPr>
        <w:tc>
          <w:tcPr>
            <w:tcW w:w="59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Investments at fair value (amortized cost—$1,036,305 and $810,737, respectively)</w:t>
            </w:r>
          </w:p>
        </w:tc>
        <w:tc>
          <w:tcPr>
            <w:tcW w:w="30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1,031,225</w:t>
            </w:r>
          </w:p>
        </w:tc>
        <w:tc>
          <w:tcPr>
            <w:tcW w:w="620" w:type="dxa"/>
            <w:vAlign w:val="bottom"/>
            <w:gridSpan w:val="2"/>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804,187</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(cost—$36,595 and $59,096, respectively)</w:t>
            </w:r>
          </w:p>
        </w:tc>
        <w:tc>
          <w:tcPr>
            <w:tcW w:w="3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36,595</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59,096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Interest receivable</w:t>
            </w:r>
          </w:p>
        </w:tc>
        <w:tc>
          <w:tcPr>
            <w:tcW w:w="300" w:type="dxa"/>
            <w:vAlign w:val="bottom"/>
            <w:shd w:val="clear" w:color="auto" w:fill="CCECFF"/>
          </w:tcPr>
          <w:p>
            <w:pPr>
              <w:spacing w:after="0"/>
              <w:rPr>
                <w:sz w:val="13"/>
                <w:szCs w:val="13"/>
                <w:color w:val="auto"/>
              </w:rPr>
            </w:pP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5,089</w:t>
            </w:r>
          </w:p>
        </w:tc>
        <w:tc>
          <w:tcPr>
            <w:tcW w:w="34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5,248</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3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Due from affiliate</w:t>
            </w:r>
          </w:p>
        </w:tc>
        <w:tc>
          <w:tcPr>
            <w:tcW w:w="300" w:type="dxa"/>
            <w:vAlign w:val="bottom"/>
            <w:shd w:val="clear" w:color="auto" w:fill="CCECFF"/>
          </w:tcPr>
          <w:p>
            <w:pPr>
              <w:spacing w:after="0"/>
              <w:rPr>
                <w:sz w:val="13"/>
                <w:szCs w:val="13"/>
                <w:color w:val="auto"/>
              </w:rPr>
            </w:pP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34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3,296</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0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3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1,073,352</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872,763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300" w:type="dxa"/>
            <w:vAlign w:val="bottom"/>
            <w:shd w:val="clear" w:color="auto" w:fill="CCECFF"/>
          </w:tcPr>
          <w:p>
            <w:pPr>
              <w:spacing w:after="0"/>
              <w:rPr>
                <w:sz w:val="13"/>
                <w:szCs w:val="13"/>
                <w:color w:val="auto"/>
              </w:rPr>
            </w:pPr>
          </w:p>
        </w:tc>
        <w:tc>
          <w:tcPr>
            <w:tcW w:w="186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8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2034 Asset-backed debt, net (par—$246,000)</w:t>
            </w:r>
          </w:p>
        </w:tc>
        <w:tc>
          <w:tcPr>
            <w:tcW w:w="3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244,672</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244,284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2035 Asset-backed debt, net (par—$246,000)</w:t>
            </w:r>
          </w:p>
        </w:tc>
        <w:tc>
          <w:tcPr>
            <w:tcW w:w="300" w:type="dxa"/>
            <w:vAlign w:val="bottom"/>
            <w:shd w:val="clear" w:color="auto" w:fill="CCECFF"/>
          </w:tcPr>
          <w:p>
            <w:pPr>
              <w:spacing w:after="0"/>
              <w:rPr>
                <w:sz w:val="13"/>
                <w:szCs w:val="13"/>
                <w:color w:val="auto"/>
              </w:rPr>
            </w:pP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244,118</w:t>
            </w:r>
          </w:p>
        </w:tc>
        <w:tc>
          <w:tcPr>
            <w:tcW w:w="34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243,727</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Notes payable to members</w:t>
            </w:r>
          </w:p>
        </w:tc>
        <w:tc>
          <w:tcPr>
            <w:tcW w:w="3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191,546</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169,131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Credit facility payable</w:t>
            </w:r>
          </w:p>
        </w:tc>
        <w:tc>
          <w:tcPr>
            <w:tcW w:w="300" w:type="dxa"/>
            <w:vAlign w:val="bottom"/>
            <w:shd w:val="clear" w:color="auto" w:fill="CCECFF"/>
          </w:tcPr>
          <w:p>
            <w:pPr>
              <w:spacing w:after="0"/>
              <w:rPr>
                <w:sz w:val="13"/>
                <w:szCs w:val="13"/>
                <w:color w:val="auto"/>
              </w:rPr>
            </w:pP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247,600</w:t>
            </w:r>
          </w:p>
        </w:tc>
        <w:tc>
          <w:tcPr>
            <w:tcW w:w="34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88,600</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payable on credit facility and asset backed debt</w:t>
            </w:r>
          </w:p>
        </w:tc>
        <w:tc>
          <w:tcPr>
            <w:tcW w:w="3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12,525</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Distribution payable to members</w:t>
            </w:r>
          </w:p>
        </w:tc>
        <w:tc>
          <w:tcPr>
            <w:tcW w:w="300" w:type="dxa"/>
            <w:vAlign w:val="bottom"/>
            <w:shd w:val="clear" w:color="auto" w:fill="CCECFF"/>
          </w:tcPr>
          <w:p>
            <w:pPr>
              <w:spacing w:after="0"/>
              <w:rPr>
                <w:sz w:val="13"/>
                <w:szCs w:val="13"/>
                <w:color w:val="auto"/>
              </w:rPr>
            </w:pP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8,000</w:t>
            </w:r>
          </w:p>
        </w:tc>
        <w:tc>
          <w:tcPr>
            <w:tcW w:w="34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7,250</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Payable for investments purchased</w:t>
            </w:r>
          </w:p>
        </w:tc>
        <w:tc>
          <w:tcPr>
            <w:tcW w:w="3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7,314</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Interest payable on notes to members</w:t>
            </w:r>
          </w:p>
        </w:tc>
        <w:tc>
          <w:tcPr>
            <w:tcW w:w="300" w:type="dxa"/>
            <w:vAlign w:val="bottom"/>
            <w:shd w:val="clear" w:color="auto" w:fill="CCECFF"/>
          </w:tcPr>
          <w:p>
            <w:pPr>
              <w:spacing w:after="0"/>
              <w:rPr>
                <w:sz w:val="13"/>
                <w:szCs w:val="13"/>
                <w:color w:val="auto"/>
              </w:rPr>
            </w:pP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4,372</w:t>
            </w:r>
          </w:p>
        </w:tc>
        <w:tc>
          <w:tcPr>
            <w:tcW w:w="34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3,895</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3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934</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0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300" w:type="dxa"/>
            <w:vAlign w:val="bottom"/>
            <w:shd w:val="clear" w:color="auto" w:fill="CCECFF"/>
          </w:tcPr>
          <w:p>
            <w:pPr>
              <w:spacing w:after="0"/>
              <w:rPr>
                <w:sz w:val="13"/>
                <w:szCs w:val="13"/>
                <w:color w:val="auto"/>
              </w:rPr>
            </w:pP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961,081</w:t>
            </w:r>
          </w:p>
        </w:tc>
        <w:tc>
          <w:tcPr>
            <w:tcW w:w="34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770,145</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w:t>
            </w:r>
          </w:p>
        </w:tc>
        <w:tc>
          <w:tcPr>
            <w:tcW w:w="3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0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300" w:type="dxa"/>
            <w:vAlign w:val="bottom"/>
            <w:shd w:val="clear" w:color="auto" w:fill="CCECFF"/>
          </w:tcPr>
          <w:p>
            <w:pPr>
              <w:spacing w:after="0"/>
              <w:rPr>
                <w:sz w:val="13"/>
                <w:szCs w:val="13"/>
                <w:color w:val="auto"/>
              </w:rPr>
            </w:pP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112,271</w:t>
            </w:r>
          </w:p>
        </w:tc>
        <w:tc>
          <w:tcPr>
            <w:tcW w:w="34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102,618</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0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Total liabilities and members' equity</w:t>
            </w:r>
          </w:p>
        </w:tc>
        <w:tc>
          <w:tcPr>
            <w:tcW w:w="3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1,073,352</w:t>
            </w:r>
          </w:p>
        </w:tc>
        <w:tc>
          <w:tcPr>
            <w:tcW w:w="340" w:type="dxa"/>
            <w:vAlign w:val="bottom"/>
          </w:tcPr>
          <w:p>
            <w:pPr>
              <w:spacing w:after="0"/>
              <w:rPr>
                <w:sz w:val="13"/>
                <w:szCs w:val="13"/>
                <w:color w:val="auto"/>
              </w:rPr>
            </w:pPr>
          </w:p>
        </w:tc>
        <w:tc>
          <w:tcPr>
            <w:tcW w:w="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872,763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16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*For the years ended of September 30, 2024 and 2023, PSLF had zero million and $0.5 million, respectively, of unfunded commitments to fund investments.</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59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are the consolidated statements of operations for PSLF ($ in thousands):</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840" w:type="dxa"/>
            <w:vAlign w:val="bottom"/>
          </w:tcPr>
          <w:p>
            <w:pPr>
              <w:spacing w:after="0"/>
              <w:rPr>
                <w:sz w:val="13"/>
                <w:szCs w:val="13"/>
                <w:color w:val="auto"/>
              </w:rPr>
            </w:pPr>
          </w:p>
        </w:tc>
        <w:tc>
          <w:tcPr>
            <w:tcW w:w="2200" w:type="dxa"/>
            <w:vAlign w:val="bottom"/>
            <w:gridSpan w:val="4"/>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Year Ended September 30,</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784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w:t>
            </w:r>
          </w:p>
        </w:tc>
        <w:tc>
          <w:tcPr>
            <w:tcW w:w="700" w:type="dxa"/>
            <w:vAlign w:val="bottom"/>
            <w:shd w:val="clear" w:color="auto" w:fill="CCECFF"/>
          </w:tcPr>
          <w:p>
            <w:pPr>
              <w:jc w:val="right"/>
              <w:ind w:right="579"/>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4"/>
              </w:rPr>
              <w:t>114,231</w:t>
            </w:r>
          </w:p>
        </w:tc>
        <w:tc>
          <w:tcPr>
            <w:tcW w:w="120" w:type="dxa"/>
            <w:vAlign w:val="bottom"/>
            <w:shd w:val="clear" w:color="auto" w:fill="CCECFF"/>
          </w:tcPr>
          <w:p>
            <w:pPr>
              <w:spacing w:after="0"/>
              <w:rPr>
                <w:sz w:val="13"/>
                <w:szCs w:val="13"/>
                <w:color w:val="auto"/>
              </w:rPr>
            </w:pPr>
          </w:p>
        </w:tc>
        <w:tc>
          <w:tcPr>
            <w:tcW w:w="940" w:type="dxa"/>
            <w:vAlign w:val="bottom"/>
            <w:shd w:val="clear" w:color="auto" w:fill="CCECFF"/>
          </w:tcPr>
          <w:p>
            <w:pPr>
              <w:jc w:val="right"/>
              <w:ind w:right="694"/>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88,280</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income</w:t>
            </w:r>
          </w:p>
        </w:tc>
        <w:tc>
          <w:tcPr>
            <w:tcW w:w="7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1,023</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7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4"/>
              </w:rPr>
              <w:t>115,254</w:t>
            </w:r>
          </w:p>
        </w:tc>
        <w:tc>
          <w:tcPr>
            <w:tcW w:w="12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89,690</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 expense on credit facility and asset-backed debt</w:t>
            </w:r>
          </w:p>
        </w:tc>
        <w:tc>
          <w:tcPr>
            <w:tcW w:w="7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54,405</w:t>
            </w:r>
          </w:p>
        </w:tc>
        <w:tc>
          <w:tcPr>
            <w:tcW w:w="12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37,977</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expense on notes to members</w:t>
            </w:r>
          </w:p>
        </w:tc>
        <w:tc>
          <w:tcPr>
            <w:tcW w:w="7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24,861</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20,858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Administration fees</w:t>
            </w:r>
          </w:p>
        </w:tc>
        <w:tc>
          <w:tcPr>
            <w:tcW w:w="7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2,423</w:t>
            </w:r>
          </w:p>
        </w:tc>
        <w:tc>
          <w:tcPr>
            <w:tcW w:w="12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2,027</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7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1,360</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expenses</w:t>
            </w:r>
          </w:p>
        </w:tc>
        <w:tc>
          <w:tcPr>
            <w:tcW w:w="7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83,049</w:t>
            </w:r>
          </w:p>
        </w:tc>
        <w:tc>
          <w:tcPr>
            <w:tcW w:w="12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61,952</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7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32,205</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27,738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Realized and unrealized gain (loss) on investments:</w:t>
            </w:r>
          </w:p>
        </w:tc>
        <w:tc>
          <w:tcPr>
            <w:tcW w:w="700" w:type="dxa"/>
            <w:vAlign w:val="bottom"/>
            <w:shd w:val="clear" w:color="auto" w:fill="CCECFF"/>
          </w:tcPr>
          <w:p>
            <w:pPr>
              <w:spacing w:after="0"/>
              <w:rPr>
                <w:sz w:val="13"/>
                <w:szCs w:val="13"/>
                <w:color w:val="auto"/>
              </w:rPr>
            </w:pPr>
          </w:p>
        </w:tc>
        <w:tc>
          <w:tcPr>
            <w:tcW w:w="4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4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70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(2,838 )</w:t>
            </w:r>
          </w:p>
        </w:tc>
        <w:tc>
          <w:tcPr>
            <w:tcW w:w="9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(498 )</w:t>
            </w:r>
          </w:p>
        </w:tc>
        <w:tc>
          <w:tcPr>
            <w:tcW w:w="0" w:type="dxa"/>
            <w:vAlign w:val="bottom"/>
          </w:tcPr>
          <w:p>
            <w:pPr>
              <w:spacing w:after="0"/>
              <w:rPr>
                <w:sz w:val="1"/>
                <w:szCs w:val="1"/>
                <w:color w:val="auto"/>
              </w:rPr>
            </w:pPr>
          </w:p>
        </w:tc>
      </w:tr>
      <w:tr>
        <w:trPr>
          <w:trHeight w:val="156"/>
        </w:trPr>
        <w:tc>
          <w:tcPr>
            <w:tcW w:w="7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7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1,462</w:t>
            </w:r>
          </w:p>
        </w:tc>
        <w:tc>
          <w:tcPr>
            <w:tcW w:w="12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1,575</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realized and unrealized gain (loss) on investments</w:t>
            </w:r>
          </w:p>
        </w:tc>
        <w:tc>
          <w:tcPr>
            <w:tcW w:w="70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(1,376 )</w:t>
            </w:r>
          </w:p>
        </w:tc>
        <w:tc>
          <w:tcPr>
            <w:tcW w:w="9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8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members' equity resulting from operations</w:t>
            </w:r>
          </w:p>
        </w:tc>
        <w:tc>
          <w:tcPr>
            <w:tcW w:w="700" w:type="dxa"/>
            <w:vAlign w:val="bottom"/>
            <w:tcBorders>
              <w:bottom w:val="single" w:sz="8" w:color="auto"/>
            </w:tcBorders>
            <w:shd w:val="clear" w:color="auto" w:fill="CCECFF"/>
          </w:tcPr>
          <w:p>
            <w:pPr>
              <w:jc w:val="right"/>
              <w:ind w:right="579"/>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30,829</w:t>
            </w:r>
          </w:p>
        </w:tc>
        <w:tc>
          <w:tcPr>
            <w:tcW w:w="120" w:type="dxa"/>
            <w:vAlign w:val="bottom"/>
            <w:tcBorders>
              <w:bottom w:val="single" w:sz="8" w:color="CCECFF"/>
            </w:tcBorders>
            <w:shd w:val="clear" w:color="auto" w:fill="CCECFF"/>
          </w:tcPr>
          <w:p>
            <w:pPr>
              <w:spacing w:after="0"/>
              <w:rPr>
                <w:sz w:val="17"/>
                <w:szCs w:val="17"/>
                <w:color w:val="auto"/>
              </w:rPr>
            </w:pPr>
          </w:p>
        </w:tc>
        <w:tc>
          <w:tcPr>
            <w:tcW w:w="940" w:type="dxa"/>
            <w:vAlign w:val="bottom"/>
            <w:tcBorders>
              <w:bottom w:val="single" w:sz="8" w:color="auto"/>
            </w:tcBorders>
            <w:shd w:val="clear" w:color="auto" w:fill="CCECFF"/>
          </w:tcPr>
          <w:p>
            <w:pPr>
              <w:jc w:val="right"/>
              <w:ind w:right="694"/>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28,815</w:t>
            </w:r>
          </w:p>
        </w:tc>
        <w:tc>
          <w:tcPr>
            <w:tcW w:w="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No management or incentive fees are payable by PSLF</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5. FAIR VALUE OF FINANCIAL INSTRUMENTS</w:t>
      </w:r>
    </w:p>
    <w:p>
      <w:pPr>
        <w:spacing w:after="0" w:line="129"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ASC 820 classifies the inputs used to measure these fair values into the following hierarchies: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Level 1: Inputs that are quoted prices (unadjusted) in active markets for identical assets or liabilities, accessible by us at the measurement date.</w:t>
      </w:r>
    </w:p>
    <w:p>
      <w:pPr>
        <w:spacing w:after="0" w:line="127" w:lineRule="exact"/>
        <w:rPr>
          <w:sz w:val="20"/>
          <w:szCs w:val="20"/>
          <w:color w:val="auto"/>
        </w:rPr>
      </w:pPr>
    </w:p>
    <w:p>
      <w:pPr>
        <w:ind w:left="540" w:right="200"/>
        <w:spacing w:after="0" w:line="286" w:lineRule="auto"/>
        <w:rPr>
          <w:sz w:val="20"/>
          <w:szCs w:val="20"/>
          <w:color w:val="auto"/>
        </w:rPr>
      </w:pPr>
      <w:r>
        <w:rPr>
          <w:rFonts w:ascii="Times New Roman" w:cs="Times New Roman" w:eastAsia="Times New Roman" w:hAnsi="Times New Roman"/>
          <w:sz w:val="13"/>
          <w:szCs w:val="13"/>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3"/>
          <w:szCs w:val="13"/>
          <w:color w:val="auto"/>
        </w:rPr>
        <w:t>Level 3: Inputs that are unobservable for an asset or liability because they are based on our own assumptions about how market participants would price the asset or liability.</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293" w:lineRule="exact"/>
        <w:rPr>
          <w:sz w:val="20"/>
          <w:szCs w:val="20"/>
          <w:color w:val="auto"/>
        </w:rPr>
      </w:pPr>
    </w:p>
    <w:p>
      <w:pPr>
        <w:ind w:right="100" w:firstLine="420"/>
        <w:spacing w:after="0" w:line="262" w:lineRule="auto"/>
        <w:rPr>
          <w:sz w:val="20"/>
          <w:szCs w:val="20"/>
          <w:color w:val="auto"/>
        </w:rPr>
      </w:pPr>
      <w:r>
        <w:rPr>
          <w:rFonts w:ascii="Times New Roman" w:cs="Times New Roman" w:eastAsia="Times New Roman" w:hAnsi="Times New Roman"/>
          <w:sz w:val="13"/>
          <w:szCs w:val="13"/>
          <w:color w:val="auto"/>
        </w:rPr>
        <w:t>A financial instrument’s categorization within the valuation hierarchy is based upon the lowest level of input that is significant to the fair value measurement. Generally, most of our investments, our Truist Credit Facility and our SBA debentures are classified as Level 3. Our 2026 Notes and 2026 Notes-2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91" w:lineRule="exact"/>
        <w:rPr>
          <w:sz w:val="20"/>
          <w:szCs w:val="20"/>
          <w:color w:val="auto"/>
        </w:rPr>
      </w:pPr>
    </w:p>
    <w:p>
      <w:pPr>
        <w:ind w:right="60" w:firstLine="420"/>
        <w:spacing w:after="0" w:line="259" w:lineRule="auto"/>
        <w:rPr>
          <w:sz w:val="20"/>
          <w:szCs w:val="20"/>
          <w:color w:val="auto"/>
        </w:rPr>
      </w:pPr>
      <w:r>
        <w:rPr>
          <w:rFonts w:ascii="Times New Roman" w:cs="Times New Roman" w:eastAsia="Times New Roman" w:hAnsi="Times New Roman"/>
          <w:sz w:val="13"/>
          <w:szCs w:val="13"/>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94" w:lineRule="exact"/>
        <w:rPr>
          <w:sz w:val="20"/>
          <w:szCs w:val="20"/>
          <w:color w:val="auto"/>
        </w:rPr>
      </w:pPr>
    </w:p>
    <w:p>
      <w:pPr>
        <w:ind w:right="20" w:firstLine="420"/>
        <w:spacing w:after="0" w:line="260" w:lineRule="auto"/>
        <w:rPr>
          <w:sz w:val="20"/>
          <w:szCs w:val="20"/>
          <w:color w:val="auto"/>
        </w:rPr>
      </w:pPr>
      <w:r>
        <w:rPr>
          <w:rFonts w:ascii="Times New Roman" w:cs="Times New Roman" w:eastAsia="Times New Roman" w:hAnsi="Times New Roman"/>
          <w:sz w:val="13"/>
          <w:szCs w:val="13"/>
          <w:color w:val="auto"/>
        </w:rPr>
        <w:t>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252" w:lineRule="exact"/>
        <w:rPr>
          <w:sz w:val="20"/>
          <w:szCs w:val="20"/>
          <w:color w:val="auto"/>
        </w:rPr>
      </w:pPr>
    </w:p>
    <w:p>
      <w:pPr>
        <w:ind w:firstLine="420"/>
        <w:spacing w:after="0" w:line="286" w:lineRule="auto"/>
        <w:rPr>
          <w:sz w:val="20"/>
          <w:szCs w:val="20"/>
          <w:color w:val="auto"/>
        </w:rPr>
      </w:pPr>
      <w:r>
        <w:rPr>
          <w:rFonts w:ascii="Times New Roman" w:cs="Times New Roman" w:eastAsia="Times New Roman" w:hAnsi="Times New Roman"/>
          <w:sz w:val="13"/>
          <w:szCs w:val="13"/>
          <w:color w:val="auto"/>
        </w:rPr>
        <w:t>A review of fair value hierarchy classifications is conducted on a quarterly basis. Changes in our ability to observe valuation inputs may result in a reclassification for certain financial assets or liabilities.</w:t>
      </w:r>
    </w:p>
    <w:p>
      <w:pPr>
        <w:spacing w:after="0" w:line="76" w:lineRule="exact"/>
        <w:rPr>
          <w:sz w:val="20"/>
          <w:szCs w:val="20"/>
          <w:color w:val="auto"/>
        </w:rPr>
      </w:pPr>
    </w:p>
    <w:p>
      <w:pPr>
        <w:ind w:right="120" w:firstLine="420"/>
        <w:spacing w:after="0" w:line="268" w:lineRule="auto"/>
        <w:rPr>
          <w:sz w:val="20"/>
          <w:szCs w:val="20"/>
          <w:color w:val="auto"/>
        </w:rPr>
      </w:pPr>
      <w:r>
        <w:rPr>
          <w:rFonts w:ascii="Times New Roman" w:cs="Times New Roman" w:eastAsia="Times New Roman" w:hAnsi="Times New Roman"/>
          <w:sz w:val="13"/>
          <w:szCs w:val="13"/>
          <w:color w:val="auto"/>
        </w:rPr>
        <w:t>In addition to using the above inputs to value cash equivalents, investments, our SBA debentures, our 2026 Notes, our 2026-2 Notes and our Truist Credit Facility,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23"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 In accordance with ASC 820, we do not categorize any investments for which fair value is measured using the net asset value per share within the fair value hierarchy.</w:t>
      </w:r>
    </w:p>
    <w:p>
      <w:pPr>
        <w:spacing w:after="0" w:line="94" w:lineRule="exact"/>
        <w:rPr>
          <w:sz w:val="20"/>
          <w:szCs w:val="20"/>
          <w:color w:val="auto"/>
        </w:rPr>
      </w:pPr>
    </w:p>
    <w:p>
      <w:pPr>
        <w:ind w:right="80" w:firstLine="420"/>
        <w:spacing w:after="0" w:line="254" w:lineRule="auto"/>
        <w:rPr>
          <w:sz w:val="20"/>
          <w:szCs w:val="20"/>
          <w:color w:val="auto"/>
        </w:rPr>
      </w:pPr>
      <w:r>
        <w:rPr>
          <w:rFonts w:ascii="Times New Roman" w:cs="Times New Roman" w:eastAsia="Times New Roman" w:hAnsi="Times New Roman"/>
          <w:sz w:val="13"/>
          <w:szCs w:val="13"/>
          <w:color w:val="auto"/>
        </w:rPr>
        <w:t>The remainder of our investment portfolio and our long -term Truist Credit Facility are valued using a market comparable or an enterprise market value technique.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Level 3 valuation techniques, unobservable inputs and ranges were categorized as follows for ASC 820 purposes ($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2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Range of Input</w:t>
            </w:r>
          </w:p>
        </w:tc>
      </w:tr>
      <w:tr>
        <w:trPr>
          <w:trHeight w:val="169"/>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Asset Category </w:t>
            </w:r>
            <w:r>
              <w:rPr>
                <w:rFonts w:ascii="Times New Roman" w:cs="Times New Roman" w:eastAsia="Times New Roman" w:hAnsi="Times New Roman"/>
                <w:sz w:val="13"/>
                <w:szCs w:val="13"/>
                <w:color w:val="auto"/>
              </w:rPr>
              <w:t>($ in thousands)</w:t>
            </w:r>
          </w:p>
        </w:tc>
        <w:tc>
          <w:tcPr>
            <w:tcW w:w="160" w:type="dxa"/>
            <w:vAlign w:val="bottom"/>
          </w:tcPr>
          <w:p>
            <w:pPr>
              <w:spacing w:after="0"/>
              <w:rPr>
                <w:sz w:val="14"/>
                <w:szCs w:val="14"/>
                <w:color w:val="auto"/>
              </w:rPr>
            </w:pPr>
          </w:p>
        </w:tc>
        <w:tc>
          <w:tcPr>
            <w:tcW w:w="144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2200" w:type="dxa"/>
            <w:vAlign w:val="bottom"/>
          </w:tcPr>
          <w:p>
            <w:pPr>
              <w:jc w:val="center"/>
              <w:ind w:left="154"/>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Unobservable Input</w:t>
            </w:r>
          </w:p>
        </w:tc>
        <w:tc>
          <w:tcPr>
            <w:tcW w:w="1940" w:type="dxa"/>
            <w:vAlign w:val="bottom"/>
          </w:tcPr>
          <w:p>
            <w:pPr>
              <w:jc w:val="center"/>
              <w:spacing w:after="0" w:line="169" w:lineRule="exact"/>
              <w:rPr>
                <w:sz w:val="20"/>
                <w:szCs w:val="20"/>
                <w:color w:val="auto"/>
              </w:rPr>
            </w:pPr>
            <w:r>
              <w:rPr>
                <w:rFonts w:ascii="Times New Roman" w:cs="Times New Roman" w:eastAsia="Times New Roman" w:hAnsi="Times New Roman"/>
                <w:sz w:val="13"/>
                <w:szCs w:val="13"/>
                <w:b w:val="1"/>
                <w:bCs w:val="1"/>
                <w:color w:val="auto"/>
                <w:w w:val="98"/>
              </w:rPr>
              <w:t xml:space="preserve">(Weighted Average) </w:t>
            </w:r>
            <w:r>
              <w:rPr>
                <w:rFonts w:ascii="Times New Roman" w:cs="Times New Roman" w:eastAsia="Times New Roman" w:hAnsi="Times New Roman"/>
                <w:sz w:val="16"/>
                <w:szCs w:val="16"/>
                <w:b w:val="1"/>
                <w:bCs w:val="1"/>
                <w:color w:val="auto"/>
                <w:w w:val="98"/>
                <w:vertAlign w:val="superscript"/>
              </w:rPr>
              <w:t>(1)</w:t>
            </w:r>
          </w:p>
        </w:tc>
      </w:tr>
      <w:tr>
        <w:trPr>
          <w:trHeight w:val="168"/>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13,841</w:t>
            </w:r>
          </w:p>
        </w:tc>
        <w:tc>
          <w:tcPr>
            <w:tcW w:w="2200" w:type="dxa"/>
            <w:vAlign w:val="bottom"/>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Broker/Dealer bids or quotes</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r>
      <w:tr>
        <w:trPr>
          <w:trHeight w:val="156"/>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60" w:type="dxa"/>
            <w:vAlign w:val="bottom"/>
            <w:shd w:val="clear" w:color="auto" w:fill="CCECFF"/>
          </w:tcPr>
          <w:p>
            <w:pPr>
              <w:spacing w:after="0"/>
              <w:rPr>
                <w:sz w:val="13"/>
                <w:szCs w:val="13"/>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621,998</w:t>
            </w:r>
          </w:p>
        </w:tc>
        <w:tc>
          <w:tcPr>
            <w:tcW w:w="2200" w:type="dxa"/>
            <w:vAlign w:val="bottom"/>
            <w:shd w:val="clear" w:color="auto" w:fill="CCECFF"/>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7.0% - 21.4% (10.2%)</w:t>
            </w:r>
          </w:p>
        </w:tc>
      </w:tr>
      <w:tr>
        <w:trPr>
          <w:trHeight w:val="156"/>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32,087</w:t>
            </w:r>
          </w:p>
        </w:tc>
        <w:tc>
          <w:tcPr>
            <w:tcW w:w="2200" w:type="dxa"/>
            <w:vAlign w:val="bottom"/>
          </w:tcPr>
          <w:p>
            <w:pPr>
              <w:jc w:val="center"/>
              <w:ind w:left="154"/>
              <w:spacing w:after="0"/>
              <w:rPr>
                <w:sz w:val="20"/>
                <w:szCs w:val="20"/>
                <w:color w:val="auto"/>
              </w:rPr>
            </w:pPr>
            <w:r>
              <w:rPr>
                <w:rFonts w:ascii="Times New Roman" w:cs="Times New Roman" w:eastAsia="Times New Roman" w:hAnsi="Times New Roman"/>
                <w:sz w:val="13"/>
                <w:szCs w:val="13"/>
                <w:color w:val="auto"/>
              </w:rPr>
              <w:t>Enterprise Market Value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EBITDA multiple</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0.9x - 8.4x (8.4x)</w:t>
            </w:r>
          </w:p>
        </w:tc>
      </w:tr>
      <w:tr>
        <w:trPr>
          <w:trHeight w:val="156"/>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Second lien</w:t>
            </w:r>
          </w:p>
        </w:tc>
        <w:tc>
          <w:tcPr>
            <w:tcW w:w="160" w:type="dxa"/>
            <w:vAlign w:val="bottom"/>
            <w:shd w:val="clear" w:color="auto" w:fill="CCECFF"/>
          </w:tcPr>
          <w:p>
            <w:pPr>
              <w:spacing w:after="0"/>
              <w:rPr>
                <w:sz w:val="13"/>
                <w:szCs w:val="13"/>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63,803</w:t>
            </w:r>
          </w:p>
        </w:tc>
        <w:tc>
          <w:tcPr>
            <w:tcW w:w="2200" w:type="dxa"/>
            <w:vAlign w:val="bottom"/>
            <w:shd w:val="clear" w:color="auto" w:fill="CCECFF"/>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13.1% - 18.5% (13.9%)</w:t>
            </w:r>
          </w:p>
        </w:tc>
      </w:tr>
      <w:tr>
        <w:trPr>
          <w:trHeight w:val="156"/>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Second lien</w:t>
            </w:r>
          </w:p>
        </w:tc>
        <w:tc>
          <w:tcPr>
            <w:tcW w:w="1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3,377</w:t>
            </w:r>
          </w:p>
        </w:tc>
        <w:tc>
          <w:tcPr>
            <w:tcW w:w="2200" w:type="dxa"/>
            <w:vAlign w:val="bottom"/>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Broker/Dealer bids or quotes</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r>
      <w:tr>
        <w:trPr>
          <w:trHeight w:val="20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Subordinated debt / corporate notes</w:t>
            </w:r>
          </w:p>
        </w:tc>
        <w:tc>
          <w:tcPr>
            <w:tcW w:w="160" w:type="dxa"/>
            <w:vAlign w:val="bottom"/>
            <w:shd w:val="clear" w:color="auto" w:fill="CCECFF"/>
          </w:tcPr>
          <w:p>
            <w:pPr>
              <w:spacing w:after="0"/>
              <w:rPr>
                <w:sz w:val="17"/>
                <w:szCs w:val="17"/>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181,690</w:t>
            </w:r>
          </w:p>
        </w:tc>
        <w:tc>
          <w:tcPr>
            <w:tcW w:w="2200" w:type="dxa"/>
            <w:vAlign w:val="bottom"/>
            <w:shd w:val="clear" w:color="auto" w:fill="CCECFF"/>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5.0% - 16.5% (14.1%)</w:t>
            </w:r>
          </w:p>
        </w:tc>
      </w:tr>
      <w:tr>
        <w:trPr>
          <w:trHeight w:val="156"/>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235,573</w:t>
            </w:r>
          </w:p>
        </w:tc>
        <w:tc>
          <w:tcPr>
            <w:tcW w:w="2200" w:type="dxa"/>
            <w:vAlign w:val="bottom"/>
          </w:tcPr>
          <w:p>
            <w:pPr>
              <w:jc w:val="center"/>
              <w:ind w:left="154"/>
              <w:spacing w:after="0"/>
              <w:rPr>
                <w:sz w:val="20"/>
                <w:szCs w:val="20"/>
                <w:color w:val="auto"/>
              </w:rPr>
            </w:pPr>
            <w:r>
              <w:rPr>
                <w:rFonts w:ascii="Times New Roman" w:cs="Times New Roman" w:eastAsia="Times New Roman" w:hAnsi="Times New Roman"/>
                <w:sz w:val="13"/>
                <w:szCs w:val="13"/>
                <w:color w:val="auto"/>
              </w:rPr>
              <w:t>Enterprise Market Value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EBITDA multiple</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0.4x - 18.8x (9.4x)</w:t>
            </w:r>
          </w:p>
        </w:tc>
      </w:tr>
      <w:tr>
        <w:trPr>
          <w:trHeight w:val="196"/>
        </w:trPr>
        <w:tc>
          <w:tcPr>
            <w:tcW w:w="2580" w:type="dxa"/>
            <w:vAlign w:val="bottom"/>
            <w:tcBorders>
              <w:bottom w:val="single" w:sz="8" w:color="CCECFF"/>
            </w:tcBorders>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Total Level 3 investments</w:t>
            </w:r>
          </w:p>
        </w:tc>
        <w:tc>
          <w:tcPr>
            <w:tcW w:w="160" w:type="dxa"/>
            <w:vAlign w:val="bottom"/>
            <w:tcBorders>
              <w:bottom w:val="single" w:sz="8" w:color="auto"/>
            </w:tcBorders>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1,152,369</w:t>
            </w:r>
          </w:p>
        </w:tc>
        <w:tc>
          <w:tcPr>
            <w:tcW w:w="2200" w:type="dxa"/>
            <w:vAlign w:val="bottom"/>
            <w:tcBorders>
              <w:bottom w:val="single" w:sz="8" w:color="CCECFF"/>
            </w:tcBorders>
            <w:shd w:val="clear" w:color="auto" w:fill="CCECFF"/>
          </w:tcPr>
          <w:p>
            <w:pPr>
              <w:spacing w:after="0"/>
              <w:rPr>
                <w:sz w:val="17"/>
                <w:szCs w:val="17"/>
                <w:color w:val="auto"/>
              </w:rPr>
            </w:pPr>
          </w:p>
        </w:tc>
        <w:tc>
          <w:tcPr>
            <w:tcW w:w="2240" w:type="dxa"/>
            <w:vAlign w:val="bottom"/>
            <w:tcBorders>
              <w:bottom w:val="single" w:sz="8" w:color="CCECFF"/>
            </w:tcBorders>
            <w:shd w:val="clear" w:color="auto" w:fill="CCECFF"/>
          </w:tcPr>
          <w:p>
            <w:pPr>
              <w:spacing w:after="0"/>
              <w:rPr>
                <w:sz w:val="17"/>
                <w:szCs w:val="17"/>
                <w:color w:val="auto"/>
              </w:rPr>
            </w:pPr>
          </w:p>
        </w:tc>
        <w:tc>
          <w:tcPr>
            <w:tcW w:w="1940" w:type="dxa"/>
            <w:vAlign w:val="bottom"/>
            <w:tcBorders>
              <w:bottom w:val="single" w:sz="8" w:color="CCECFF"/>
            </w:tcBorders>
            <w:shd w:val="clear" w:color="auto" w:fill="CCECFF"/>
          </w:tcPr>
          <w:p>
            <w:pPr>
              <w:spacing w:after="0"/>
              <w:rPr>
                <w:sz w:val="17"/>
                <w:szCs w:val="17"/>
                <w:color w:val="auto"/>
              </w:rPr>
            </w:pPr>
          </w:p>
        </w:tc>
      </w:tr>
      <w:tr>
        <w:trPr>
          <w:trHeight w:val="132"/>
        </w:trPr>
        <w:tc>
          <w:tcPr>
            <w:tcW w:w="258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 xml:space="preserve">Debt Category </w:t>
            </w:r>
            <w:r>
              <w:rPr>
                <w:rFonts w:ascii="Times New Roman" w:cs="Times New Roman" w:eastAsia="Times New Roman" w:hAnsi="Times New Roman"/>
                <w:sz w:val="13"/>
                <w:szCs w:val="13"/>
                <w:color w:val="auto"/>
              </w:rPr>
              <w:t>($ in thousands)</w:t>
            </w:r>
          </w:p>
        </w:tc>
        <w:tc>
          <w:tcPr>
            <w:tcW w:w="1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940" w:type="dxa"/>
            <w:vAlign w:val="bottom"/>
          </w:tcPr>
          <w:p>
            <w:pPr>
              <w:spacing w:after="0"/>
              <w:rPr>
                <w:sz w:val="11"/>
                <w:szCs w:val="11"/>
                <w:color w:val="auto"/>
              </w:rPr>
            </w:pPr>
          </w:p>
        </w:tc>
      </w:tr>
      <w:tr>
        <w:trPr>
          <w:trHeight w:val="196"/>
        </w:trPr>
        <w:tc>
          <w:tcPr>
            <w:tcW w:w="2580" w:type="dxa"/>
            <w:vAlign w:val="bottom"/>
            <w:tcBorders>
              <w:bottom w:val="single" w:sz="8" w:color="CCECFF"/>
            </w:tcBorders>
            <w:shd w:val="clear" w:color="auto" w:fill="CCECFF"/>
          </w:tcPr>
          <w:p>
            <w:pPr>
              <w:ind w:left="20"/>
              <w:spacing w:after="0" w:line="136" w:lineRule="exact"/>
              <w:rPr>
                <w:sz w:val="20"/>
                <w:szCs w:val="20"/>
                <w:color w:val="auto"/>
              </w:rPr>
            </w:pPr>
            <w:r>
              <w:rPr>
                <w:rFonts w:ascii="Times New Roman" w:cs="Times New Roman" w:eastAsia="Times New Roman" w:hAnsi="Times New Roman"/>
                <w:sz w:val="13"/>
                <w:szCs w:val="13"/>
                <w:color w:val="auto"/>
              </w:rPr>
              <w:t>Truist Credit Facility</w:t>
            </w:r>
          </w:p>
        </w:tc>
        <w:tc>
          <w:tcPr>
            <w:tcW w:w="160" w:type="dxa"/>
            <w:vAlign w:val="bottom"/>
            <w:tcBorders>
              <w:bottom w:val="single" w:sz="8" w:color="auto"/>
            </w:tcBorders>
            <w:shd w:val="clear" w:color="auto" w:fill="CCECFF"/>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shd w:val="clear" w:color="auto" w:fill="CCECFF"/>
          </w:tcPr>
          <w:p>
            <w:pPr>
              <w:jc w:val="right"/>
              <w:spacing w:after="0" w:line="136" w:lineRule="exact"/>
              <w:rPr>
                <w:sz w:val="20"/>
                <w:szCs w:val="20"/>
                <w:color w:val="auto"/>
              </w:rPr>
            </w:pPr>
            <w:r>
              <w:rPr>
                <w:rFonts w:ascii="Times New Roman" w:cs="Times New Roman" w:eastAsia="Times New Roman" w:hAnsi="Times New Roman"/>
                <w:sz w:val="13"/>
                <w:szCs w:val="13"/>
                <w:color w:val="auto"/>
              </w:rPr>
              <w:t>460,361</w:t>
            </w:r>
          </w:p>
        </w:tc>
        <w:tc>
          <w:tcPr>
            <w:tcW w:w="2200" w:type="dxa"/>
            <w:vAlign w:val="bottom"/>
            <w:tcBorders>
              <w:bottom w:val="single" w:sz="8" w:color="CCECFF"/>
            </w:tcBorders>
            <w:shd w:val="clear" w:color="auto" w:fill="CCECFF"/>
          </w:tcPr>
          <w:p>
            <w:pPr>
              <w:jc w:val="center"/>
              <w:ind w:left="154"/>
              <w:spacing w:after="0" w:line="136" w:lineRule="exact"/>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tcBorders>
              <w:bottom w:val="single" w:sz="8" w:color="CCECFF"/>
            </w:tcBorders>
            <w:shd w:val="clear" w:color="auto" w:fill="CCECFF"/>
          </w:tcPr>
          <w:p>
            <w:pPr>
              <w:jc w:val="center"/>
              <w:spacing w:after="0" w:line="136" w:lineRule="exact"/>
              <w:rPr>
                <w:sz w:val="20"/>
                <w:szCs w:val="20"/>
                <w:color w:val="auto"/>
              </w:rPr>
            </w:pPr>
            <w:r>
              <w:rPr>
                <w:rFonts w:ascii="Times New Roman" w:cs="Times New Roman" w:eastAsia="Times New Roman" w:hAnsi="Times New Roman"/>
                <w:sz w:val="13"/>
                <w:szCs w:val="13"/>
                <w:color w:val="auto"/>
              </w:rPr>
              <w:t>Market yield</w:t>
            </w:r>
          </w:p>
        </w:tc>
        <w:tc>
          <w:tcPr>
            <w:tcW w:w="1940" w:type="dxa"/>
            <w:vAlign w:val="bottom"/>
            <w:tcBorders>
              <w:bottom w:val="single" w:sz="8" w:color="CCECFF"/>
            </w:tcBorders>
            <w:shd w:val="clear" w:color="auto" w:fill="CCECFF"/>
          </w:tcPr>
          <w:p>
            <w:pPr>
              <w:jc w:val="center"/>
              <w:spacing w:after="0" w:line="136" w:lineRule="exact"/>
              <w:rPr>
                <w:sz w:val="20"/>
                <w:szCs w:val="20"/>
                <w:color w:val="auto"/>
              </w:rPr>
            </w:pPr>
            <w:r>
              <w:rPr>
                <w:rFonts w:ascii="Times New Roman" w:cs="Times New Roman" w:eastAsia="Times New Roman" w:hAnsi="Times New Roman"/>
                <w:sz w:val="13"/>
                <w:szCs w:val="13"/>
                <w:color w:val="auto"/>
              </w:rPr>
              <w:t>5.4%</w:t>
            </w: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1"/>
          <w:szCs w:val="11"/>
          <w:color w:val="auto"/>
        </w:rPr>
        <w:t>The weighted averages disclosed in the table above were weighted by their relative fair value.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2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Range of Input</w:t>
            </w:r>
          </w:p>
        </w:tc>
      </w:tr>
      <w:tr>
        <w:trPr>
          <w:trHeight w:val="169"/>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Asset Category </w:t>
            </w:r>
            <w:r>
              <w:rPr>
                <w:rFonts w:ascii="Times New Roman" w:cs="Times New Roman" w:eastAsia="Times New Roman" w:hAnsi="Times New Roman"/>
                <w:sz w:val="13"/>
                <w:szCs w:val="13"/>
                <w:color w:val="auto"/>
              </w:rPr>
              <w:t>($ in thousands)</w:t>
            </w:r>
          </w:p>
        </w:tc>
        <w:tc>
          <w:tcPr>
            <w:tcW w:w="160" w:type="dxa"/>
            <w:vAlign w:val="bottom"/>
          </w:tcPr>
          <w:p>
            <w:pPr>
              <w:spacing w:after="0"/>
              <w:rPr>
                <w:sz w:val="14"/>
                <w:szCs w:val="14"/>
                <w:color w:val="auto"/>
              </w:rPr>
            </w:pPr>
          </w:p>
        </w:tc>
        <w:tc>
          <w:tcPr>
            <w:tcW w:w="144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2200" w:type="dxa"/>
            <w:vAlign w:val="bottom"/>
          </w:tcPr>
          <w:p>
            <w:pPr>
              <w:jc w:val="center"/>
              <w:ind w:left="154"/>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Unobservable Input</w:t>
            </w:r>
          </w:p>
        </w:tc>
        <w:tc>
          <w:tcPr>
            <w:tcW w:w="1940" w:type="dxa"/>
            <w:vAlign w:val="bottom"/>
          </w:tcPr>
          <w:p>
            <w:pPr>
              <w:jc w:val="center"/>
              <w:spacing w:after="0" w:line="169" w:lineRule="exact"/>
              <w:rPr>
                <w:sz w:val="20"/>
                <w:szCs w:val="20"/>
                <w:color w:val="auto"/>
              </w:rPr>
            </w:pPr>
            <w:r>
              <w:rPr>
                <w:rFonts w:ascii="Times New Roman" w:cs="Times New Roman" w:eastAsia="Times New Roman" w:hAnsi="Times New Roman"/>
                <w:sz w:val="13"/>
                <w:szCs w:val="13"/>
                <w:b w:val="1"/>
                <w:bCs w:val="1"/>
                <w:color w:val="auto"/>
                <w:w w:val="98"/>
              </w:rPr>
              <w:t xml:space="preserve">(Weighted Average) </w:t>
            </w:r>
            <w:r>
              <w:rPr>
                <w:rFonts w:ascii="Times New Roman" w:cs="Times New Roman" w:eastAsia="Times New Roman" w:hAnsi="Times New Roman"/>
                <w:sz w:val="16"/>
                <w:szCs w:val="16"/>
                <w:b w:val="1"/>
                <w:bCs w:val="1"/>
                <w:color w:val="auto"/>
                <w:w w:val="98"/>
                <w:vertAlign w:val="superscript"/>
              </w:rPr>
              <w:t>(1)</w:t>
            </w:r>
          </w:p>
        </w:tc>
      </w:tr>
      <w:tr>
        <w:trPr>
          <w:trHeight w:val="168"/>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15,090</w:t>
            </w:r>
          </w:p>
        </w:tc>
        <w:tc>
          <w:tcPr>
            <w:tcW w:w="2200" w:type="dxa"/>
            <w:vAlign w:val="bottom"/>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Broker/Dealer bids or quotes</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r>
      <w:tr>
        <w:trPr>
          <w:trHeight w:val="156"/>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60" w:type="dxa"/>
            <w:vAlign w:val="bottom"/>
            <w:shd w:val="clear" w:color="auto" w:fill="CCECFF"/>
          </w:tcPr>
          <w:p>
            <w:pPr>
              <w:spacing w:after="0"/>
              <w:rPr>
                <w:sz w:val="13"/>
                <w:szCs w:val="13"/>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512,567</w:t>
            </w:r>
          </w:p>
        </w:tc>
        <w:tc>
          <w:tcPr>
            <w:tcW w:w="2200" w:type="dxa"/>
            <w:vAlign w:val="bottom"/>
            <w:shd w:val="clear" w:color="auto" w:fill="CCECFF"/>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7.0% - 25.0% (11.4%)</w:t>
            </w:r>
          </w:p>
        </w:tc>
      </w:tr>
      <w:tr>
        <w:trPr>
          <w:trHeight w:val="156"/>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Second lien</w:t>
            </w:r>
          </w:p>
        </w:tc>
        <w:tc>
          <w:tcPr>
            <w:tcW w:w="1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9,512</w:t>
            </w:r>
          </w:p>
        </w:tc>
        <w:tc>
          <w:tcPr>
            <w:tcW w:w="2200" w:type="dxa"/>
            <w:vAlign w:val="bottom"/>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Broker/Dealer bids or quotes</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r>
      <w:tr>
        <w:trPr>
          <w:trHeight w:val="156"/>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Second lien</w:t>
            </w:r>
          </w:p>
        </w:tc>
        <w:tc>
          <w:tcPr>
            <w:tcW w:w="160" w:type="dxa"/>
            <w:vAlign w:val="bottom"/>
            <w:shd w:val="clear" w:color="auto" w:fill="CCECFF"/>
          </w:tcPr>
          <w:p>
            <w:pPr>
              <w:spacing w:after="0"/>
              <w:rPr>
                <w:sz w:val="13"/>
                <w:szCs w:val="13"/>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70,884</w:t>
            </w:r>
          </w:p>
        </w:tc>
        <w:tc>
          <w:tcPr>
            <w:tcW w:w="2200" w:type="dxa"/>
            <w:vAlign w:val="bottom"/>
            <w:shd w:val="clear" w:color="auto" w:fill="CCECFF"/>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14.2% - 20.8% (15.9%)</w:t>
            </w:r>
          </w:p>
        </w:tc>
      </w:tr>
      <w:tr>
        <w:trPr>
          <w:trHeight w:val="156"/>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Subordinated debt / corporate notes</w:t>
            </w:r>
          </w:p>
        </w:tc>
        <w:tc>
          <w:tcPr>
            <w:tcW w:w="1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156,222</w:t>
            </w:r>
          </w:p>
        </w:tc>
        <w:tc>
          <w:tcPr>
            <w:tcW w:w="2200" w:type="dxa"/>
            <w:vAlign w:val="bottom"/>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13.4% - 18.8% (14.3%)</w:t>
            </w:r>
          </w:p>
        </w:tc>
      </w:tr>
      <w:tr>
        <w:trPr>
          <w:trHeight w:val="156"/>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60" w:type="dxa"/>
            <w:vAlign w:val="bottom"/>
            <w:shd w:val="clear" w:color="auto" w:fill="CCECFF"/>
          </w:tcPr>
          <w:p>
            <w:pPr>
              <w:spacing w:after="0"/>
              <w:rPr>
                <w:sz w:val="13"/>
                <w:szCs w:val="13"/>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161,895</w:t>
            </w:r>
          </w:p>
        </w:tc>
        <w:tc>
          <w:tcPr>
            <w:tcW w:w="2200" w:type="dxa"/>
            <w:vAlign w:val="bottom"/>
            <w:shd w:val="clear" w:color="auto" w:fill="CCECFF"/>
          </w:tcPr>
          <w:p>
            <w:pPr>
              <w:jc w:val="center"/>
              <w:ind w:left="154"/>
              <w:spacing w:after="0"/>
              <w:rPr>
                <w:sz w:val="20"/>
                <w:szCs w:val="20"/>
                <w:color w:val="auto"/>
              </w:rPr>
            </w:pPr>
            <w:r>
              <w:rPr>
                <w:rFonts w:ascii="Times New Roman" w:cs="Times New Roman" w:eastAsia="Times New Roman" w:hAnsi="Times New Roman"/>
                <w:sz w:val="13"/>
                <w:szCs w:val="13"/>
                <w:color w:val="auto"/>
              </w:rPr>
              <w:t>Enterprise Market Value</w:t>
            </w:r>
          </w:p>
        </w:tc>
        <w:tc>
          <w:tcPr>
            <w:tcW w:w="2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EBITDA multiple</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0.5x - 17.7x (10.9x)</w:t>
            </w:r>
          </w:p>
        </w:tc>
      </w:tr>
      <w:tr>
        <w:trPr>
          <w:trHeight w:val="156"/>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1,158</w:t>
            </w:r>
          </w:p>
        </w:tc>
        <w:tc>
          <w:tcPr>
            <w:tcW w:w="2200" w:type="dxa"/>
            <w:vAlign w:val="bottom"/>
          </w:tcPr>
          <w:p>
            <w:pPr>
              <w:jc w:val="center"/>
              <w:ind w:left="154"/>
              <w:spacing w:after="0"/>
              <w:rPr>
                <w:sz w:val="20"/>
                <w:szCs w:val="20"/>
                <w:color w:val="auto"/>
              </w:rPr>
            </w:pPr>
            <w:r>
              <w:rPr>
                <w:rFonts w:ascii="Times New Roman" w:cs="Times New Roman" w:eastAsia="Times New Roman" w:hAnsi="Times New Roman"/>
                <w:sz w:val="13"/>
                <w:szCs w:val="13"/>
                <w:color w:val="auto"/>
              </w:rPr>
              <w:t>Enterprise Market Value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DLOM (2)</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27.9x</w:t>
            </w:r>
          </w:p>
        </w:tc>
      </w:tr>
      <w:tr>
        <w:trPr>
          <w:trHeight w:val="196"/>
        </w:trPr>
        <w:tc>
          <w:tcPr>
            <w:tcW w:w="2580" w:type="dxa"/>
            <w:vAlign w:val="bottom"/>
            <w:tcBorders>
              <w:bottom w:val="single" w:sz="8" w:color="CCECFF"/>
            </w:tcBorders>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Total Level 3 investments</w:t>
            </w:r>
          </w:p>
        </w:tc>
        <w:tc>
          <w:tcPr>
            <w:tcW w:w="160" w:type="dxa"/>
            <w:vAlign w:val="bottom"/>
            <w:tcBorders>
              <w:bottom w:val="single" w:sz="8" w:color="auto"/>
            </w:tcBorders>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927,328</w:t>
            </w:r>
          </w:p>
        </w:tc>
        <w:tc>
          <w:tcPr>
            <w:tcW w:w="2200" w:type="dxa"/>
            <w:vAlign w:val="bottom"/>
            <w:tcBorders>
              <w:bottom w:val="single" w:sz="8" w:color="CCECFF"/>
            </w:tcBorders>
            <w:shd w:val="clear" w:color="auto" w:fill="CCECFF"/>
          </w:tcPr>
          <w:p>
            <w:pPr>
              <w:spacing w:after="0"/>
              <w:rPr>
                <w:sz w:val="17"/>
                <w:szCs w:val="17"/>
                <w:color w:val="auto"/>
              </w:rPr>
            </w:pPr>
          </w:p>
        </w:tc>
        <w:tc>
          <w:tcPr>
            <w:tcW w:w="2240" w:type="dxa"/>
            <w:vAlign w:val="bottom"/>
            <w:tcBorders>
              <w:bottom w:val="single" w:sz="8" w:color="CCECFF"/>
            </w:tcBorders>
            <w:shd w:val="clear" w:color="auto" w:fill="CCECFF"/>
          </w:tcPr>
          <w:p>
            <w:pPr>
              <w:spacing w:after="0"/>
              <w:rPr>
                <w:sz w:val="17"/>
                <w:szCs w:val="17"/>
                <w:color w:val="auto"/>
              </w:rPr>
            </w:pPr>
          </w:p>
        </w:tc>
        <w:tc>
          <w:tcPr>
            <w:tcW w:w="1940" w:type="dxa"/>
            <w:vAlign w:val="bottom"/>
            <w:tcBorders>
              <w:bottom w:val="single" w:sz="8" w:color="CCECFF"/>
            </w:tcBorders>
            <w:shd w:val="clear" w:color="auto" w:fill="CCECFF"/>
          </w:tcPr>
          <w:p>
            <w:pPr>
              <w:spacing w:after="0"/>
              <w:rPr>
                <w:sz w:val="17"/>
                <w:szCs w:val="17"/>
                <w:color w:val="auto"/>
              </w:rPr>
            </w:pPr>
          </w:p>
        </w:tc>
      </w:tr>
      <w:tr>
        <w:trPr>
          <w:trHeight w:val="132"/>
        </w:trPr>
        <w:tc>
          <w:tcPr>
            <w:tcW w:w="258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 xml:space="preserve">Debt Category </w:t>
            </w:r>
            <w:r>
              <w:rPr>
                <w:rFonts w:ascii="Times New Roman" w:cs="Times New Roman" w:eastAsia="Times New Roman" w:hAnsi="Times New Roman"/>
                <w:sz w:val="13"/>
                <w:szCs w:val="13"/>
                <w:color w:val="auto"/>
              </w:rPr>
              <w:t>($ in thousands)</w:t>
            </w:r>
          </w:p>
        </w:tc>
        <w:tc>
          <w:tcPr>
            <w:tcW w:w="1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940" w:type="dxa"/>
            <w:vAlign w:val="bottom"/>
          </w:tcPr>
          <w:p>
            <w:pPr>
              <w:spacing w:after="0"/>
              <w:rPr>
                <w:sz w:val="11"/>
                <w:szCs w:val="11"/>
                <w:color w:val="auto"/>
              </w:rPr>
            </w:pPr>
          </w:p>
        </w:tc>
      </w:tr>
      <w:tr>
        <w:trPr>
          <w:trHeight w:val="196"/>
        </w:trPr>
        <w:tc>
          <w:tcPr>
            <w:tcW w:w="2580" w:type="dxa"/>
            <w:vAlign w:val="bottom"/>
            <w:tcBorders>
              <w:bottom w:val="single" w:sz="8" w:color="CCECFF"/>
            </w:tcBorders>
            <w:shd w:val="clear" w:color="auto" w:fill="CCECFF"/>
          </w:tcPr>
          <w:p>
            <w:pPr>
              <w:ind w:left="20"/>
              <w:spacing w:after="0" w:line="136" w:lineRule="exact"/>
              <w:rPr>
                <w:sz w:val="20"/>
                <w:szCs w:val="20"/>
                <w:color w:val="auto"/>
              </w:rPr>
            </w:pPr>
            <w:r>
              <w:rPr>
                <w:rFonts w:ascii="Times New Roman" w:cs="Times New Roman" w:eastAsia="Times New Roman" w:hAnsi="Times New Roman"/>
                <w:sz w:val="13"/>
                <w:szCs w:val="13"/>
                <w:color w:val="auto"/>
              </w:rPr>
              <w:t>Truist Credit Facility</w:t>
            </w:r>
          </w:p>
        </w:tc>
        <w:tc>
          <w:tcPr>
            <w:tcW w:w="160" w:type="dxa"/>
            <w:vAlign w:val="bottom"/>
            <w:tcBorders>
              <w:bottom w:val="single" w:sz="8" w:color="auto"/>
            </w:tcBorders>
            <w:shd w:val="clear" w:color="auto" w:fill="CCECFF"/>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shd w:val="clear" w:color="auto" w:fill="CCECFF"/>
          </w:tcPr>
          <w:p>
            <w:pPr>
              <w:jc w:val="right"/>
              <w:spacing w:after="0" w:line="136" w:lineRule="exact"/>
              <w:rPr>
                <w:sz w:val="20"/>
                <w:szCs w:val="20"/>
                <w:color w:val="auto"/>
              </w:rPr>
            </w:pPr>
            <w:r>
              <w:rPr>
                <w:rFonts w:ascii="Times New Roman" w:cs="Times New Roman" w:eastAsia="Times New Roman" w:hAnsi="Times New Roman"/>
                <w:sz w:val="13"/>
                <w:szCs w:val="13"/>
                <w:color w:val="auto"/>
              </w:rPr>
              <w:t>206,940</w:t>
            </w:r>
          </w:p>
        </w:tc>
        <w:tc>
          <w:tcPr>
            <w:tcW w:w="2200" w:type="dxa"/>
            <w:vAlign w:val="bottom"/>
            <w:tcBorders>
              <w:bottom w:val="single" w:sz="8" w:color="CCECFF"/>
            </w:tcBorders>
            <w:shd w:val="clear" w:color="auto" w:fill="CCECFF"/>
          </w:tcPr>
          <w:p>
            <w:pPr>
              <w:jc w:val="center"/>
              <w:ind w:left="154"/>
              <w:spacing w:after="0" w:line="136" w:lineRule="exact"/>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tcBorders>
              <w:bottom w:val="single" w:sz="8" w:color="CCECFF"/>
            </w:tcBorders>
            <w:shd w:val="clear" w:color="auto" w:fill="CCECFF"/>
          </w:tcPr>
          <w:p>
            <w:pPr>
              <w:jc w:val="center"/>
              <w:spacing w:after="0" w:line="136" w:lineRule="exact"/>
              <w:rPr>
                <w:sz w:val="20"/>
                <w:szCs w:val="20"/>
                <w:color w:val="auto"/>
              </w:rPr>
            </w:pPr>
            <w:r>
              <w:rPr>
                <w:rFonts w:ascii="Times New Roman" w:cs="Times New Roman" w:eastAsia="Times New Roman" w:hAnsi="Times New Roman"/>
                <w:sz w:val="13"/>
                <w:szCs w:val="13"/>
                <w:color w:val="auto"/>
              </w:rPr>
              <w:t>Market yield</w:t>
            </w:r>
          </w:p>
        </w:tc>
        <w:tc>
          <w:tcPr>
            <w:tcW w:w="1940" w:type="dxa"/>
            <w:vAlign w:val="bottom"/>
            <w:tcBorders>
              <w:bottom w:val="single" w:sz="8" w:color="CCECFF"/>
            </w:tcBorders>
            <w:shd w:val="clear" w:color="auto" w:fill="CCECFF"/>
          </w:tcPr>
          <w:p>
            <w:pPr>
              <w:jc w:val="center"/>
              <w:spacing w:after="0" w:line="136" w:lineRule="exact"/>
              <w:rPr>
                <w:sz w:val="20"/>
                <w:szCs w:val="20"/>
                <w:color w:val="auto"/>
              </w:rPr>
            </w:pPr>
            <w:r>
              <w:rPr>
                <w:rFonts w:ascii="Times New Roman" w:cs="Times New Roman" w:eastAsia="Times New Roman" w:hAnsi="Times New Roman"/>
                <w:sz w:val="13"/>
                <w:szCs w:val="13"/>
                <w:color w:val="auto"/>
              </w:rPr>
              <w:t>2.4%</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1"/>
          <w:szCs w:val="11"/>
          <w:color w:val="auto"/>
        </w:rPr>
        <w:t>The weighted averages disclosed in the table above were weighted by their relative fair value.</w:t>
      </w:r>
    </w:p>
    <w:p>
      <w:pPr>
        <w:spacing w:after="0"/>
        <w:rPr>
          <w:sz w:val="20"/>
          <w:szCs w:val="20"/>
          <w:color w:val="auto"/>
        </w:rPr>
      </w:pPr>
      <w:r>
        <w:rPr>
          <w:rFonts w:ascii="Times New Roman" w:cs="Times New Roman" w:eastAsia="Times New Roman" w:hAnsi="Times New Roman"/>
          <w:sz w:val="21"/>
          <w:szCs w:val="21"/>
          <w:b w:val="1"/>
          <w:bCs w:val="1"/>
          <w:color w:val="auto"/>
          <w:vertAlign w:val="superscript"/>
        </w:rPr>
        <w:t>(2)</w:t>
      </w:r>
      <w:r>
        <w:rPr>
          <w:rFonts w:ascii="Times New Roman" w:cs="Times New Roman" w:eastAsia="Times New Roman" w:hAnsi="Times New Roman"/>
          <w:sz w:val="11"/>
          <w:szCs w:val="11"/>
          <w:color w:val="auto"/>
        </w:rPr>
        <w:t>DLOM is defined as discount for lack of marketability</w:t>
      </w:r>
    </w:p>
    <w:p>
      <w:pPr>
        <w:spacing w:after="0" w:line="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investments, cash and cash equivalents, Credit Facility, SBA debentures, 2026 Notes and 2026 Notes-2 were categorized as follows in the fair value hierarchy ($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60" w:type="dxa"/>
            <w:vAlign w:val="bottom"/>
            <w:gridSpan w:val="6"/>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Fair Value at September 30, 2024</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Measured at Net</w:t>
            </w:r>
          </w:p>
        </w:tc>
        <w:tc>
          <w:tcPr>
            <w:tcW w:w="0" w:type="dxa"/>
            <w:vAlign w:val="bottom"/>
          </w:tcPr>
          <w:p>
            <w:pPr>
              <w:spacing w:after="0"/>
              <w:rPr>
                <w:sz w:val="1"/>
                <w:szCs w:val="1"/>
                <w:color w:val="auto"/>
              </w:rPr>
            </w:pPr>
          </w:p>
        </w:tc>
      </w:tr>
      <w:tr>
        <w:trPr>
          <w:trHeight w:val="127"/>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Description </w:t>
            </w:r>
            <w:r>
              <w:rPr>
                <w:rFonts w:ascii="Times New Roman" w:cs="Times New Roman" w:eastAsia="Times New Roman" w:hAnsi="Times New Roman"/>
                <w:sz w:val="13"/>
                <w:szCs w:val="13"/>
                <w:color w:val="auto"/>
              </w:rPr>
              <w:t>($ in thousands)</w:t>
            </w:r>
          </w:p>
        </w:tc>
        <w:tc>
          <w:tcPr>
            <w:tcW w:w="180" w:type="dxa"/>
            <w:vAlign w:val="bottom"/>
          </w:tcPr>
          <w:p>
            <w:pPr>
              <w:spacing w:after="0"/>
              <w:rPr>
                <w:sz w:val="11"/>
                <w:szCs w:val="11"/>
                <w:color w:val="auto"/>
              </w:rPr>
            </w:pPr>
          </w:p>
        </w:tc>
        <w:tc>
          <w:tcPr>
            <w:tcW w:w="1020" w:type="dxa"/>
            <w:vAlign w:val="bottom"/>
            <w:vMerge w:val="restart"/>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vMerge w:val="restart"/>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vMerge w:val="restart"/>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vMerge w:val="restart"/>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80"/>
              <w:spacing w:after="0" w:line="169" w:lineRule="exact"/>
              <w:rPr>
                <w:sz w:val="20"/>
                <w:szCs w:val="20"/>
                <w:color w:val="auto"/>
              </w:rPr>
            </w:pPr>
            <w:r>
              <w:rPr>
                <w:rFonts w:ascii="Times New Roman" w:cs="Times New Roman" w:eastAsia="Times New Roman" w:hAnsi="Times New Roman"/>
                <w:sz w:val="13"/>
                <w:szCs w:val="13"/>
                <w:b w:val="1"/>
                <w:bCs w:val="1"/>
                <w:color w:val="auto"/>
                <w:w w:val="96"/>
              </w:rPr>
              <w:t xml:space="preserve">Asset Value </w:t>
            </w:r>
            <w:r>
              <w:rPr>
                <w:rFonts w:ascii="Times New Roman" w:cs="Times New Roman" w:eastAsia="Times New Roman" w:hAnsi="Times New Roman"/>
                <w:sz w:val="16"/>
                <w:szCs w:val="16"/>
                <w:b w:val="1"/>
                <w:bCs w:val="1"/>
                <w:color w:val="auto"/>
                <w:w w:val="96"/>
                <w:vertAlign w:val="superscript"/>
              </w:rPr>
              <w:t>(1)</w:t>
            </w:r>
          </w:p>
        </w:tc>
        <w:tc>
          <w:tcPr>
            <w:tcW w:w="0" w:type="dxa"/>
            <w:vAlign w:val="bottom"/>
          </w:tcPr>
          <w:p>
            <w:pPr>
              <w:spacing w:after="0"/>
              <w:rPr>
                <w:sz w:val="1"/>
                <w:szCs w:val="1"/>
                <w:color w:val="auto"/>
              </w:rPr>
            </w:pPr>
          </w:p>
        </w:tc>
      </w:tr>
      <w:tr>
        <w:trPr>
          <w:trHeight w:val="168"/>
        </w:trPr>
        <w:tc>
          <w:tcPr>
            <w:tcW w:w="3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Debt investments</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916,796</w:t>
            </w:r>
          </w:p>
        </w:tc>
        <w:tc>
          <w:tcPr>
            <w:tcW w:w="48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916,796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60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3"/>
                <w:szCs w:val="13"/>
                <w:color w:val="auto"/>
              </w:rPr>
              <w:t>U.S. Government Securities</w:t>
            </w:r>
            <w:r>
              <w:rPr>
                <w:rFonts w:ascii="Times New Roman" w:cs="Times New Roman" w:eastAsia="Times New Roman" w:hAnsi="Times New Roman"/>
                <w:sz w:val="16"/>
                <w:szCs w:val="16"/>
                <w:color w:val="auto"/>
                <w:vertAlign w:val="superscript"/>
              </w:rPr>
              <w:t>(3)</w:t>
            </w:r>
          </w:p>
        </w:tc>
        <w:tc>
          <w:tcPr>
            <w:tcW w:w="180" w:type="dxa"/>
            <w:vAlign w:val="bottom"/>
            <w:shd w:val="clear" w:color="auto" w:fill="CCECFF"/>
          </w:tcPr>
          <w:p>
            <w:pPr>
              <w:spacing w:after="0"/>
              <w:rPr>
                <w:sz w:val="13"/>
                <w:szCs w:val="13"/>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99,632</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99,632</w:t>
            </w:r>
          </w:p>
        </w:tc>
        <w:tc>
          <w:tcPr>
            <w:tcW w:w="2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1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investments</w:t>
            </w: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311,622</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235,573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76,049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Total investments</w:t>
            </w:r>
          </w:p>
        </w:tc>
        <w:tc>
          <w:tcPr>
            <w:tcW w:w="180" w:type="dxa"/>
            <w:vAlign w:val="bottom"/>
            <w:shd w:val="clear" w:color="auto" w:fill="CCECFF"/>
          </w:tcPr>
          <w:p>
            <w:pPr>
              <w:spacing w:after="0"/>
              <w:rPr>
                <w:sz w:val="13"/>
                <w:szCs w:val="13"/>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1,328,050</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99,632</w:t>
            </w:r>
          </w:p>
        </w:tc>
        <w:tc>
          <w:tcPr>
            <w:tcW w:w="2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1,152,369</w:t>
            </w: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76,049</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49,861</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49,861</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3600" w:type="dxa"/>
            <w:vAlign w:val="bottom"/>
            <w:tcBorders>
              <w:bottom w:val="single" w:sz="8" w:color="CCECFF"/>
            </w:tcBorders>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Total investments and cash and cash equivalents</w:t>
            </w:r>
          </w:p>
        </w:tc>
        <w:tc>
          <w:tcPr>
            <w:tcW w:w="180" w:type="dxa"/>
            <w:vAlign w:val="bottom"/>
            <w:tcBorders>
              <w:bottom w:val="single" w:sz="8" w:color="auto"/>
            </w:tcBorders>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1,377,911</w:t>
            </w:r>
          </w:p>
        </w:tc>
        <w:tc>
          <w:tcPr>
            <w:tcW w:w="24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49,861</w:t>
            </w:r>
          </w:p>
        </w:tc>
        <w:tc>
          <w:tcPr>
            <w:tcW w:w="24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99,632</w:t>
            </w:r>
          </w:p>
        </w:tc>
        <w:tc>
          <w:tcPr>
            <w:tcW w:w="22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1,152,369</w:t>
            </w:r>
          </w:p>
        </w:tc>
        <w:tc>
          <w:tcPr>
            <w:tcW w:w="220" w:type="dxa"/>
            <w:vAlign w:val="bottom"/>
            <w:tcBorders>
              <w:bottom w:val="single" w:sz="8" w:color="CCECFF"/>
            </w:tcBorders>
            <w:shd w:val="clear" w:color="auto" w:fill="CCECFF"/>
          </w:tcPr>
          <w:p>
            <w:pPr>
              <w:spacing w:after="0"/>
              <w:rPr>
                <w:sz w:val="17"/>
                <w:szCs w:val="17"/>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76,049</w:t>
            </w:r>
          </w:p>
        </w:tc>
        <w:tc>
          <w:tcPr>
            <w:tcW w:w="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360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Truist Credit Facility</w:t>
            </w:r>
          </w:p>
        </w:tc>
        <w:tc>
          <w:tcPr>
            <w:tcW w:w="180" w:type="dxa"/>
            <w:vAlign w:val="bottom"/>
          </w:tcPr>
          <w:p>
            <w:pPr>
              <w:jc w:val="right"/>
              <w:ind w:right="3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460,361</w:t>
            </w:r>
          </w:p>
        </w:tc>
        <w:tc>
          <w:tcPr>
            <w:tcW w:w="480" w:type="dxa"/>
            <w:vAlign w:val="bottom"/>
            <w:gridSpan w:val="2"/>
          </w:tcPr>
          <w:p>
            <w:pPr>
              <w:jc w:val="right"/>
              <w:ind w:right="94"/>
              <w:spacing w:after="0" w:line="133"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94"/>
              <w:spacing w:after="0" w:line="133"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94"/>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460,361</w:t>
            </w:r>
          </w:p>
        </w:tc>
        <w:tc>
          <w:tcPr>
            <w:tcW w:w="3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60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3"/>
                <w:szCs w:val="13"/>
                <w:color w:val="auto"/>
              </w:rPr>
              <w:t>2026 Notes</w:t>
            </w:r>
            <w:r>
              <w:rPr>
                <w:rFonts w:ascii="Times New Roman" w:cs="Times New Roman" w:eastAsia="Times New Roman" w:hAnsi="Times New Roman"/>
                <w:sz w:val="16"/>
                <w:szCs w:val="16"/>
                <w:color w:val="auto"/>
                <w:vertAlign w:val="superscript"/>
              </w:rPr>
              <w:t>(2)</w:t>
            </w:r>
          </w:p>
        </w:tc>
        <w:tc>
          <w:tcPr>
            <w:tcW w:w="180" w:type="dxa"/>
            <w:vAlign w:val="bottom"/>
            <w:shd w:val="clear" w:color="auto" w:fill="CCECFF"/>
          </w:tcPr>
          <w:p>
            <w:pPr>
              <w:spacing w:after="0"/>
              <w:rPr>
                <w:sz w:val="13"/>
                <w:szCs w:val="13"/>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148,571</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148,571</w:t>
            </w:r>
          </w:p>
        </w:tc>
        <w:tc>
          <w:tcPr>
            <w:tcW w:w="2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1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60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2026 Notes-2</w:t>
            </w:r>
            <w:r>
              <w:rPr>
                <w:rFonts w:ascii="Times New Roman" w:cs="Times New Roman" w:eastAsia="Times New Roman" w:hAnsi="Times New Roman"/>
                <w:sz w:val="16"/>
                <w:szCs w:val="16"/>
                <w:color w:val="auto"/>
                <w:vertAlign w:val="superscript"/>
              </w:rPr>
              <w:t>(2)</w:t>
            </w: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163,080</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163,080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3600" w:type="dxa"/>
            <w:vAlign w:val="bottom"/>
            <w:tcBorders>
              <w:bottom w:val="single" w:sz="8" w:color="CCECFF"/>
            </w:tcBorders>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Total debt</w:t>
            </w:r>
          </w:p>
        </w:tc>
        <w:tc>
          <w:tcPr>
            <w:tcW w:w="180" w:type="dxa"/>
            <w:vAlign w:val="bottom"/>
            <w:tcBorders>
              <w:bottom w:val="single" w:sz="8" w:color="auto"/>
            </w:tcBorders>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772,012</w:t>
            </w:r>
          </w:p>
        </w:tc>
        <w:tc>
          <w:tcPr>
            <w:tcW w:w="24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311,651</w:t>
            </w:r>
          </w:p>
        </w:tc>
        <w:tc>
          <w:tcPr>
            <w:tcW w:w="22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460,361</w:t>
            </w:r>
          </w:p>
        </w:tc>
        <w:tc>
          <w:tcPr>
            <w:tcW w:w="220" w:type="dxa"/>
            <w:vAlign w:val="bottom"/>
            <w:tcBorders>
              <w:bottom w:val="single" w:sz="8" w:color="CCECFF"/>
            </w:tcBorders>
            <w:shd w:val="clear" w:color="auto" w:fill="CCECFF"/>
          </w:tcPr>
          <w:p>
            <w:pPr>
              <w:spacing w:after="0"/>
              <w:rPr>
                <w:sz w:val="17"/>
                <w:szCs w:val="17"/>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jc w:val="both"/>
        <w:ind w:right="80"/>
        <w:spacing w:after="0" w:line="210" w:lineRule="auto"/>
        <w:rPr>
          <w:sz w:val="20"/>
          <w:szCs w:val="20"/>
          <w:color w:val="auto"/>
        </w:rPr>
      </w:pP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1"/>
          <w:szCs w:val="11"/>
          <w:color w:val="auto"/>
        </w:rPr>
        <w:t>In accordance with ASC Subtopic 820-10, Fair Value Measurements and Disclosures, or ASC 820-10, our equity investment in PSLF and PTSF II is measured using the net asset value per share (or its equivalent) as a practical expedient for fair value in accordance with the specialized accounting guidance for investment companies, and thus has not been classified in the fair value hierarchy.</w:t>
      </w:r>
    </w:p>
    <w:p>
      <w:pPr>
        <w:spacing w:after="0" w:line="230" w:lineRule="auto"/>
        <w:rPr>
          <w:sz w:val="20"/>
          <w:szCs w:val="20"/>
          <w:color w:val="auto"/>
        </w:rPr>
      </w:pPr>
      <w:r>
        <w:rPr>
          <w:rFonts w:ascii="Times New Roman" w:cs="Times New Roman" w:eastAsia="Times New Roman" w:hAnsi="Times New Roman"/>
          <w:sz w:val="21"/>
          <w:szCs w:val="21"/>
          <w:b w:val="1"/>
          <w:bCs w:val="1"/>
          <w:color w:val="auto"/>
          <w:vertAlign w:val="superscript"/>
        </w:rPr>
        <w:t>(2)</w:t>
      </w:r>
      <w:r>
        <w:rPr>
          <w:rFonts w:ascii="Times New Roman" w:cs="Times New Roman" w:eastAsia="Times New Roman" w:hAnsi="Times New Roman"/>
          <w:sz w:val="11"/>
          <w:szCs w:val="11"/>
          <w:color w:val="auto"/>
        </w:rPr>
        <w:t>We elected not to apply ASC 825-10 to the 2026 Notes, and the 2026 Notes-2 and thus the balance reported in the Consolidated Statement of Assets and Liabilities represents the carrying value.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vertAlign w:val="superscript"/>
        </w:rPr>
        <w:t>(3)</w:t>
      </w:r>
      <w:r>
        <w:rPr>
          <w:rFonts w:ascii="Times New Roman" w:cs="Times New Roman" w:eastAsia="Times New Roman" w:hAnsi="Times New Roman"/>
          <w:sz w:val="11"/>
          <w:szCs w:val="11"/>
          <w:color w:val="auto"/>
        </w:rPr>
        <w:t>Our U.S. Treasury Bills are classified as Level 2, as they were valued by the pricing service who utilize broker-supplied prices.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60" w:type="dxa"/>
            <w:vAlign w:val="bottom"/>
            <w:gridSpan w:val="6"/>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Fair Value at September 30, 2023</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Measured at Net</w:t>
            </w:r>
          </w:p>
        </w:tc>
        <w:tc>
          <w:tcPr>
            <w:tcW w:w="0" w:type="dxa"/>
            <w:vAlign w:val="bottom"/>
          </w:tcPr>
          <w:p>
            <w:pPr>
              <w:spacing w:after="0"/>
              <w:rPr>
                <w:sz w:val="1"/>
                <w:szCs w:val="1"/>
                <w:color w:val="auto"/>
              </w:rPr>
            </w:pPr>
          </w:p>
        </w:tc>
      </w:tr>
      <w:tr>
        <w:trPr>
          <w:trHeight w:val="127"/>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Description </w:t>
            </w:r>
            <w:r>
              <w:rPr>
                <w:rFonts w:ascii="Times New Roman" w:cs="Times New Roman" w:eastAsia="Times New Roman" w:hAnsi="Times New Roman"/>
                <w:sz w:val="13"/>
                <w:szCs w:val="13"/>
                <w:color w:val="auto"/>
              </w:rPr>
              <w:t>($ in thousands)</w:t>
            </w:r>
          </w:p>
        </w:tc>
        <w:tc>
          <w:tcPr>
            <w:tcW w:w="180" w:type="dxa"/>
            <w:vAlign w:val="bottom"/>
          </w:tcPr>
          <w:p>
            <w:pPr>
              <w:spacing w:after="0"/>
              <w:rPr>
                <w:sz w:val="11"/>
                <w:szCs w:val="11"/>
                <w:color w:val="auto"/>
              </w:rPr>
            </w:pPr>
          </w:p>
        </w:tc>
        <w:tc>
          <w:tcPr>
            <w:tcW w:w="1020" w:type="dxa"/>
            <w:vAlign w:val="bottom"/>
            <w:vMerge w:val="restart"/>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vMerge w:val="restart"/>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vMerge w:val="restart"/>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vMerge w:val="restart"/>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80"/>
              <w:spacing w:after="0" w:line="169" w:lineRule="exact"/>
              <w:rPr>
                <w:sz w:val="20"/>
                <w:szCs w:val="20"/>
                <w:color w:val="auto"/>
              </w:rPr>
            </w:pPr>
            <w:r>
              <w:rPr>
                <w:rFonts w:ascii="Times New Roman" w:cs="Times New Roman" w:eastAsia="Times New Roman" w:hAnsi="Times New Roman"/>
                <w:sz w:val="13"/>
                <w:szCs w:val="13"/>
                <w:b w:val="1"/>
                <w:bCs w:val="1"/>
                <w:color w:val="auto"/>
                <w:w w:val="96"/>
              </w:rPr>
              <w:t xml:space="preserve">Asset Value </w:t>
            </w:r>
            <w:r>
              <w:rPr>
                <w:rFonts w:ascii="Times New Roman" w:cs="Times New Roman" w:eastAsia="Times New Roman" w:hAnsi="Times New Roman"/>
                <w:sz w:val="16"/>
                <w:szCs w:val="16"/>
                <w:b w:val="1"/>
                <w:bCs w:val="1"/>
                <w:color w:val="auto"/>
                <w:w w:val="96"/>
                <w:vertAlign w:val="superscript"/>
              </w:rPr>
              <w:t>(1)</w:t>
            </w:r>
          </w:p>
        </w:tc>
        <w:tc>
          <w:tcPr>
            <w:tcW w:w="0" w:type="dxa"/>
            <w:vAlign w:val="bottom"/>
          </w:tcPr>
          <w:p>
            <w:pPr>
              <w:spacing w:after="0"/>
              <w:rPr>
                <w:sz w:val="1"/>
                <w:szCs w:val="1"/>
                <w:color w:val="auto"/>
              </w:rPr>
            </w:pPr>
          </w:p>
        </w:tc>
      </w:tr>
      <w:tr>
        <w:trPr>
          <w:trHeight w:val="168"/>
        </w:trPr>
        <w:tc>
          <w:tcPr>
            <w:tcW w:w="3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Debt investments</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764,275</w:t>
            </w:r>
          </w:p>
        </w:tc>
        <w:tc>
          <w:tcPr>
            <w:tcW w:w="48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764,275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60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3"/>
                <w:szCs w:val="13"/>
                <w:color w:val="auto"/>
              </w:rPr>
              <w:t>U.S. Government Securities</w:t>
            </w:r>
            <w:r>
              <w:rPr>
                <w:rFonts w:ascii="Times New Roman" w:cs="Times New Roman" w:eastAsia="Times New Roman" w:hAnsi="Times New Roman"/>
                <w:sz w:val="16"/>
                <w:szCs w:val="16"/>
                <w:color w:val="auto"/>
                <w:vertAlign w:val="superscript"/>
              </w:rPr>
              <w:t>(3)</w:t>
            </w:r>
          </w:p>
        </w:tc>
        <w:tc>
          <w:tcPr>
            <w:tcW w:w="180" w:type="dxa"/>
            <w:vAlign w:val="bottom"/>
            <w:shd w:val="clear" w:color="auto" w:fill="CCECFF"/>
          </w:tcPr>
          <w:p>
            <w:pPr>
              <w:spacing w:after="0"/>
              <w:rPr>
                <w:sz w:val="13"/>
                <w:szCs w:val="13"/>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99,751</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99,751</w:t>
            </w: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1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investments</w:t>
            </w: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237,621</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163,053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74,568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Total investments</w:t>
            </w:r>
          </w:p>
        </w:tc>
        <w:tc>
          <w:tcPr>
            <w:tcW w:w="180" w:type="dxa"/>
            <w:vAlign w:val="bottom"/>
            <w:shd w:val="clear" w:color="auto" w:fill="CCECFF"/>
          </w:tcPr>
          <w:p>
            <w:pPr>
              <w:spacing w:after="0"/>
              <w:rPr>
                <w:sz w:val="13"/>
                <w:szCs w:val="13"/>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1,101,647</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99,751</w:t>
            </w: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927,328</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74,568</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38,775</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38,775</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3600" w:type="dxa"/>
            <w:vAlign w:val="bottom"/>
            <w:tcBorders>
              <w:bottom w:val="single" w:sz="8" w:color="CCECFF"/>
            </w:tcBorders>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Total investments and cash and cash equivalents</w:t>
            </w:r>
          </w:p>
        </w:tc>
        <w:tc>
          <w:tcPr>
            <w:tcW w:w="180" w:type="dxa"/>
            <w:vAlign w:val="bottom"/>
            <w:tcBorders>
              <w:bottom w:val="single" w:sz="8" w:color="auto"/>
            </w:tcBorders>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1,140,422</w:t>
            </w:r>
          </w:p>
        </w:tc>
        <w:tc>
          <w:tcPr>
            <w:tcW w:w="24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38,775</w:t>
            </w:r>
          </w:p>
        </w:tc>
        <w:tc>
          <w:tcPr>
            <w:tcW w:w="24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99,751</w:t>
            </w:r>
          </w:p>
        </w:tc>
        <w:tc>
          <w:tcPr>
            <w:tcW w:w="24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927,328</w:t>
            </w:r>
          </w:p>
        </w:tc>
        <w:tc>
          <w:tcPr>
            <w:tcW w:w="200" w:type="dxa"/>
            <w:vAlign w:val="bottom"/>
            <w:tcBorders>
              <w:bottom w:val="single" w:sz="8" w:color="CCECFF"/>
            </w:tcBorders>
            <w:shd w:val="clear" w:color="auto" w:fill="CCECFF"/>
          </w:tcPr>
          <w:p>
            <w:pPr>
              <w:spacing w:after="0"/>
              <w:rPr>
                <w:sz w:val="17"/>
                <w:szCs w:val="17"/>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74,568</w:t>
            </w:r>
          </w:p>
        </w:tc>
        <w:tc>
          <w:tcPr>
            <w:tcW w:w="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360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Truist Credit Facility</w:t>
            </w:r>
          </w:p>
        </w:tc>
        <w:tc>
          <w:tcPr>
            <w:tcW w:w="180" w:type="dxa"/>
            <w:vAlign w:val="bottom"/>
          </w:tcPr>
          <w:p>
            <w:pPr>
              <w:jc w:val="right"/>
              <w:ind w:right="3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206,940</w:t>
            </w:r>
          </w:p>
        </w:tc>
        <w:tc>
          <w:tcPr>
            <w:tcW w:w="480" w:type="dxa"/>
            <w:vAlign w:val="bottom"/>
            <w:gridSpan w:val="2"/>
          </w:tcPr>
          <w:p>
            <w:pPr>
              <w:jc w:val="right"/>
              <w:ind w:right="94"/>
              <w:spacing w:after="0" w:line="133"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94"/>
              <w:spacing w:after="0" w:line="133"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74"/>
              <w:spacing w:after="0" w:line="133"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206,940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60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2026 Notes </w:t>
            </w:r>
            <w:r>
              <w:rPr>
                <w:rFonts w:ascii="Times New Roman" w:cs="Times New Roman" w:eastAsia="Times New Roman" w:hAnsi="Times New Roman"/>
                <w:sz w:val="16"/>
                <w:szCs w:val="16"/>
                <w:color w:val="auto"/>
                <w:vertAlign w:val="superscript"/>
              </w:rPr>
              <w:t>(2)</w:t>
            </w:r>
          </w:p>
        </w:tc>
        <w:tc>
          <w:tcPr>
            <w:tcW w:w="180" w:type="dxa"/>
            <w:vAlign w:val="bottom"/>
            <w:shd w:val="clear" w:color="auto" w:fill="CCECFF"/>
          </w:tcPr>
          <w:p>
            <w:pPr>
              <w:spacing w:after="0"/>
              <w:rPr>
                <w:sz w:val="13"/>
                <w:szCs w:val="13"/>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147,669</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147,669</w:t>
            </w: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1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60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2026-2 Notes </w:t>
            </w:r>
            <w:r>
              <w:rPr>
                <w:rFonts w:ascii="Times New Roman" w:cs="Times New Roman" w:eastAsia="Times New Roman" w:hAnsi="Times New Roman"/>
                <w:sz w:val="16"/>
                <w:szCs w:val="16"/>
                <w:color w:val="auto"/>
                <w:vertAlign w:val="superscript"/>
              </w:rPr>
              <w:t>(2)</w:t>
            </w: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162,226</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162,226</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3600" w:type="dxa"/>
            <w:vAlign w:val="bottom"/>
            <w:tcBorders>
              <w:bottom w:val="single" w:sz="8" w:color="CCECFF"/>
            </w:tcBorders>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Total debt</w:t>
            </w:r>
          </w:p>
        </w:tc>
        <w:tc>
          <w:tcPr>
            <w:tcW w:w="180" w:type="dxa"/>
            <w:vAlign w:val="bottom"/>
            <w:tcBorders>
              <w:bottom w:val="single" w:sz="8" w:color="auto"/>
            </w:tcBorders>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516,835</w:t>
            </w:r>
          </w:p>
        </w:tc>
        <w:tc>
          <w:tcPr>
            <w:tcW w:w="24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309,895</w:t>
            </w:r>
          </w:p>
        </w:tc>
        <w:tc>
          <w:tcPr>
            <w:tcW w:w="24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206,940</w:t>
            </w:r>
          </w:p>
        </w:tc>
        <w:tc>
          <w:tcPr>
            <w:tcW w:w="200" w:type="dxa"/>
            <w:vAlign w:val="bottom"/>
            <w:tcBorders>
              <w:bottom w:val="single" w:sz="8" w:color="CCECFF"/>
            </w:tcBorders>
            <w:shd w:val="clear" w:color="auto" w:fill="CCECFF"/>
          </w:tcPr>
          <w:p>
            <w:pPr>
              <w:spacing w:after="0"/>
              <w:rPr>
                <w:sz w:val="17"/>
                <w:szCs w:val="17"/>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jc w:val="both"/>
        <w:ind w:right="80"/>
        <w:spacing w:after="0" w:line="210" w:lineRule="auto"/>
        <w:rPr>
          <w:sz w:val="20"/>
          <w:szCs w:val="20"/>
          <w:color w:val="auto"/>
        </w:rPr>
      </w:pP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1"/>
          <w:szCs w:val="11"/>
          <w:color w:val="auto"/>
        </w:rPr>
        <w:t>In accordance with ASC Subtopic 820-10, Fair Value Measurements and Disclosures, or ASC 820-10, our equity investment in PSLF and PTSF II is measured using the net asset value per share (or its equivalent) as a practical expedient for fair value in accordance with the specialized accounting guidance for investment companies, and thus has not been classified in the fair value hierarchy.</w:t>
      </w:r>
    </w:p>
    <w:p>
      <w:pPr>
        <w:spacing w:after="0" w:line="230" w:lineRule="auto"/>
        <w:rPr>
          <w:sz w:val="20"/>
          <w:szCs w:val="20"/>
          <w:color w:val="auto"/>
        </w:rPr>
      </w:pPr>
      <w:r>
        <w:rPr>
          <w:rFonts w:ascii="Times New Roman" w:cs="Times New Roman" w:eastAsia="Times New Roman" w:hAnsi="Times New Roman"/>
          <w:sz w:val="21"/>
          <w:szCs w:val="21"/>
          <w:b w:val="1"/>
          <w:bCs w:val="1"/>
          <w:color w:val="auto"/>
          <w:vertAlign w:val="superscript"/>
        </w:rPr>
        <w:t>(2)</w:t>
      </w:r>
      <w:r>
        <w:rPr>
          <w:rFonts w:ascii="Times New Roman" w:cs="Times New Roman" w:eastAsia="Times New Roman" w:hAnsi="Times New Roman"/>
          <w:sz w:val="11"/>
          <w:szCs w:val="11"/>
          <w:color w:val="auto"/>
        </w:rPr>
        <w:t>We elected not to apply ASC 825-10 to the 2026 Notes, and the 2026 Notes-2 and thus the balance reported in the Consolidated Statement of Assets and Liabilities represents the carrying value.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vertAlign w:val="superscript"/>
        </w:rPr>
        <w:t>(3)</w:t>
      </w:r>
      <w:r>
        <w:rPr>
          <w:rFonts w:ascii="Times New Roman" w:cs="Times New Roman" w:eastAsia="Times New Roman" w:hAnsi="Times New Roman"/>
          <w:sz w:val="11"/>
          <w:szCs w:val="11"/>
          <w:color w:val="auto"/>
        </w:rPr>
        <w:t>Our U.S. Treasury Bills are classified as Level 2, as they were valued by the pricing service who utilize broker-supplied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97" w:name="page98"/>
    <w:bookmarkEnd w:id="9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2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tables below show a reconciliation of the beginning and ending balances for investments measured at fair value using significant unobservable inputs (Level 3) ($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60" w:type="dxa"/>
            <w:vAlign w:val="bottom"/>
            <w:gridSpan w:val="5"/>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Year Ended September 30, 2024</w:t>
            </w: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right"/>
              <w:ind w:right="734"/>
              <w:spacing w:after="0"/>
              <w:rPr>
                <w:sz w:val="20"/>
                <w:szCs w:val="20"/>
                <w:color w:val="auto"/>
              </w:rPr>
            </w:pPr>
            <w:r>
              <w:rPr>
                <w:rFonts w:ascii="Times New Roman" w:cs="Times New Roman" w:eastAsia="Times New Roman" w:hAnsi="Times New Roman"/>
                <w:sz w:val="13"/>
                <w:szCs w:val="13"/>
                <w:b w:val="1"/>
                <w:bCs w:val="1"/>
                <w:color w:val="auto"/>
              </w:rPr>
              <w:t>Debt</w:t>
            </w:r>
          </w:p>
        </w:tc>
        <w:tc>
          <w:tcPr>
            <w:tcW w:w="220" w:type="dxa"/>
            <w:vAlign w:val="bottom"/>
          </w:tcPr>
          <w:p>
            <w:pPr>
              <w:spacing w:after="0"/>
              <w:rPr>
                <w:sz w:val="13"/>
                <w:szCs w:val="13"/>
                <w:color w:val="auto"/>
              </w:rPr>
            </w:pP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80" w:type="dxa"/>
            <w:vAlign w:val="bottom"/>
          </w:tcPr>
          <w:p>
            <w:pPr>
              <w:spacing w:after="0"/>
              <w:rPr>
                <w:sz w:val="13"/>
                <w:szCs w:val="13"/>
                <w:color w:val="auto"/>
              </w:rPr>
            </w:pPr>
          </w:p>
        </w:tc>
        <w:tc>
          <w:tcPr>
            <w:tcW w:w="11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Totals</w:t>
            </w:r>
          </w:p>
        </w:tc>
        <w:tc>
          <w:tcPr>
            <w:tcW w:w="0" w:type="dxa"/>
            <w:vAlign w:val="bottom"/>
          </w:tcPr>
          <w:p>
            <w:pPr>
              <w:spacing w:after="0"/>
              <w:rPr>
                <w:sz w:val="1"/>
                <w:szCs w:val="1"/>
                <w:color w:val="auto"/>
              </w:rPr>
            </w:pPr>
          </w:p>
        </w:tc>
      </w:tr>
      <w:tr>
        <w:trPr>
          <w:trHeight w:val="90"/>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Description </w:t>
            </w:r>
            <w:r>
              <w:rPr>
                <w:rFonts w:ascii="Times New Roman" w:cs="Times New Roman" w:eastAsia="Times New Roman" w:hAnsi="Times New Roman"/>
                <w:sz w:val="13"/>
                <w:szCs w:val="13"/>
                <w:color w:val="auto"/>
              </w:rPr>
              <w:t>($ in thousands)</w:t>
            </w:r>
          </w:p>
        </w:tc>
        <w:tc>
          <w:tcPr>
            <w:tcW w:w="220" w:type="dxa"/>
            <w:vAlign w:val="bottom"/>
          </w:tcPr>
          <w:p>
            <w:pPr>
              <w:spacing w:after="0"/>
              <w:rPr>
                <w:sz w:val="7"/>
                <w:szCs w:val="7"/>
                <w:color w:val="auto"/>
              </w:rPr>
            </w:pPr>
          </w:p>
        </w:tc>
        <w:tc>
          <w:tcPr>
            <w:tcW w:w="1380" w:type="dxa"/>
            <w:vAlign w:val="bottom"/>
            <w:gridSpan w:val="2"/>
            <w:vMerge w:val="restart"/>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20" w:type="dxa"/>
            <w:vAlign w:val="bottom"/>
          </w:tcPr>
          <w:p>
            <w:pPr>
              <w:spacing w:after="0"/>
              <w:rPr>
                <w:sz w:val="7"/>
                <w:szCs w:val="7"/>
                <w:color w:val="auto"/>
              </w:rPr>
            </w:pPr>
          </w:p>
        </w:tc>
        <w:tc>
          <w:tcPr>
            <w:tcW w:w="13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8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9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764,275</w:t>
            </w:r>
          </w:p>
        </w:tc>
        <w:tc>
          <w:tcPr>
            <w:tcW w:w="260" w:type="dxa"/>
            <w:vAlign w:val="bottom"/>
          </w:tcPr>
          <w:p>
            <w:pPr>
              <w:spacing w:after="0"/>
              <w:rPr>
                <w:sz w:val="14"/>
                <w:szCs w:val="14"/>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163,053</w:t>
            </w:r>
          </w:p>
        </w:tc>
        <w:tc>
          <w:tcPr>
            <w:tcW w:w="240" w:type="dxa"/>
            <w:vAlign w:val="bottom"/>
          </w:tcPr>
          <w:p>
            <w:pPr>
              <w:spacing w:after="0"/>
              <w:rPr>
                <w:sz w:val="14"/>
                <w:szCs w:val="14"/>
                <w:color w:val="auto"/>
              </w:rPr>
            </w:pP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927,328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8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Net realized gain (loss)</w:t>
            </w:r>
          </w:p>
        </w:tc>
        <w:tc>
          <w:tcPr>
            <w:tcW w:w="220" w:type="dxa"/>
            <w:vAlign w:val="bottom"/>
            <w:shd w:val="clear" w:color="auto" w:fill="CCECFF"/>
          </w:tcPr>
          <w:p>
            <w:pPr>
              <w:spacing w:after="0"/>
              <w:rPr>
                <w:sz w:val="13"/>
                <w:szCs w:val="13"/>
                <w:color w:val="auto"/>
              </w:rPr>
            </w:pPr>
          </w:p>
        </w:tc>
        <w:tc>
          <w:tcPr>
            <w:tcW w:w="1380" w:type="dxa"/>
            <w:vAlign w:val="bottom"/>
            <w:gridSpan w:val="2"/>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(23,028 )</w:t>
            </w:r>
          </w:p>
        </w:tc>
        <w:tc>
          <w:tcPr>
            <w:tcW w:w="220" w:type="dxa"/>
            <w:vAlign w:val="bottom"/>
            <w:shd w:val="clear" w:color="auto" w:fill="CCECFF"/>
          </w:tcPr>
          <w:p>
            <w:pPr>
              <w:spacing w:after="0"/>
              <w:rPr>
                <w:sz w:val="13"/>
                <w:szCs w:val="13"/>
                <w:color w:val="auto"/>
              </w:rPr>
            </w:pPr>
          </w:p>
        </w:tc>
        <w:tc>
          <w:tcPr>
            <w:tcW w:w="13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(10,053 )</w:t>
            </w:r>
          </w:p>
        </w:tc>
        <w:tc>
          <w:tcPr>
            <w:tcW w:w="28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(33,081 )</w:t>
            </w:r>
          </w:p>
        </w:tc>
        <w:tc>
          <w:tcPr>
            <w:tcW w:w="0" w:type="dxa"/>
            <w:vAlign w:val="bottom"/>
          </w:tcPr>
          <w:p>
            <w:pPr>
              <w:spacing w:after="0"/>
              <w:rPr>
                <w:sz w:val="1"/>
                <w:szCs w:val="1"/>
                <w:color w:val="auto"/>
              </w:rPr>
            </w:pPr>
          </w:p>
        </w:tc>
      </w:tr>
      <w:tr>
        <w:trPr>
          <w:trHeight w:val="156"/>
        </w:trPr>
        <w:tc>
          <w:tcPr>
            <w:tcW w:w="59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change in unrealized appreciation (depreciation)</w:t>
            </w:r>
          </w:p>
        </w:tc>
        <w:tc>
          <w:tcPr>
            <w:tcW w:w="220" w:type="dxa"/>
            <w:vAlign w:val="bottom"/>
          </w:tcPr>
          <w:p>
            <w:pPr>
              <w:spacing w:after="0"/>
              <w:rPr>
                <w:sz w:val="13"/>
                <w:szCs w:val="13"/>
                <w:color w:val="auto"/>
              </w:rPr>
            </w:pPr>
          </w:p>
        </w:tc>
        <w:tc>
          <w:tcPr>
            <w:tcW w:w="138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(5,374 )</w:t>
            </w: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35,990</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98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Purchases, PIK interest, net discount accretion and non-cash exchanges</w:t>
            </w:r>
          </w:p>
        </w:tc>
        <w:tc>
          <w:tcPr>
            <w:tcW w:w="220" w:type="dxa"/>
            <w:vAlign w:val="bottom"/>
            <w:shd w:val="clear" w:color="auto" w:fill="CCECFF"/>
          </w:tcPr>
          <w:p>
            <w:pPr>
              <w:spacing w:after="0"/>
              <w:rPr>
                <w:sz w:val="16"/>
                <w:szCs w:val="16"/>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726,526</w:t>
            </w:r>
          </w:p>
        </w:tc>
        <w:tc>
          <w:tcPr>
            <w:tcW w:w="26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59,520</w:t>
            </w:r>
          </w:p>
        </w:tc>
        <w:tc>
          <w:tcPr>
            <w:tcW w:w="2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786,046</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9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Sales, repayments and non-cash exchanges</w:t>
            </w:r>
          </w:p>
        </w:tc>
        <w:tc>
          <w:tcPr>
            <w:tcW w:w="220" w:type="dxa"/>
            <w:vAlign w:val="bottom"/>
          </w:tcPr>
          <w:p>
            <w:pPr>
              <w:spacing w:after="0"/>
              <w:rPr>
                <w:sz w:val="13"/>
                <w:szCs w:val="13"/>
                <w:color w:val="auto"/>
              </w:rPr>
            </w:pPr>
          </w:p>
        </w:tc>
        <w:tc>
          <w:tcPr>
            <w:tcW w:w="138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(545,603 )</w:t>
            </w:r>
          </w:p>
        </w:tc>
        <w:tc>
          <w:tcPr>
            <w:tcW w:w="220" w:type="dxa"/>
            <w:vAlign w:val="bottom"/>
          </w:tcPr>
          <w:p>
            <w:pPr>
              <w:spacing w:after="0"/>
              <w:rPr>
                <w:sz w:val="13"/>
                <w:szCs w:val="13"/>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(12,937 )</w:t>
            </w:r>
          </w:p>
        </w:tc>
        <w:tc>
          <w:tcPr>
            <w:tcW w:w="280" w:type="dxa"/>
            <w:vAlign w:val="bottom"/>
          </w:tcPr>
          <w:p>
            <w:pPr>
              <w:spacing w:after="0"/>
              <w:rPr>
                <w:sz w:val="13"/>
                <w:szCs w:val="13"/>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(558,540 )</w:t>
            </w:r>
          </w:p>
        </w:tc>
        <w:tc>
          <w:tcPr>
            <w:tcW w:w="0" w:type="dxa"/>
            <w:vAlign w:val="bottom"/>
          </w:tcPr>
          <w:p>
            <w:pPr>
              <w:spacing w:after="0"/>
              <w:rPr>
                <w:sz w:val="1"/>
                <w:szCs w:val="1"/>
                <w:color w:val="auto"/>
              </w:rPr>
            </w:pPr>
          </w:p>
        </w:tc>
      </w:tr>
      <w:tr>
        <w:trPr>
          <w:trHeight w:val="156"/>
        </w:trPr>
        <w:tc>
          <w:tcPr>
            <w:tcW w:w="598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Transfers in/out of Level 3</w:t>
            </w:r>
          </w:p>
        </w:tc>
        <w:tc>
          <w:tcPr>
            <w:tcW w:w="220" w:type="dxa"/>
            <w:vAlign w:val="bottom"/>
            <w:shd w:val="clear" w:color="auto" w:fill="CCECFF"/>
          </w:tcPr>
          <w:p>
            <w:pPr>
              <w:spacing w:after="0"/>
              <w:rPr>
                <w:sz w:val="13"/>
                <w:szCs w:val="13"/>
                <w:color w:val="auto"/>
              </w:rPr>
            </w:pPr>
          </w:p>
        </w:tc>
        <w:tc>
          <w:tcPr>
            <w:tcW w:w="1380" w:type="dxa"/>
            <w:vAlign w:val="bottom"/>
            <w:gridSpan w:val="2"/>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3"/>
                <w:szCs w:val="13"/>
                <w:color w:val="auto"/>
              </w:rPr>
            </w:pPr>
          </w:p>
        </w:tc>
        <w:tc>
          <w:tcPr>
            <w:tcW w:w="13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916,796</w:t>
            </w:r>
          </w:p>
        </w:tc>
        <w:tc>
          <w:tcPr>
            <w:tcW w:w="260" w:type="dxa"/>
            <w:vAlign w:val="bottom"/>
          </w:tcPr>
          <w:p>
            <w:pPr>
              <w:spacing w:after="0"/>
              <w:rPr>
                <w:sz w:val="13"/>
                <w:szCs w:val="13"/>
                <w:color w:val="auto"/>
              </w:rPr>
            </w:pPr>
          </w:p>
        </w:tc>
        <w:tc>
          <w:tcPr>
            <w:tcW w:w="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235,573</w:t>
            </w:r>
          </w:p>
        </w:tc>
        <w:tc>
          <w:tcPr>
            <w:tcW w:w="240" w:type="dxa"/>
            <w:vAlign w:val="bottom"/>
          </w:tcPr>
          <w:p>
            <w:pPr>
              <w:spacing w:after="0"/>
              <w:rPr>
                <w:sz w:val="13"/>
                <w:szCs w:val="13"/>
                <w:color w:val="auto"/>
              </w:rPr>
            </w:pPr>
          </w:p>
        </w:tc>
        <w:tc>
          <w:tcPr>
            <w:tcW w:w="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1,152,369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980" w:type="dxa"/>
            <w:vAlign w:val="bottom"/>
            <w:shd w:val="clear" w:color="auto" w:fill="CCECFF"/>
          </w:tcPr>
          <w:p>
            <w:pPr>
              <w:ind w:left="20"/>
              <w:spacing w:after="0" w:line="121" w:lineRule="exact"/>
              <w:rPr>
                <w:sz w:val="20"/>
                <w:szCs w:val="20"/>
                <w:color w:val="auto"/>
              </w:rPr>
            </w:pPr>
            <w:r>
              <w:rPr>
                <w:rFonts w:ascii="Times New Roman" w:cs="Times New Roman" w:eastAsia="Times New Roman" w:hAnsi="Times New Roman"/>
                <w:sz w:val="13"/>
                <w:szCs w:val="13"/>
                <w:color w:val="auto"/>
              </w:rPr>
              <w:t>Net change in unrealized appreciation reported within the net change in</w:t>
            </w:r>
          </w:p>
        </w:tc>
        <w:tc>
          <w:tcPr>
            <w:tcW w:w="220" w:type="dxa"/>
            <w:vAlign w:val="bottom"/>
            <w:shd w:val="clear" w:color="auto" w:fill="CCECFF"/>
          </w:tcPr>
          <w:p>
            <w:pPr>
              <w:spacing w:after="0"/>
              <w:rPr>
                <w:sz w:val="10"/>
                <w:szCs w:val="10"/>
                <w:color w:val="auto"/>
              </w:rPr>
            </w:pPr>
          </w:p>
        </w:tc>
        <w:tc>
          <w:tcPr>
            <w:tcW w:w="112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1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10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59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unrealized appreciation on investments in our Consolidated Statements of Operations</w:t>
            </w:r>
          </w:p>
        </w:tc>
        <w:tc>
          <w:tcPr>
            <w:tcW w:w="220" w:type="dxa"/>
            <w:vAlign w:val="bottom"/>
            <w:vMerge w:val="restart"/>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gridSpan w:val="2"/>
            <w:vMerge w:val="restart"/>
            <w:shd w:val="clear" w:color="auto" w:fill="CCECFF"/>
          </w:tcPr>
          <w:p>
            <w:pPr>
              <w:jc w:val="right"/>
              <w:ind w:right="134"/>
              <w:spacing w:after="0" w:line="267" w:lineRule="exact"/>
              <w:rPr>
                <w:sz w:val="20"/>
                <w:szCs w:val="20"/>
                <w:color w:val="auto"/>
              </w:rPr>
            </w:pPr>
            <w:r>
              <w:rPr>
                <w:rFonts w:ascii="Times New Roman" w:cs="Times New Roman" w:eastAsia="Times New Roman" w:hAnsi="Times New Roman"/>
                <w:sz w:val="13"/>
                <w:szCs w:val="13"/>
                <w:color w:val="auto"/>
              </w:rPr>
              <w:t xml:space="preserve">(21,133 </w:t>
            </w:r>
            <w:r>
              <w:rPr>
                <w:rFonts w:ascii="Times New Roman" w:cs="Times New Roman" w:eastAsia="Times New Roman" w:hAnsi="Times New Roman"/>
                <w:sz w:val="26"/>
                <w:szCs w:val="26"/>
                <w:color w:val="auto"/>
                <w:vertAlign w:val="subscript"/>
              </w:rPr>
              <w:t>)</w:t>
            </w:r>
          </w:p>
        </w:tc>
        <w:tc>
          <w:tcPr>
            <w:tcW w:w="220" w:type="dxa"/>
            <w:vAlign w:val="bottom"/>
            <w:vMerge w:val="restart"/>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25,461</w:t>
            </w:r>
          </w:p>
        </w:tc>
        <w:tc>
          <w:tcPr>
            <w:tcW w:w="240" w:type="dxa"/>
            <w:vAlign w:val="bottom"/>
            <w:shd w:val="clear" w:color="auto" w:fill="CCECFF"/>
          </w:tcPr>
          <w:p>
            <w:pPr>
              <w:spacing w:after="0"/>
              <w:rPr>
                <w:sz w:val="13"/>
                <w:szCs w:val="13"/>
                <w:color w:val="auto"/>
              </w:rPr>
            </w:pPr>
          </w:p>
        </w:tc>
        <w:tc>
          <w:tcPr>
            <w:tcW w:w="280" w:type="dxa"/>
            <w:vAlign w:val="bottom"/>
            <w:vMerge w:val="restart"/>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4,328</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80" w:type="dxa"/>
            <w:vAlign w:val="bottom"/>
            <w:shd w:val="clear" w:color="auto" w:fill="CCECFF"/>
          </w:tcPr>
          <w:p>
            <w:pPr>
              <w:ind w:left="120"/>
              <w:spacing w:after="0" w:line="112" w:lineRule="exact"/>
              <w:rPr>
                <w:sz w:val="20"/>
                <w:szCs w:val="20"/>
                <w:color w:val="auto"/>
              </w:rPr>
            </w:pPr>
            <w:r>
              <w:rPr>
                <w:rFonts w:ascii="Times New Roman" w:cs="Times New Roman" w:eastAsia="Times New Roman" w:hAnsi="Times New Roman"/>
                <w:sz w:val="12"/>
                <w:szCs w:val="12"/>
                <w:color w:val="auto"/>
              </w:rPr>
              <w:t>attributable to our Level 3 assets still held at the reporting date</w:t>
            </w:r>
          </w:p>
        </w:tc>
        <w:tc>
          <w:tcPr>
            <w:tcW w:w="220" w:type="dxa"/>
            <w:vAlign w:val="bottom"/>
            <w:vMerge w:val="continue"/>
            <w:shd w:val="clear" w:color="auto" w:fill="CCECFF"/>
          </w:tcPr>
          <w:p>
            <w:pPr>
              <w:spacing w:after="0"/>
              <w:rPr>
                <w:sz w:val="13"/>
                <w:szCs w:val="13"/>
                <w:color w:val="auto"/>
              </w:rPr>
            </w:pPr>
          </w:p>
        </w:tc>
        <w:tc>
          <w:tcPr>
            <w:tcW w:w="1380" w:type="dxa"/>
            <w:vAlign w:val="bottom"/>
            <w:gridSpan w:val="2"/>
            <w:vMerge w:val="continue"/>
            <w:shd w:val="clear" w:color="auto" w:fill="CCECFF"/>
          </w:tcPr>
          <w:p>
            <w:pPr>
              <w:spacing w:after="0"/>
              <w:rPr>
                <w:sz w:val="13"/>
                <w:szCs w:val="13"/>
                <w:color w:val="auto"/>
              </w:rPr>
            </w:pPr>
          </w:p>
        </w:tc>
        <w:tc>
          <w:tcPr>
            <w:tcW w:w="220" w:type="dxa"/>
            <w:vAlign w:val="bottom"/>
            <w:vMerge w:val="continue"/>
            <w:shd w:val="clear" w:color="auto" w:fill="CCECFF"/>
          </w:tcPr>
          <w:p>
            <w:pPr>
              <w:spacing w:after="0"/>
              <w:rPr>
                <w:sz w:val="13"/>
                <w:szCs w:val="13"/>
                <w:color w:val="auto"/>
              </w:rPr>
            </w:pPr>
          </w:p>
        </w:tc>
        <w:tc>
          <w:tcPr>
            <w:tcW w:w="1120" w:type="dxa"/>
            <w:vAlign w:val="bottom"/>
            <w:vMerge w:val="continue"/>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80" w:type="dxa"/>
            <w:vAlign w:val="bottom"/>
            <w:vMerge w:val="continue"/>
            <w:shd w:val="clear" w:color="auto" w:fill="CCECFF"/>
          </w:tcPr>
          <w:p>
            <w:pPr>
              <w:spacing w:after="0"/>
              <w:rPr>
                <w:sz w:val="13"/>
                <w:szCs w:val="13"/>
                <w:color w:val="auto"/>
              </w:rPr>
            </w:pPr>
          </w:p>
        </w:tc>
        <w:tc>
          <w:tcPr>
            <w:tcW w:w="1040" w:type="dxa"/>
            <w:vAlign w:val="bottom"/>
            <w:vMerge w:val="continue"/>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4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Year Ended September 30, 2023</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right"/>
              <w:ind w:right="734"/>
              <w:spacing w:after="0"/>
              <w:rPr>
                <w:sz w:val="20"/>
                <w:szCs w:val="20"/>
                <w:color w:val="auto"/>
              </w:rPr>
            </w:pPr>
            <w:r>
              <w:rPr>
                <w:rFonts w:ascii="Times New Roman" w:cs="Times New Roman" w:eastAsia="Times New Roman" w:hAnsi="Times New Roman"/>
                <w:sz w:val="13"/>
                <w:szCs w:val="13"/>
                <w:b w:val="1"/>
                <w:bCs w:val="1"/>
                <w:color w:val="auto"/>
              </w:rPr>
              <w:t>Debt</w:t>
            </w:r>
          </w:p>
        </w:tc>
        <w:tc>
          <w:tcPr>
            <w:tcW w:w="220" w:type="dxa"/>
            <w:vAlign w:val="bottom"/>
          </w:tcPr>
          <w:p>
            <w:pPr>
              <w:spacing w:after="0"/>
              <w:rPr>
                <w:sz w:val="13"/>
                <w:szCs w:val="13"/>
                <w:color w:val="auto"/>
              </w:rPr>
            </w:pP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80" w:type="dxa"/>
            <w:vAlign w:val="bottom"/>
          </w:tcPr>
          <w:p>
            <w:pPr>
              <w:spacing w:after="0"/>
              <w:rPr>
                <w:sz w:val="13"/>
                <w:szCs w:val="13"/>
                <w:color w:val="auto"/>
              </w:rPr>
            </w:pPr>
          </w:p>
        </w:tc>
        <w:tc>
          <w:tcPr>
            <w:tcW w:w="11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Totals</w:t>
            </w:r>
          </w:p>
        </w:tc>
        <w:tc>
          <w:tcPr>
            <w:tcW w:w="0" w:type="dxa"/>
            <w:vAlign w:val="bottom"/>
          </w:tcPr>
          <w:p>
            <w:pPr>
              <w:spacing w:after="0"/>
              <w:rPr>
                <w:sz w:val="1"/>
                <w:szCs w:val="1"/>
                <w:color w:val="auto"/>
              </w:rPr>
            </w:pPr>
          </w:p>
        </w:tc>
      </w:tr>
      <w:tr>
        <w:trPr>
          <w:trHeight w:val="90"/>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Description </w:t>
            </w:r>
            <w:r>
              <w:rPr>
                <w:rFonts w:ascii="Times New Roman" w:cs="Times New Roman" w:eastAsia="Times New Roman" w:hAnsi="Times New Roman"/>
                <w:sz w:val="13"/>
                <w:szCs w:val="13"/>
                <w:color w:val="auto"/>
              </w:rPr>
              <w:t>($ in thousands)</w:t>
            </w:r>
          </w:p>
        </w:tc>
        <w:tc>
          <w:tcPr>
            <w:tcW w:w="220" w:type="dxa"/>
            <w:vAlign w:val="bottom"/>
          </w:tcPr>
          <w:p>
            <w:pPr>
              <w:spacing w:after="0"/>
              <w:rPr>
                <w:sz w:val="7"/>
                <w:szCs w:val="7"/>
                <w:color w:val="auto"/>
              </w:rPr>
            </w:pPr>
          </w:p>
        </w:tc>
        <w:tc>
          <w:tcPr>
            <w:tcW w:w="1380" w:type="dxa"/>
            <w:vAlign w:val="bottom"/>
            <w:gridSpan w:val="2"/>
            <w:vMerge w:val="restart"/>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20" w:type="dxa"/>
            <w:vAlign w:val="bottom"/>
          </w:tcPr>
          <w:p>
            <w:pPr>
              <w:spacing w:after="0"/>
              <w:rPr>
                <w:sz w:val="7"/>
                <w:szCs w:val="7"/>
                <w:color w:val="auto"/>
              </w:rPr>
            </w:pPr>
          </w:p>
        </w:tc>
        <w:tc>
          <w:tcPr>
            <w:tcW w:w="13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8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9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902,165</w:t>
            </w:r>
          </w:p>
        </w:tc>
        <w:tc>
          <w:tcPr>
            <w:tcW w:w="260" w:type="dxa"/>
            <w:vAlign w:val="bottom"/>
          </w:tcPr>
          <w:p>
            <w:pPr>
              <w:spacing w:after="0"/>
              <w:rPr>
                <w:sz w:val="14"/>
                <w:szCs w:val="14"/>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257,162</w:t>
            </w:r>
          </w:p>
        </w:tc>
        <w:tc>
          <w:tcPr>
            <w:tcW w:w="240" w:type="dxa"/>
            <w:vAlign w:val="bottom"/>
          </w:tcPr>
          <w:p>
            <w:pPr>
              <w:spacing w:after="0"/>
              <w:rPr>
                <w:sz w:val="14"/>
                <w:szCs w:val="14"/>
                <w:color w:val="auto"/>
              </w:rPr>
            </w:pP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1,159,327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8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Net realized gain (loss)</w:t>
            </w:r>
          </w:p>
        </w:tc>
        <w:tc>
          <w:tcPr>
            <w:tcW w:w="220" w:type="dxa"/>
            <w:vAlign w:val="bottom"/>
            <w:shd w:val="clear" w:color="auto" w:fill="CCECFF"/>
          </w:tcPr>
          <w:p>
            <w:pPr>
              <w:spacing w:after="0"/>
              <w:rPr>
                <w:sz w:val="13"/>
                <w:szCs w:val="13"/>
                <w:color w:val="auto"/>
              </w:rPr>
            </w:pPr>
          </w:p>
        </w:tc>
        <w:tc>
          <w:tcPr>
            <w:tcW w:w="1380" w:type="dxa"/>
            <w:vAlign w:val="bottom"/>
            <w:gridSpan w:val="2"/>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(17,070 )</w:t>
            </w:r>
          </w:p>
        </w:tc>
        <w:tc>
          <w:tcPr>
            <w:tcW w:w="220" w:type="dxa"/>
            <w:vAlign w:val="bottom"/>
            <w:shd w:val="clear" w:color="auto" w:fill="CCECFF"/>
          </w:tcPr>
          <w:p>
            <w:pPr>
              <w:spacing w:after="0"/>
              <w:rPr>
                <w:sz w:val="13"/>
                <w:szCs w:val="13"/>
                <w:color w:val="auto"/>
              </w:rPr>
            </w:pPr>
          </w:p>
        </w:tc>
        <w:tc>
          <w:tcPr>
            <w:tcW w:w="13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(128,078 )</w:t>
            </w:r>
          </w:p>
        </w:tc>
        <w:tc>
          <w:tcPr>
            <w:tcW w:w="28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(145,148 )</w:t>
            </w:r>
          </w:p>
        </w:tc>
        <w:tc>
          <w:tcPr>
            <w:tcW w:w="0" w:type="dxa"/>
            <w:vAlign w:val="bottom"/>
          </w:tcPr>
          <w:p>
            <w:pPr>
              <w:spacing w:after="0"/>
              <w:rPr>
                <w:sz w:val="1"/>
                <w:szCs w:val="1"/>
                <w:color w:val="auto"/>
              </w:rPr>
            </w:pPr>
          </w:p>
        </w:tc>
      </w:tr>
      <w:tr>
        <w:trPr>
          <w:trHeight w:val="156"/>
        </w:trPr>
        <w:tc>
          <w:tcPr>
            <w:tcW w:w="59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change in unrealized appreciation (depreciation)</w:t>
            </w: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8,446</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46,893</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55,339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8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Purchases, PIK interest, net discount accretion and non-cash exchanges</w:t>
            </w:r>
          </w:p>
        </w:tc>
        <w:tc>
          <w:tcPr>
            <w:tcW w:w="220" w:type="dxa"/>
            <w:vAlign w:val="bottom"/>
            <w:shd w:val="clear" w:color="auto" w:fill="CCECFF"/>
          </w:tcPr>
          <w:p>
            <w:pPr>
              <w:spacing w:after="0"/>
              <w:rPr>
                <w:sz w:val="13"/>
                <w:szCs w:val="13"/>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253,353</w:t>
            </w:r>
          </w:p>
        </w:tc>
        <w:tc>
          <w:tcPr>
            <w:tcW w:w="2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24,045</w:t>
            </w:r>
          </w:p>
        </w:tc>
        <w:tc>
          <w:tcPr>
            <w:tcW w:w="24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277,398</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Sales, repayments and non-cash exchanges</w:t>
            </w:r>
          </w:p>
        </w:tc>
        <w:tc>
          <w:tcPr>
            <w:tcW w:w="220" w:type="dxa"/>
            <w:vAlign w:val="bottom"/>
          </w:tcPr>
          <w:p>
            <w:pPr>
              <w:spacing w:after="0"/>
              <w:rPr>
                <w:sz w:val="13"/>
                <w:szCs w:val="13"/>
                <w:color w:val="auto"/>
              </w:rPr>
            </w:pPr>
          </w:p>
        </w:tc>
        <w:tc>
          <w:tcPr>
            <w:tcW w:w="138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(382,619 )</w:t>
            </w:r>
          </w:p>
        </w:tc>
        <w:tc>
          <w:tcPr>
            <w:tcW w:w="220" w:type="dxa"/>
            <w:vAlign w:val="bottom"/>
          </w:tcPr>
          <w:p>
            <w:pPr>
              <w:spacing w:after="0"/>
              <w:rPr>
                <w:sz w:val="13"/>
                <w:szCs w:val="13"/>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(36,969 )</w:t>
            </w:r>
          </w:p>
        </w:tc>
        <w:tc>
          <w:tcPr>
            <w:tcW w:w="280" w:type="dxa"/>
            <w:vAlign w:val="bottom"/>
          </w:tcPr>
          <w:p>
            <w:pPr>
              <w:spacing w:after="0"/>
              <w:rPr>
                <w:sz w:val="13"/>
                <w:szCs w:val="13"/>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(419,588 )</w:t>
            </w:r>
          </w:p>
        </w:tc>
        <w:tc>
          <w:tcPr>
            <w:tcW w:w="0" w:type="dxa"/>
            <w:vAlign w:val="bottom"/>
          </w:tcPr>
          <w:p>
            <w:pPr>
              <w:spacing w:after="0"/>
              <w:rPr>
                <w:sz w:val="1"/>
                <w:szCs w:val="1"/>
                <w:color w:val="auto"/>
              </w:rPr>
            </w:pPr>
          </w:p>
        </w:tc>
      </w:tr>
      <w:tr>
        <w:trPr>
          <w:trHeight w:val="156"/>
        </w:trPr>
        <w:tc>
          <w:tcPr>
            <w:tcW w:w="598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Transfers in/out of Level 3</w:t>
            </w:r>
          </w:p>
        </w:tc>
        <w:tc>
          <w:tcPr>
            <w:tcW w:w="220" w:type="dxa"/>
            <w:vAlign w:val="bottom"/>
            <w:shd w:val="clear" w:color="auto" w:fill="CCECFF"/>
          </w:tcPr>
          <w:p>
            <w:pPr>
              <w:spacing w:after="0"/>
              <w:rPr>
                <w:sz w:val="13"/>
                <w:szCs w:val="13"/>
                <w:color w:val="auto"/>
              </w:rPr>
            </w:pPr>
          </w:p>
        </w:tc>
        <w:tc>
          <w:tcPr>
            <w:tcW w:w="1380" w:type="dxa"/>
            <w:vAlign w:val="bottom"/>
            <w:gridSpan w:val="2"/>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3"/>
                <w:szCs w:val="13"/>
                <w:color w:val="auto"/>
              </w:rPr>
            </w:pPr>
          </w:p>
        </w:tc>
        <w:tc>
          <w:tcPr>
            <w:tcW w:w="13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764,275</w:t>
            </w:r>
          </w:p>
        </w:tc>
        <w:tc>
          <w:tcPr>
            <w:tcW w:w="260" w:type="dxa"/>
            <w:vAlign w:val="bottom"/>
          </w:tcPr>
          <w:p>
            <w:pPr>
              <w:spacing w:after="0"/>
              <w:rPr>
                <w:sz w:val="13"/>
                <w:szCs w:val="13"/>
                <w:color w:val="auto"/>
              </w:rPr>
            </w:pPr>
          </w:p>
        </w:tc>
        <w:tc>
          <w:tcPr>
            <w:tcW w:w="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163,053</w:t>
            </w:r>
          </w:p>
        </w:tc>
        <w:tc>
          <w:tcPr>
            <w:tcW w:w="240" w:type="dxa"/>
            <w:vAlign w:val="bottom"/>
          </w:tcPr>
          <w:p>
            <w:pPr>
              <w:spacing w:after="0"/>
              <w:rPr>
                <w:sz w:val="13"/>
                <w:szCs w:val="13"/>
                <w:color w:val="auto"/>
              </w:rPr>
            </w:pPr>
          </w:p>
        </w:tc>
        <w:tc>
          <w:tcPr>
            <w:tcW w:w="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927,328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980" w:type="dxa"/>
            <w:vAlign w:val="bottom"/>
            <w:shd w:val="clear" w:color="auto" w:fill="CCECFF"/>
          </w:tcPr>
          <w:p>
            <w:pPr>
              <w:ind w:left="20"/>
              <w:spacing w:after="0" w:line="121" w:lineRule="exact"/>
              <w:rPr>
                <w:sz w:val="20"/>
                <w:szCs w:val="20"/>
                <w:color w:val="auto"/>
              </w:rPr>
            </w:pPr>
            <w:r>
              <w:rPr>
                <w:rFonts w:ascii="Times New Roman" w:cs="Times New Roman" w:eastAsia="Times New Roman" w:hAnsi="Times New Roman"/>
                <w:sz w:val="13"/>
                <w:szCs w:val="13"/>
                <w:color w:val="auto"/>
              </w:rPr>
              <w:t>Net change in unrealized appreciation reported within the net change in</w:t>
            </w:r>
          </w:p>
        </w:tc>
        <w:tc>
          <w:tcPr>
            <w:tcW w:w="220" w:type="dxa"/>
            <w:vAlign w:val="bottom"/>
            <w:shd w:val="clear" w:color="auto" w:fill="CCECFF"/>
          </w:tcPr>
          <w:p>
            <w:pPr>
              <w:spacing w:after="0"/>
              <w:rPr>
                <w:sz w:val="10"/>
                <w:szCs w:val="10"/>
                <w:color w:val="auto"/>
              </w:rPr>
            </w:pPr>
          </w:p>
        </w:tc>
        <w:tc>
          <w:tcPr>
            <w:tcW w:w="112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1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10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59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unrealized appreciation on investments in our Consolidated Statements of Operations</w:t>
            </w:r>
          </w:p>
        </w:tc>
        <w:tc>
          <w:tcPr>
            <w:tcW w:w="220" w:type="dxa"/>
            <w:vAlign w:val="bottom"/>
            <w:vMerge w:val="restart"/>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gridSpan w:val="2"/>
            <w:vMerge w:val="restart"/>
            <w:shd w:val="clear" w:color="auto" w:fill="CCECFF"/>
          </w:tcPr>
          <w:p>
            <w:pPr>
              <w:jc w:val="right"/>
              <w:ind w:right="134"/>
              <w:spacing w:after="0" w:line="267" w:lineRule="exact"/>
              <w:rPr>
                <w:sz w:val="20"/>
                <w:szCs w:val="20"/>
                <w:color w:val="auto"/>
              </w:rPr>
            </w:pPr>
            <w:r>
              <w:rPr>
                <w:rFonts w:ascii="Times New Roman" w:cs="Times New Roman" w:eastAsia="Times New Roman" w:hAnsi="Times New Roman"/>
                <w:sz w:val="13"/>
                <w:szCs w:val="13"/>
                <w:color w:val="auto"/>
              </w:rPr>
              <w:t xml:space="preserve">(488 </w:t>
            </w:r>
            <w:r>
              <w:rPr>
                <w:rFonts w:ascii="Times New Roman" w:cs="Times New Roman" w:eastAsia="Times New Roman" w:hAnsi="Times New Roman"/>
                <w:sz w:val="26"/>
                <w:szCs w:val="26"/>
                <w:color w:val="auto"/>
                <w:vertAlign w:val="subscript"/>
              </w:rPr>
              <w:t>)</w:t>
            </w:r>
          </w:p>
        </w:tc>
        <w:tc>
          <w:tcPr>
            <w:tcW w:w="220" w:type="dxa"/>
            <w:vAlign w:val="bottom"/>
            <w:vMerge w:val="restart"/>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vMerge w:val="restart"/>
            <w:shd w:val="clear" w:color="auto" w:fill="CCECFF"/>
          </w:tcPr>
          <w:p>
            <w:pPr>
              <w:jc w:val="right"/>
              <w:ind w:right="180"/>
              <w:spacing w:after="0" w:line="267" w:lineRule="exact"/>
              <w:rPr>
                <w:sz w:val="20"/>
                <w:szCs w:val="20"/>
                <w:color w:val="auto"/>
              </w:rPr>
            </w:pPr>
            <w:r>
              <w:rPr>
                <w:rFonts w:ascii="Times New Roman" w:cs="Times New Roman" w:eastAsia="Times New Roman" w:hAnsi="Times New Roman"/>
                <w:sz w:val="13"/>
                <w:szCs w:val="13"/>
                <w:color w:val="auto"/>
              </w:rPr>
              <w:t xml:space="preserve">(37,015 </w:t>
            </w:r>
            <w:r>
              <w:rPr>
                <w:rFonts w:ascii="Times New Roman" w:cs="Times New Roman" w:eastAsia="Times New Roman" w:hAnsi="Times New Roman"/>
                <w:sz w:val="26"/>
                <w:szCs w:val="26"/>
                <w:color w:val="auto"/>
                <w:vertAlign w:val="subscript"/>
              </w:rPr>
              <w:t>)</w:t>
            </w:r>
          </w:p>
        </w:tc>
        <w:tc>
          <w:tcPr>
            <w:tcW w:w="280" w:type="dxa"/>
            <w:vAlign w:val="bottom"/>
            <w:vMerge w:val="restart"/>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vMerge w:val="restart"/>
            <w:shd w:val="clear" w:color="auto" w:fill="CCECFF"/>
          </w:tcPr>
          <w:p>
            <w:pPr>
              <w:jc w:val="right"/>
              <w:ind w:right="40"/>
              <w:spacing w:after="0" w:line="267" w:lineRule="exact"/>
              <w:rPr>
                <w:sz w:val="20"/>
                <w:szCs w:val="20"/>
                <w:color w:val="auto"/>
              </w:rPr>
            </w:pPr>
            <w:r>
              <w:rPr>
                <w:rFonts w:ascii="Times New Roman" w:cs="Times New Roman" w:eastAsia="Times New Roman" w:hAnsi="Times New Roman"/>
                <w:sz w:val="13"/>
                <w:szCs w:val="13"/>
                <w:color w:val="auto"/>
              </w:rPr>
              <w:t xml:space="preserve">(37,503 </w:t>
            </w:r>
            <w:r>
              <w:rPr>
                <w:rFonts w:ascii="Times New Roman" w:cs="Times New Roman" w:eastAsia="Times New Roman" w:hAnsi="Times New Roman"/>
                <w:sz w:val="26"/>
                <w:szCs w:val="26"/>
                <w:color w:val="auto"/>
                <w:vertAlign w:val="subscript"/>
              </w:rPr>
              <w:t>)</w:t>
            </w:r>
          </w:p>
        </w:tc>
        <w:tc>
          <w:tcPr>
            <w:tcW w:w="0" w:type="dxa"/>
            <w:vAlign w:val="bottom"/>
          </w:tcPr>
          <w:p>
            <w:pPr>
              <w:spacing w:after="0"/>
              <w:rPr>
                <w:sz w:val="1"/>
                <w:szCs w:val="1"/>
                <w:color w:val="auto"/>
              </w:rPr>
            </w:pPr>
          </w:p>
        </w:tc>
      </w:tr>
      <w:tr>
        <w:trPr>
          <w:trHeight w:val="152"/>
        </w:trPr>
        <w:tc>
          <w:tcPr>
            <w:tcW w:w="5980" w:type="dxa"/>
            <w:vAlign w:val="bottom"/>
            <w:shd w:val="clear" w:color="auto" w:fill="CCECFF"/>
          </w:tcPr>
          <w:p>
            <w:pPr>
              <w:ind w:left="120"/>
              <w:spacing w:after="0" w:line="112" w:lineRule="exact"/>
              <w:rPr>
                <w:sz w:val="20"/>
                <w:szCs w:val="20"/>
                <w:color w:val="auto"/>
              </w:rPr>
            </w:pPr>
            <w:r>
              <w:rPr>
                <w:rFonts w:ascii="Times New Roman" w:cs="Times New Roman" w:eastAsia="Times New Roman" w:hAnsi="Times New Roman"/>
                <w:sz w:val="12"/>
                <w:szCs w:val="12"/>
                <w:color w:val="auto"/>
              </w:rPr>
              <w:t>attributable to our Level 3 assets still held at the reporting date</w:t>
            </w:r>
          </w:p>
        </w:tc>
        <w:tc>
          <w:tcPr>
            <w:tcW w:w="220" w:type="dxa"/>
            <w:vAlign w:val="bottom"/>
            <w:vMerge w:val="continue"/>
            <w:shd w:val="clear" w:color="auto" w:fill="CCECFF"/>
          </w:tcPr>
          <w:p>
            <w:pPr>
              <w:spacing w:after="0"/>
              <w:rPr>
                <w:sz w:val="13"/>
                <w:szCs w:val="13"/>
                <w:color w:val="auto"/>
              </w:rPr>
            </w:pPr>
          </w:p>
        </w:tc>
        <w:tc>
          <w:tcPr>
            <w:tcW w:w="1380" w:type="dxa"/>
            <w:vAlign w:val="bottom"/>
            <w:gridSpan w:val="2"/>
            <w:vMerge w:val="continue"/>
            <w:shd w:val="clear" w:color="auto" w:fill="CCECFF"/>
          </w:tcPr>
          <w:p>
            <w:pPr>
              <w:spacing w:after="0"/>
              <w:rPr>
                <w:sz w:val="13"/>
                <w:szCs w:val="13"/>
                <w:color w:val="auto"/>
              </w:rPr>
            </w:pPr>
          </w:p>
        </w:tc>
        <w:tc>
          <w:tcPr>
            <w:tcW w:w="220" w:type="dxa"/>
            <w:vAlign w:val="bottom"/>
            <w:vMerge w:val="continue"/>
            <w:shd w:val="clear" w:color="auto" w:fill="CCECFF"/>
          </w:tcPr>
          <w:p>
            <w:pPr>
              <w:spacing w:after="0"/>
              <w:rPr>
                <w:sz w:val="13"/>
                <w:szCs w:val="13"/>
                <w:color w:val="auto"/>
              </w:rPr>
            </w:pPr>
          </w:p>
        </w:tc>
        <w:tc>
          <w:tcPr>
            <w:tcW w:w="1360" w:type="dxa"/>
            <w:vAlign w:val="bottom"/>
            <w:gridSpan w:val="2"/>
            <w:vMerge w:val="continue"/>
            <w:shd w:val="clear" w:color="auto" w:fill="CCECFF"/>
          </w:tcPr>
          <w:p>
            <w:pPr>
              <w:spacing w:after="0"/>
              <w:rPr>
                <w:sz w:val="13"/>
                <w:szCs w:val="13"/>
                <w:color w:val="auto"/>
              </w:rPr>
            </w:pPr>
          </w:p>
        </w:tc>
        <w:tc>
          <w:tcPr>
            <w:tcW w:w="280" w:type="dxa"/>
            <w:vAlign w:val="bottom"/>
            <w:vMerge w:val="continue"/>
            <w:shd w:val="clear" w:color="auto" w:fill="CCECFF"/>
          </w:tcPr>
          <w:p>
            <w:pPr>
              <w:spacing w:after="0"/>
              <w:rPr>
                <w:sz w:val="13"/>
                <w:szCs w:val="13"/>
                <w:color w:val="auto"/>
              </w:rPr>
            </w:pPr>
          </w:p>
        </w:tc>
        <w:tc>
          <w:tcPr>
            <w:tcW w:w="1120" w:type="dxa"/>
            <w:vAlign w:val="bottom"/>
            <w:gridSpan w:val="2"/>
            <w:vMerge w:val="continue"/>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table below shows a reconciliation of the beginning and ending balances for liabilities measured at fair value using significant unobservable inputs (Level 3) ($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60" w:type="dxa"/>
            <w:vAlign w:val="bottom"/>
            <w:gridSpan w:val="5"/>
          </w:tcPr>
          <w:p>
            <w:pPr>
              <w:jc w:val="right"/>
              <w:ind w:right="940"/>
              <w:spacing w:after="0"/>
              <w:rPr>
                <w:sz w:val="20"/>
                <w:szCs w:val="20"/>
                <w:color w:val="auto"/>
              </w:rPr>
            </w:pPr>
            <w:r>
              <w:rPr>
                <w:rFonts w:ascii="Times New Roman" w:cs="Times New Roman" w:eastAsia="Times New Roman" w:hAnsi="Times New Roman"/>
                <w:sz w:val="13"/>
                <w:szCs w:val="13"/>
                <w:b w:val="1"/>
                <w:bCs w:val="1"/>
                <w:color w:val="auto"/>
              </w:rPr>
              <w:t>Year Ended September 30,</w:t>
            </w:r>
          </w:p>
        </w:tc>
      </w:tr>
      <w:tr>
        <w:trPr>
          <w:trHeight w:val="170"/>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Long-Term Credit Facility</w:t>
            </w:r>
          </w:p>
        </w:tc>
        <w:tc>
          <w:tcPr>
            <w:tcW w:w="340" w:type="dxa"/>
            <w:vAlign w:val="bottom"/>
          </w:tcPr>
          <w:p>
            <w:pPr>
              <w:spacing w:after="0"/>
              <w:rPr>
                <w:sz w:val="14"/>
                <w:szCs w:val="14"/>
                <w:color w:val="auto"/>
              </w:rPr>
            </w:pPr>
          </w:p>
        </w:tc>
        <w:tc>
          <w:tcPr>
            <w:tcW w:w="114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r>
      <w:tr>
        <w:trPr>
          <w:trHeight w:val="156"/>
        </w:trPr>
        <w:tc>
          <w:tcPr>
            <w:tcW w:w="7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Beginning Balance (cost – $212,420 and $385,920, respectively)</w:t>
            </w:r>
          </w:p>
        </w:tc>
        <w:tc>
          <w:tcPr>
            <w:tcW w:w="340" w:type="dxa"/>
            <w:vAlign w:val="bottom"/>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206,940</w:t>
            </w:r>
          </w:p>
        </w:tc>
        <w:tc>
          <w:tcPr>
            <w:tcW w:w="260" w:type="dxa"/>
            <w:vAlign w:val="bottom"/>
            <w:shd w:val="clear" w:color="auto" w:fill="CCECFF"/>
          </w:tcPr>
          <w:p>
            <w:pPr>
              <w:spacing w:after="0"/>
              <w:rPr>
                <w:sz w:val="13"/>
                <w:szCs w:val="13"/>
                <w:color w:val="auto"/>
              </w:rPr>
            </w:pPr>
          </w:p>
        </w:tc>
        <w:tc>
          <w:tcPr>
            <w:tcW w:w="340" w:type="dxa"/>
            <w:vAlign w:val="bottom"/>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376,687</w:t>
            </w:r>
          </w:p>
        </w:tc>
        <w:tc>
          <w:tcPr>
            <w:tcW w:w="80" w:type="dxa"/>
            <w:vAlign w:val="bottom"/>
            <w:shd w:val="clear" w:color="auto" w:fill="CCECFF"/>
          </w:tcPr>
          <w:p>
            <w:pPr>
              <w:spacing w:after="0"/>
              <w:rPr>
                <w:sz w:val="13"/>
                <w:szCs w:val="13"/>
                <w:color w:val="auto"/>
              </w:rPr>
            </w:pPr>
          </w:p>
        </w:tc>
      </w:tr>
      <w:tr>
        <w:trPr>
          <w:trHeight w:val="172"/>
        </w:trPr>
        <w:tc>
          <w:tcPr>
            <w:tcW w:w="72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change in unrealized (depreciation) appreciation included in earnings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4,385</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3,753</w:t>
            </w:r>
          </w:p>
        </w:tc>
        <w:tc>
          <w:tcPr>
            <w:tcW w:w="80" w:type="dxa"/>
            <w:vAlign w:val="bottom"/>
          </w:tcPr>
          <w:p>
            <w:pPr>
              <w:spacing w:after="0"/>
              <w:rPr>
                <w:sz w:val="14"/>
                <w:szCs w:val="14"/>
                <w:color w:val="auto"/>
              </w:rPr>
            </w:pPr>
          </w:p>
        </w:tc>
      </w:tr>
      <w:tr>
        <w:trPr>
          <w:trHeight w:val="20"/>
        </w:trPr>
        <w:tc>
          <w:tcPr>
            <w:tcW w:w="7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7260" w:type="dxa"/>
            <w:vAlign w:val="bottom"/>
            <w:shd w:val="clear" w:color="auto" w:fill="CCECFF"/>
          </w:tcPr>
          <w:p>
            <w:pPr>
              <w:ind w:left="340"/>
              <w:spacing w:after="0" w:line="156" w:lineRule="exact"/>
              <w:rPr>
                <w:sz w:val="20"/>
                <w:szCs w:val="20"/>
                <w:color w:val="auto"/>
              </w:rPr>
            </w:pPr>
            <w:r>
              <w:rPr>
                <w:rFonts w:ascii="Times New Roman" w:cs="Times New Roman" w:eastAsia="Times New Roman" w:hAnsi="Times New Roman"/>
                <w:sz w:val="13"/>
                <w:szCs w:val="13"/>
                <w:color w:val="auto"/>
              </w:rPr>
              <w:t xml:space="preserve">Borrowings </w:t>
            </w:r>
            <w:r>
              <w:rPr>
                <w:rFonts w:ascii="Times New Roman" w:cs="Times New Roman" w:eastAsia="Times New Roman" w:hAnsi="Times New Roman"/>
                <w:sz w:val="16"/>
                <w:szCs w:val="16"/>
                <w:color w:val="auto"/>
                <w:vertAlign w:val="superscript"/>
              </w:rPr>
              <w:t>(1)</w:t>
            </w:r>
          </w:p>
        </w:tc>
        <w:tc>
          <w:tcPr>
            <w:tcW w:w="340" w:type="dxa"/>
            <w:vAlign w:val="bottom"/>
            <w:shd w:val="clear" w:color="auto" w:fill="CCECFF"/>
          </w:tcPr>
          <w:p>
            <w:pPr>
              <w:spacing w:after="0"/>
              <w:rPr>
                <w:sz w:val="13"/>
                <w:szCs w:val="13"/>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524,036</w:t>
            </w:r>
          </w:p>
        </w:tc>
        <w:tc>
          <w:tcPr>
            <w:tcW w:w="26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152,500</w:t>
            </w:r>
          </w:p>
        </w:tc>
        <w:tc>
          <w:tcPr>
            <w:tcW w:w="80" w:type="dxa"/>
            <w:vAlign w:val="bottom"/>
            <w:shd w:val="clear" w:color="auto" w:fill="CCECFF"/>
          </w:tcPr>
          <w:p>
            <w:pPr>
              <w:spacing w:after="0"/>
              <w:rPr>
                <w:sz w:val="13"/>
                <w:szCs w:val="13"/>
                <w:color w:val="auto"/>
              </w:rPr>
            </w:pPr>
          </w:p>
        </w:tc>
      </w:tr>
      <w:tr>
        <w:trPr>
          <w:trHeight w:val="156"/>
        </w:trPr>
        <w:tc>
          <w:tcPr>
            <w:tcW w:w="7260" w:type="dxa"/>
            <w:vAlign w:val="bottom"/>
          </w:tcPr>
          <w:p>
            <w:pPr>
              <w:ind w:left="340"/>
              <w:spacing w:after="0" w:line="156" w:lineRule="exact"/>
              <w:rPr>
                <w:sz w:val="20"/>
                <w:szCs w:val="20"/>
                <w:color w:val="auto"/>
              </w:rPr>
            </w:pPr>
            <w:r>
              <w:rPr>
                <w:rFonts w:ascii="Times New Roman" w:cs="Times New Roman" w:eastAsia="Times New Roman" w:hAnsi="Times New Roman"/>
                <w:sz w:val="13"/>
                <w:szCs w:val="13"/>
                <w:color w:val="auto"/>
              </w:rPr>
              <w:t xml:space="preserve">Repayments </w:t>
            </w:r>
            <w:r>
              <w:rPr>
                <w:rFonts w:ascii="Times New Roman" w:cs="Times New Roman" w:eastAsia="Times New Roman" w:hAnsi="Times New Roman"/>
                <w:sz w:val="16"/>
                <w:szCs w:val="16"/>
                <w:color w:val="auto"/>
                <w:vertAlign w:val="superscript"/>
              </w:rPr>
              <w:t>(1)</w:t>
            </w:r>
          </w:p>
        </w:tc>
        <w:tc>
          <w:tcPr>
            <w:tcW w:w="340" w:type="dxa"/>
            <w:vAlign w:val="bottom"/>
          </w:tcPr>
          <w:p>
            <w:pPr>
              <w:spacing w:after="0"/>
              <w:rPr>
                <w:sz w:val="13"/>
                <w:szCs w:val="13"/>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(275,000 )</w:t>
            </w:r>
          </w:p>
        </w:tc>
        <w:tc>
          <w:tcPr>
            <w:tcW w:w="340" w:type="dxa"/>
            <w:vAlign w:val="bottom"/>
          </w:tcPr>
          <w:p>
            <w:pPr>
              <w:spacing w:after="0"/>
              <w:rPr>
                <w:sz w:val="13"/>
                <w:szCs w:val="13"/>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(326,000 )</w:t>
            </w:r>
          </w:p>
        </w:tc>
      </w:tr>
      <w:tr>
        <w:trPr>
          <w:trHeight w:val="156"/>
        </w:trPr>
        <w:tc>
          <w:tcPr>
            <w:tcW w:w="726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Transfers in and/or out of Level 3</w:t>
            </w:r>
          </w:p>
        </w:tc>
        <w:tc>
          <w:tcPr>
            <w:tcW w:w="340" w:type="dxa"/>
            <w:vAlign w:val="bottom"/>
            <w:shd w:val="clear" w:color="auto" w:fill="CCECFF"/>
          </w:tcPr>
          <w:p>
            <w:pPr>
              <w:spacing w:after="0"/>
              <w:rPr>
                <w:sz w:val="13"/>
                <w:szCs w:val="13"/>
                <w:color w:val="auto"/>
              </w:rPr>
            </w:pPr>
          </w:p>
        </w:tc>
        <w:tc>
          <w:tcPr>
            <w:tcW w:w="140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CFF"/>
          </w:tcPr>
          <w:p>
            <w:pPr>
              <w:spacing w:after="0"/>
              <w:rPr>
                <w:sz w:val="13"/>
                <w:szCs w:val="13"/>
                <w:color w:val="auto"/>
              </w:rPr>
            </w:pPr>
          </w:p>
        </w:tc>
        <w:tc>
          <w:tcPr>
            <w:tcW w:w="12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Ending Balance (cost – $461,456 and $212,420 respectively)</w:t>
            </w:r>
          </w:p>
        </w:tc>
        <w:tc>
          <w:tcPr>
            <w:tcW w:w="3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460,361</w:t>
            </w:r>
          </w:p>
        </w:tc>
        <w:tc>
          <w:tcPr>
            <w:tcW w:w="260" w:type="dxa"/>
            <w:vAlign w:val="bottom"/>
          </w:tcPr>
          <w:p>
            <w:pPr>
              <w:spacing w:after="0"/>
              <w:rPr>
                <w:sz w:val="13"/>
                <w:szCs w:val="13"/>
                <w:color w:val="auto"/>
              </w:rPr>
            </w:pPr>
          </w:p>
        </w:tc>
        <w:tc>
          <w:tcPr>
            <w:tcW w:w="3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206,940</w:t>
            </w:r>
          </w:p>
        </w:tc>
        <w:tc>
          <w:tcPr>
            <w:tcW w:w="80" w:type="dxa"/>
            <w:vAlign w:val="bottom"/>
          </w:tcPr>
          <w:p>
            <w:pPr>
              <w:spacing w:after="0"/>
              <w:rPr>
                <w:sz w:val="13"/>
                <w:szCs w:val="13"/>
                <w:color w:val="auto"/>
              </w:rPr>
            </w:pPr>
          </w:p>
        </w:tc>
      </w:tr>
      <w:tr>
        <w:trPr>
          <w:trHeight w:val="20"/>
        </w:trPr>
        <w:tc>
          <w:tcPr>
            <w:tcW w:w="7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7260" w:type="dxa"/>
            <w:vAlign w:val="bottom"/>
            <w:shd w:val="clear" w:color="auto" w:fill="CCECFF"/>
          </w:tcPr>
          <w:p>
            <w:pPr>
              <w:ind w:left="340"/>
              <w:spacing w:after="0" w:line="133" w:lineRule="exact"/>
              <w:rPr>
                <w:sz w:val="20"/>
                <w:szCs w:val="20"/>
                <w:color w:val="auto"/>
              </w:rPr>
            </w:pPr>
            <w:r>
              <w:rPr>
                <w:rFonts w:ascii="Times New Roman" w:cs="Times New Roman" w:eastAsia="Times New Roman" w:hAnsi="Times New Roman"/>
                <w:sz w:val="13"/>
                <w:szCs w:val="13"/>
                <w:color w:val="auto"/>
              </w:rPr>
              <w:t>Temporary draws outstanding, at cost</w:t>
            </w:r>
          </w:p>
        </w:tc>
        <w:tc>
          <w:tcPr>
            <w:tcW w:w="340" w:type="dxa"/>
            <w:vAlign w:val="bottom"/>
            <w:tcBorders>
              <w:top w:val="single" w:sz="8" w:color="auto"/>
            </w:tcBorders>
            <w:shd w:val="clear" w:color="auto" w:fill="CCECFF"/>
          </w:tcPr>
          <w:p>
            <w:pPr>
              <w:spacing w:after="0"/>
              <w:rPr>
                <w:sz w:val="11"/>
                <w:szCs w:val="11"/>
                <w:color w:val="auto"/>
              </w:rPr>
            </w:pPr>
          </w:p>
        </w:tc>
        <w:tc>
          <w:tcPr>
            <w:tcW w:w="114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1"/>
                <w:szCs w:val="11"/>
                <w:color w:val="auto"/>
              </w:rPr>
            </w:pPr>
          </w:p>
        </w:tc>
        <w:tc>
          <w:tcPr>
            <w:tcW w:w="340" w:type="dxa"/>
            <w:vAlign w:val="bottom"/>
            <w:tcBorders>
              <w:top w:val="single" w:sz="8" w:color="auto"/>
            </w:tcBorders>
            <w:shd w:val="clear" w:color="auto" w:fill="CCECFF"/>
          </w:tcPr>
          <w:p>
            <w:pPr>
              <w:spacing w:after="0"/>
              <w:rPr>
                <w:sz w:val="11"/>
                <w:szCs w:val="11"/>
                <w:color w:val="auto"/>
              </w:rPr>
            </w:pPr>
          </w:p>
        </w:tc>
        <w:tc>
          <w:tcPr>
            <w:tcW w:w="114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CFF"/>
          </w:tcPr>
          <w:p>
            <w:pPr>
              <w:spacing w:after="0"/>
              <w:rPr>
                <w:sz w:val="11"/>
                <w:szCs w:val="11"/>
                <w:color w:val="auto"/>
              </w:rPr>
            </w:pPr>
          </w:p>
        </w:tc>
      </w:tr>
      <w:tr>
        <w:trPr>
          <w:trHeight w:val="156"/>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Ending Balance (cost – $461,456 and $212,420 respectively)</w:t>
            </w:r>
          </w:p>
        </w:tc>
        <w:tc>
          <w:tcPr>
            <w:tcW w:w="3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460,361</w:t>
            </w:r>
          </w:p>
        </w:tc>
        <w:tc>
          <w:tcPr>
            <w:tcW w:w="260" w:type="dxa"/>
            <w:vAlign w:val="bottom"/>
          </w:tcPr>
          <w:p>
            <w:pPr>
              <w:spacing w:after="0"/>
              <w:rPr>
                <w:sz w:val="13"/>
                <w:szCs w:val="13"/>
                <w:color w:val="auto"/>
              </w:rPr>
            </w:pPr>
          </w:p>
        </w:tc>
        <w:tc>
          <w:tcPr>
            <w:tcW w:w="3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206,940</w:t>
            </w:r>
          </w:p>
        </w:tc>
        <w:tc>
          <w:tcPr>
            <w:tcW w:w="80" w:type="dxa"/>
            <w:vAlign w:val="bottom"/>
          </w:tcPr>
          <w:p>
            <w:pPr>
              <w:spacing w:after="0"/>
              <w:rPr>
                <w:sz w:val="13"/>
                <w:szCs w:val="13"/>
                <w:color w:val="auto"/>
              </w:rPr>
            </w:pPr>
          </w:p>
        </w:tc>
      </w:tr>
      <w:tr>
        <w:trPr>
          <w:trHeight w:val="20"/>
        </w:trPr>
        <w:tc>
          <w:tcPr>
            <w:tcW w:w="7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1"/>
          <w:szCs w:val="11"/>
          <w:color w:val="auto"/>
        </w:rPr>
        <w:t>Excludes temporary draws.</w:t>
      </w:r>
    </w:p>
    <w:p>
      <w:pPr>
        <w:spacing w:after="0" w:line="85" w:lineRule="exact"/>
        <w:rPr>
          <w:sz w:val="20"/>
          <w:szCs w:val="20"/>
          <w:color w:val="auto"/>
        </w:rPr>
      </w:pPr>
    </w:p>
    <w:p>
      <w:pPr>
        <w:ind w:right="100" w:firstLine="420"/>
        <w:spacing w:after="0" w:line="286" w:lineRule="auto"/>
        <w:rPr>
          <w:sz w:val="20"/>
          <w:szCs w:val="20"/>
          <w:color w:val="auto"/>
        </w:rPr>
      </w:pPr>
      <w:r>
        <w:rPr>
          <w:rFonts w:ascii="Times New Roman" w:cs="Times New Roman" w:eastAsia="Times New Roman" w:hAnsi="Times New Roman"/>
          <w:sz w:val="13"/>
          <w:szCs w:val="13"/>
          <w:color w:val="auto"/>
        </w:rPr>
        <w:t>As of September 30, 2024, we had outstanding non-U.S. dollar borrowings on our Truist Credit Facility. Net change in fair value on foreign currency translation on outstanding borrowings is listed below (£, CAD and $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Foreign Currency</w:t>
            </w:r>
          </w:p>
        </w:tc>
        <w:tc>
          <w:tcPr>
            <w:tcW w:w="620" w:type="dxa"/>
            <w:vAlign w:val="bottom"/>
          </w:tcPr>
          <w:p>
            <w:pPr>
              <w:spacing w:after="0"/>
              <w:rPr>
                <w:sz w:val="14"/>
                <w:szCs w:val="14"/>
                <w:color w:val="auto"/>
              </w:rPr>
            </w:pPr>
          </w:p>
        </w:tc>
        <w:tc>
          <w:tcPr>
            <w:tcW w:w="148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Amount Borrowed</w:t>
            </w:r>
          </w:p>
        </w:tc>
        <w:tc>
          <w:tcPr>
            <w:tcW w:w="320" w:type="dxa"/>
            <w:vAlign w:val="bottom"/>
          </w:tcPr>
          <w:p>
            <w:pPr>
              <w:spacing w:after="0"/>
              <w:rPr>
                <w:sz w:val="14"/>
                <w:szCs w:val="14"/>
                <w:color w:val="auto"/>
              </w:rPr>
            </w:pPr>
          </w:p>
        </w:tc>
        <w:tc>
          <w:tcPr>
            <w:tcW w:w="146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Borrowing Cost</w:t>
            </w:r>
          </w:p>
        </w:tc>
        <w:tc>
          <w:tcPr>
            <w:tcW w:w="340" w:type="dxa"/>
            <w:vAlign w:val="bottom"/>
          </w:tcPr>
          <w:p>
            <w:pPr>
              <w:spacing w:after="0"/>
              <w:rPr>
                <w:sz w:val="14"/>
                <w:szCs w:val="14"/>
                <w:color w:val="auto"/>
              </w:rPr>
            </w:pPr>
          </w:p>
        </w:tc>
        <w:tc>
          <w:tcPr>
            <w:tcW w:w="154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Current Value</w:t>
            </w:r>
          </w:p>
        </w:tc>
        <w:tc>
          <w:tcPr>
            <w:tcW w:w="1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Reset Date</w:t>
            </w:r>
          </w:p>
        </w:tc>
        <w:tc>
          <w:tcPr>
            <w:tcW w:w="300" w:type="dxa"/>
            <w:vAlign w:val="bottom"/>
          </w:tcPr>
          <w:p>
            <w:pPr>
              <w:spacing w:after="0"/>
              <w:rPr>
                <w:sz w:val="14"/>
                <w:szCs w:val="14"/>
                <w:color w:val="auto"/>
              </w:rPr>
            </w:pPr>
          </w:p>
        </w:tc>
        <w:tc>
          <w:tcPr>
            <w:tcW w:w="146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Change in Fair Value</w:t>
            </w:r>
          </w:p>
        </w:tc>
      </w:tr>
      <w:tr>
        <w:trPr>
          <w:trHeight w:val="156"/>
        </w:trPr>
        <w:tc>
          <w:tcPr>
            <w:tcW w:w="1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British Pound</w:t>
            </w:r>
          </w:p>
        </w:tc>
        <w:tc>
          <w:tcPr>
            <w:tcW w:w="62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36,000</w:t>
            </w:r>
          </w:p>
        </w:tc>
        <w:tc>
          <w:tcPr>
            <w:tcW w:w="3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49,420</w:t>
            </w:r>
          </w:p>
        </w:tc>
        <w:tc>
          <w:tcPr>
            <w:tcW w:w="34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rPr>
              <w:t>48,289</w:t>
            </w: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December 28, 2024</w:t>
            </w:r>
          </w:p>
        </w:tc>
        <w:tc>
          <w:tcPr>
            <w:tcW w:w="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(1,131 )</w:t>
            </w:r>
          </w:p>
        </w:tc>
      </w:tr>
      <w:tr>
        <w:trPr>
          <w:trHeight w:val="172"/>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Canadian dollar</w:t>
            </w:r>
          </w:p>
        </w:tc>
        <w:tc>
          <w:tcPr>
            <w:tcW w:w="620" w:type="dxa"/>
            <w:vAlign w:val="bottom"/>
          </w:tcPr>
          <w:p>
            <w:pPr>
              <w:spacing w:after="0"/>
              <w:rPr>
                <w:sz w:val="14"/>
                <w:szCs w:val="14"/>
                <w:color w:val="auto"/>
              </w:rPr>
            </w:pPr>
          </w:p>
        </w:tc>
        <w:tc>
          <w:tcPr>
            <w:tcW w:w="14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CAD 2,800</w:t>
            </w:r>
          </w:p>
        </w:tc>
        <w:tc>
          <w:tcPr>
            <w:tcW w:w="3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2,036</w:t>
            </w:r>
          </w:p>
        </w:tc>
        <w:tc>
          <w:tcPr>
            <w:tcW w:w="3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2,073</w:t>
            </w:r>
          </w:p>
        </w:tc>
        <w:tc>
          <w:tcPr>
            <w:tcW w:w="1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October 23, 2024</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36</w:t>
            </w:r>
          </w:p>
        </w:tc>
      </w:tr>
    </w:tbl>
    <w:p>
      <w:pPr>
        <w:spacing w:after="0" w:line="129" w:lineRule="exact"/>
        <w:rPr>
          <w:sz w:val="20"/>
          <w:szCs w:val="20"/>
          <w:color w:val="auto"/>
        </w:rPr>
      </w:pPr>
    </w:p>
    <w:p>
      <w:pPr>
        <w:ind w:right="100" w:firstLine="420"/>
        <w:spacing w:after="0" w:line="286" w:lineRule="auto"/>
        <w:rPr>
          <w:sz w:val="20"/>
          <w:szCs w:val="20"/>
          <w:color w:val="auto"/>
        </w:rPr>
      </w:pPr>
      <w:r>
        <w:rPr>
          <w:rFonts w:ascii="Times New Roman" w:cs="Times New Roman" w:eastAsia="Times New Roman" w:hAnsi="Times New Roman"/>
          <w:sz w:val="13"/>
          <w:szCs w:val="13"/>
          <w:color w:val="auto"/>
        </w:rPr>
        <w:t>As of September 30, 2023, we had outstanding non-U.S. dollar borrowings on our Truist Credit Facility. Net change in fair value on foreign currency translation on outstanding borrowings is listed below (£, CAD and $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Foreign Currency</w:t>
            </w:r>
          </w:p>
        </w:tc>
        <w:tc>
          <w:tcPr>
            <w:tcW w:w="620" w:type="dxa"/>
            <w:vAlign w:val="bottom"/>
          </w:tcPr>
          <w:p>
            <w:pPr>
              <w:spacing w:after="0"/>
              <w:rPr>
                <w:sz w:val="14"/>
                <w:szCs w:val="14"/>
                <w:color w:val="auto"/>
              </w:rPr>
            </w:pPr>
          </w:p>
        </w:tc>
        <w:tc>
          <w:tcPr>
            <w:tcW w:w="148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Amount Borrowed</w:t>
            </w:r>
          </w:p>
        </w:tc>
        <w:tc>
          <w:tcPr>
            <w:tcW w:w="320" w:type="dxa"/>
            <w:vAlign w:val="bottom"/>
          </w:tcPr>
          <w:p>
            <w:pPr>
              <w:spacing w:after="0"/>
              <w:rPr>
                <w:sz w:val="14"/>
                <w:szCs w:val="14"/>
                <w:color w:val="auto"/>
              </w:rPr>
            </w:pPr>
          </w:p>
        </w:tc>
        <w:tc>
          <w:tcPr>
            <w:tcW w:w="146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Borrowing Cost</w:t>
            </w:r>
          </w:p>
        </w:tc>
        <w:tc>
          <w:tcPr>
            <w:tcW w:w="340" w:type="dxa"/>
            <w:vAlign w:val="bottom"/>
          </w:tcPr>
          <w:p>
            <w:pPr>
              <w:spacing w:after="0"/>
              <w:rPr>
                <w:sz w:val="14"/>
                <w:szCs w:val="14"/>
                <w:color w:val="auto"/>
              </w:rPr>
            </w:pPr>
          </w:p>
        </w:tc>
        <w:tc>
          <w:tcPr>
            <w:tcW w:w="154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Current Value</w:t>
            </w:r>
          </w:p>
        </w:tc>
        <w:tc>
          <w:tcPr>
            <w:tcW w:w="1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Reset Date</w:t>
            </w:r>
          </w:p>
        </w:tc>
        <w:tc>
          <w:tcPr>
            <w:tcW w:w="300" w:type="dxa"/>
            <w:vAlign w:val="bottom"/>
          </w:tcPr>
          <w:p>
            <w:pPr>
              <w:spacing w:after="0"/>
              <w:rPr>
                <w:sz w:val="14"/>
                <w:szCs w:val="14"/>
                <w:color w:val="auto"/>
              </w:rPr>
            </w:pPr>
          </w:p>
        </w:tc>
        <w:tc>
          <w:tcPr>
            <w:tcW w:w="146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Change in Fair Value</w:t>
            </w:r>
          </w:p>
        </w:tc>
      </w:tr>
      <w:tr>
        <w:trPr>
          <w:trHeight w:val="156"/>
        </w:trPr>
        <w:tc>
          <w:tcPr>
            <w:tcW w:w="1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British Pound</w:t>
            </w:r>
          </w:p>
        </w:tc>
        <w:tc>
          <w:tcPr>
            <w:tcW w:w="62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36,000</w:t>
            </w:r>
          </w:p>
        </w:tc>
        <w:tc>
          <w:tcPr>
            <w:tcW w:w="3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49,420</w:t>
            </w:r>
          </w:p>
        </w:tc>
        <w:tc>
          <w:tcPr>
            <w:tcW w:w="34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rPr>
              <w:t>43,940</w:t>
            </w: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December 28, 2023</w:t>
            </w:r>
          </w:p>
        </w:tc>
        <w:tc>
          <w:tcPr>
            <w:tcW w:w="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(5,480 )</w:t>
            </w:r>
          </w:p>
        </w:tc>
      </w:tr>
    </w:tbl>
    <w:p>
      <w:pPr>
        <w:spacing w:after="0" w:line="144"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825 -10 to our Truist Credit Facility. We elected to use the fair value option for the Truist Credit Facility to align the measurement attributes of both our assets and liabilities while mitigating volatility in earnings from using different measurement attributes. Due to that election and in accordance with GAAP, we incurred expenses of zero, zero, and $5.1 million relating to amendment costs on the Truist Credit Facility during the years ended September 30, 2024, 2023, and 2022, respectively. ASC 825 -10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98" w:name="page99"/>
    <w:bookmarkEnd w:id="98"/>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173" w:lineRule="exact"/>
        <w:rPr>
          <w:sz w:val="20"/>
          <w:szCs w:val="20"/>
          <w:color w:val="auto"/>
        </w:rPr>
      </w:pPr>
    </w:p>
    <w:p>
      <w:pPr>
        <w:ind w:firstLine="420"/>
        <w:spacing w:after="0" w:line="268" w:lineRule="auto"/>
        <w:rPr>
          <w:sz w:val="20"/>
          <w:szCs w:val="20"/>
          <w:color w:val="auto"/>
        </w:rPr>
      </w:pPr>
      <w:r>
        <w:rPr>
          <w:rFonts w:ascii="Times New Roman" w:cs="Times New Roman" w:eastAsia="Times New Roman" w:hAnsi="Times New Roman"/>
          <w:sz w:val="13"/>
          <w:szCs w:val="13"/>
          <w:color w:val="auto"/>
        </w:rPr>
        <w:t>ASC 825-10 also requires entities to display the fair value of the selected assets and liabilities on the face of the Consolidated Statements of Assets and Liabilities and changes in fair value of the Truist Credit Facility are reported in our Consolidated Statements of Operations. We did not elect to apply ASC 825-10 to any other financial assets or liabilities, including the 2024 Notes, the 2026 Notes, the 2026 Notes-2 and the SBA debentures.</w:t>
      </w:r>
    </w:p>
    <w:p>
      <w:pPr>
        <w:spacing w:after="0" w:line="87" w:lineRule="exact"/>
        <w:rPr>
          <w:sz w:val="20"/>
          <w:szCs w:val="20"/>
          <w:color w:val="auto"/>
        </w:rPr>
      </w:pPr>
    </w:p>
    <w:p>
      <w:pPr>
        <w:ind w:right="100" w:firstLine="420"/>
        <w:spacing w:after="0" w:line="268" w:lineRule="auto"/>
        <w:rPr>
          <w:sz w:val="20"/>
          <w:szCs w:val="20"/>
          <w:color w:val="auto"/>
        </w:rPr>
      </w:pPr>
      <w:r>
        <w:rPr>
          <w:rFonts w:ascii="Times New Roman" w:cs="Times New Roman" w:eastAsia="Times New Roman" w:hAnsi="Times New Roman"/>
          <w:sz w:val="13"/>
          <w:szCs w:val="13"/>
          <w:color w:val="auto"/>
        </w:rPr>
        <w:t>For the year ended September 30, 2024, 2023, and 2022 the Credit Facility had a net change in unrealized (appreciation) depreciation of $(4.4) million, $(3.8) million and $7.5 million, respectively. As of September 30, 2024, 2023, and 2022, the net unrealized (appreciation) depreciation on Truist Credit Facility totaled $1.1 million, $5.5 million, and $9.2 million, respectively. We use an independent valuation service to measure the fair value of our Truist Credit Facility in a manner consistent with the valuation process that our board of directors uses to value our investments.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6. TRANSACTIONS WITH AFFILIATED COMPANIES</w:t>
      </w:r>
    </w:p>
    <w:p>
      <w:pPr>
        <w:spacing w:after="0" w:line="129" w:lineRule="exact"/>
        <w:rPr>
          <w:sz w:val="20"/>
          <w:szCs w:val="20"/>
          <w:color w:val="auto"/>
        </w:rPr>
      </w:pPr>
    </w:p>
    <w:p>
      <w:pPr>
        <w:jc w:val="both"/>
        <w:ind w:right="220" w:firstLine="420"/>
        <w:spacing w:after="0" w:line="268" w:lineRule="auto"/>
        <w:rPr>
          <w:sz w:val="20"/>
          <w:szCs w:val="20"/>
          <w:color w:val="auto"/>
        </w:rPr>
      </w:pPr>
      <w:r>
        <w:rPr>
          <w:rFonts w:ascii="Times New Roman" w:cs="Times New Roman" w:eastAsia="Times New Roman" w:hAnsi="Times New Roman"/>
          <w:sz w:val="13"/>
          <w:szCs w:val="13"/>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year ended September 30, 2024 and 2023 were as follows ($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8"/>
              </w:rPr>
              <w:t>Net Change in</w:t>
            </w:r>
          </w:p>
        </w:tc>
        <w:tc>
          <w:tcPr>
            <w:tcW w:w="100" w:type="dxa"/>
            <w:vAlign w:val="bottom"/>
          </w:tcPr>
          <w:p>
            <w:pPr>
              <w:spacing w:after="0"/>
              <w:rPr>
                <w:sz w:val="13"/>
                <w:szCs w:val="13"/>
                <w:color w:val="auto"/>
              </w:rPr>
            </w:pPr>
          </w:p>
        </w:tc>
        <w:tc>
          <w:tcPr>
            <w:tcW w:w="64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1"/>
              </w:rPr>
              <w:t>at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Net Realized</w:t>
            </w:r>
          </w:p>
        </w:tc>
        <w:tc>
          <w:tcPr>
            <w:tcW w:w="0" w:type="dxa"/>
            <w:vAlign w:val="bottom"/>
          </w:tcPr>
          <w:p>
            <w:pPr>
              <w:spacing w:after="0"/>
              <w:rPr>
                <w:sz w:val="1"/>
                <w:szCs w:val="1"/>
                <w:color w:val="auto"/>
              </w:rPr>
            </w:pPr>
          </w:p>
        </w:tc>
      </w:tr>
      <w:tr>
        <w:trPr>
          <w:trHeight w:val="145"/>
        </w:trPr>
        <w:tc>
          <w:tcPr>
            <w:tcW w:w="2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14"/>
              <w:spacing w:after="0" w:line="145"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174"/>
              <w:spacing w:after="0" w:line="145"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420"/>
              <w:spacing w:after="0" w:line="145" w:lineRule="exact"/>
              <w:rPr>
                <w:sz w:val="20"/>
                <w:szCs w:val="20"/>
                <w:color w:val="auto"/>
              </w:rPr>
            </w:pPr>
            <w:r>
              <w:rPr>
                <w:rFonts w:ascii="Times New Roman" w:cs="Times New Roman" w:eastAsia="Times New Roman" w:hAnsi="Times New Roman"/>
                <w:sz w:val="13"/>
                <w:szCs w:val="13"/>
                <w:b w:val="1"/>
                <w:bCs w:val="1"/>
                <w:color w:val="auto"/>
              </w:rPr>
              <w:t>Gross</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5" w:lineRule="exact"/>
              <w:rPr>
                <w:sz w:val="20"/>
                <w:szCs w:val="20"/>
                <w:color w:val="auto"/>
              </w:rPr>
            </w:pPr>
            <w:r>
              <w:rPr>
                <w:rFonts w:ascii="Times New Roman" w:cs="Times New Roman" w:eastAsia="Times New Roman" w:hAnsi="Times New Roman"/>
                <w:sz w:val="13"/>
                <w:szCs w:val="13"/>
                <w:b w:val="1"/>
                <w:bCs w:val="1"/>
                <w:color w:val="auto"/>
              </w:rPr>
              <w:t>Appreciation /</w:t>
            </w:r>
          </w:p>
        </w:tc>
        <w:tc>
          <w:tcPr>
            <w:tcW w:w="74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September</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34"/>
              <w:spacing w:after="0" w:line="145"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74"/>
              <w:spacing w:after="0" w:line="145" w:lineRule="exact"/>
              <w:rPr>
                <w:sz w:val="20"/>
                <w:szCs w:val="20"/>
                <w:color w:val="auto"/>
              </w:rPr>
            </w:pPr>
            <w:r>
              <w:rPr>
                <w:rFonts w:ascii="Times New Roman" w:cs="Times New Roman" w:eastAsia="Times New Roman" w:hAnsi="Times New Roman"/>
                <w:sz w:val="13"/>
                <w:szCs w:val="13"/>
                <w:b w:val="1"/>
                <w:bCs w:val="1"/>
                <w:color w:val="auto"/>
              </w:rPr>
              <w:t>PIK</w:t>
            </w:r>
          </w:p>
        </w:tc>
        <w:tc>
          <w:tcPr>
            <w:tcW w:w="200" w:type="dxa"/>
            <w:vAlign w:val="bottom"/>
          </w:tcPr>
          <w:p>
            <w:pPr>
              <w:spacing w:after="0"/>
              <w:rPr>
                <w:sz w:val="12"/>
                <w:szCs w:val="12"/>
                <w:color w:val="auto"/>
              </w:rPr>
            </w:pPr>
          </w:p>
        </w:tc>
        <w:tc>
          <w:tcPr>
            <w:tcW w:w="6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300"/>
              <w:spacing w:after="0" w:line="145" w:lineRule="exact"/>
              <w:rPr>
                <w:sz w:val="20"/>
                <w:szCs w:val="20"/>
                <w:color w:val="auto"/>
              </w:rPr>
            </w:pPr>
            <w:r>
              <w:rPr>
                <w:rFonts w:ascii="Times New Roman" w:cs="Times New Roman" w:eastAsia="Times New Roman" w:hAnsi="Times New Roman"/>
                <w:sz w:val="13"/>
                <w:szCs w:val="13"/>
                <w:b w:val="1"/>
                <w:bCs w:val="1"/>
                <w:color w:val="auto"/>
              </w:rPr>
              <w:t>Gains</w:t>
            </w:r>
          </w:p>
        </w:tc>
        <w:tc>
          <w:tcPr>
            <w:tcW w:w="0" w:type="dxa"/>
            <w:vAlign w:val="bottom"/>
          </w:tcPr>
          <w:p>
            <w:pPr>
              <w:spacing w:after="0"/>
              <w:rPr>
                <w:sz w:val="1"/>
                <w:szCs w:val="1"/>
                <w:color w:val="auto"/>
              </w:rPr>
            </w:pPr>
          </w:p>
        </w:tc>
      </w:tr>
      <w:tr>
        <w:trPr>
          <w:trHeight w:val="181"/>
        </w:trPr>
        <w:tc>
          <w:tcPr>
            <w:tcW w:w="2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Name of Investment</w:t>
            </w: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14"/>
              <w:spacing w:after="0" w:line="181" w:lineRule="exact"/>
              <w:rPr>
                <w:sz w:val="20"/>
                <w:szCs w:val="20"/>
                <w:color w:val="auto"/>
              </w:rPr>
            </w:pPr>
            <w:r>
              <w:rPr>
                <w:rFonts w:ascii="Times New Roman" w:cs="Times New Roman" w:eastAsia="Times New Roman" w:hAnsi="Times New Roman"/>
                <w:sz w:val="13"/>
                <w:szCs w:val="13"/>
                <w:b w:val="1"/>
                <w:bCs w:val="1"/>
                <w:color w:val="auto"/>
                <w:w w:val="95"/>
              </w:rPr>
              <w:t>Additions</w:t>
            </w:r>
            <w:r>
              <w:rPr>
                <w:rFonts w:ascii="Times New Roman" w:cs="Times New Roman" w:eastAsia="Times New Roman" w:hAnsi="Times New Roman"/>
                <w:sz w:val="16"/>
                <w:szCs w:val="16"/>
                <w:b w:val="1"/>
                <w:bCs w:val="1"/>
                <w:color w:val="auto"/>
                <w:w w:val="95"/>
                <w:vertAlign w:val="superscript"/>
              </w:rPr>
              <w:t>(1)</w:t>
            </w:r>
          </w:p>
        </w:tc>
        <w:tc>
          <w:tcPr>
            <w:tcW w:w="220" w:type="dxa"/>
            <w:vAlign w:val="bottom"/>
          </w:tcPr>
          <w:p>
            <w:pPr>
              <w:spacing w:after="0"/>
              <w:rPr>
                <w:sz w:val="15"/>
                <w:szCs w:val="15"/>
                <w:color w:val="auto"/>
              </w:rPr>
            </w:pPr>
          </w:p>
        </w:tc>
        <w:tc>
          <w:tcPr>
            <w:tcW w:w="96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Reductions</w:t>
            </w:r>
          </w:p>
        </w:tc>
        <w:tc>
          <w:tcPr>
            <w:tcW w:w="11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(Depreciation)</w:t>
            </w:r>
          </w:p>
        </w:tc>
        <w:tc>
          <w:tcPr>
            <w:tcW w:w="100" w:type="dxa"/>
            <w:vAlign w:val="bottom"/>
          </w:tcPr>
          <w:p>
            <w:pPr>
              <w:spacing w:after="0"/>
              <w:rPr>
                <w:sz w:val="15"/>
                <w:szCs w:val="15"/>
                <w:color w:val="auto"/>
              </w:rPr>
            </w:pPr>
          </w:p>
        </w:tc>
        <w:tc>
          <w:tcPr>
            <w:tcW w:w="64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30, 2024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22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0" w:type="dxa"/>
            <w:vAlign w:val="bottom"/>
          </w:tcPr>
          <w:p>
            <w:pPr>
              <w:spacing w:after="0"/>
              <w:rPr>
                <w:sz w:val="1"/>
                <w:szCs w:val="1"/>
                <w:color w:val="auto"/>
              </w:rPr>
            </w:pPr>
          </w:p>
        </w:tc>
      </w:tr>
      <w:tr>
        <w:trPr>
          <w:trHeight w:val="156"/>
        </w:trPr>
        <w:tc>
          <w:tcPr>
            <w:tcW w:w="2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Controlled Affiliates</w:t>
            </w:r>
          </w:p>
        </w:tc>
        <w:tc>
          <w:tcPr>
            <w:tcW w:w="8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5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6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AKW Holdings Limited</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51,660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6,451</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60,798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2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Flock Financial, LLC </w:t>
            </w:r>
            <w:r>
              <w:rPr>
                <w:rFonts w:ascii="Times New Roman" w:cs="Times New Roman" w:eastAsia="Times New Roman" w:hAnsi="Times New Roman"/>
                <w:sz w:val="16"/>
                <w:szCs w:val="16"/>
                <w:color w:val="auto"/>
                <w:vertAlign w:val="superscript"/>
              </w:rPr>
              <w:t>(5)</w:t>
            </w:r>
          </w:p>
        </w:tc>
        <w:tc>
          <w:tcPr>
            <w:tcW w:w="80" w:type="dxa"/>
            <w:vAlign w:val="bottom"/>
            <w:shd w:val="clear" w:color="auto" w:fill="CCECFF"/>
          </w:tcPr>
          <w:p>
            <w:pPr>
              <w:spacing w:after="0"/>
              <w:rPr>
                <w:sz w:val="13"/>
                <w:szCs w:val="13"/>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32,300</w:t>
            </w:r>
          </w:p>
        </w:tc>
        <w:tc>
          <w:tcPr>
            <w:tcW w:w="2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20,816</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(5,306 )</w:t>
            </w:r>
          </w:p>
        </w:tc>
        <w:tc>
          <w:tcPr>
            <w:tcW w:w="80" w:type="dxa"/>
            <w:vAlign w:val="bottom"/>
            <w:shd w:val="clear" w:color="auto" w:fill="CCECFF"/>
          </w:tcPr>
          <w:p>
            <w:pPr>
              <w:spacing w:after="0"/>
              <w:rPr>
                <w:sz w:val="13"/>
                <w:szCs w:val="13"/>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1,029</w:t>
            </w: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48,839</w:t>
            </w:r>
          </w:p>
        </w:tc>
        <w:tc>
          <w:tcPr>
            <w:tcW w:w="2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1,341</w:t>
            </w: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1,397</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7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(5,305 )</w:t>
            </w:r>
          </w:p>
        </w:tc>
        <w:tc>
          <w:tcPr>
            <w:tcW w:w="0" w:type="dxa"/>
            <w:vAlign w:val="bottom"/>
          </w:tcPr>
          <w:p>
            <w:pPr>
              <w:spacing w:after="0"/>
              <w:rPr>
                <w:sz w:val="1"/>
                <w:szCs w:val="1"/>
                <w:color w:val="auto"/>
              </w:rPr>
            </w:pPr>
          </w:p>
        </w:tc>
      </w:tr>
      <w:tr>
        <w:trPr>
          <w:trHeight w:val="133"/>
        </w:trPr>
        <w:tc>
          <w:tcPr>
            <w:tcW w:w="20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JF Intermediate, LLC (JF Holdings</w:t>
            </w: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20" w:type="dxa"/>
            <w:vAlign w:val="bottom"/>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Corp.) </w:t>
            </w:r>
            <w:r>
              <w:rPr>
                <w:rFonts w:ascii="Times New Roman" w:cs="Times New Roman" w:eastAsia="Times New Roman" w:hAnsi="Times New Roman"/>
                <w:sz w:val="16"/>
                <w:szCs w:val="16"/>
                <w:color w:val="auto"/>
                <w:vertAlign w:val="superscript"/>
              </w:rPr>
              <w:t>(2)</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8,759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51,912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(375 )</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30,562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90,858</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Mailsouth Inc.</w:t>
            </w:r>
          </w:p>
        </w:tc>
        <w:tc>
          <w:tcPr>
            <w:tcW w:w="80" w:type="dxa"/>
            <w:vAlign w:val="bottom"/>
            <w:shd w:val="clear" w:color="auto" w:fill="CCECFF"/>
          </w:tcPr>
          <w:p>
            <w:pPr>
              <w:spacing w:after="0"/>
              <w:rPr>
                <w:sz w:val="13"/>
                <w:szCs w:val="13"/>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(28,899 )</w:t>
            </w:r>
          </w:p>
        </w:tc>
        <w:tc>
          <w:tcPr>
            <w:tcW w:w="80" w:type="dxa"/>
            <w:vAlign w:val="bottom"/>
            <w:shd w:val="clear" w:color="auto" w:fill="CCECFF"/>
          </w:tcPr>
          <w:p>
            <w:pPr>
              <w:spacing w:after="0"/>
              <w:rPr>
                <w:sz w:val="13"/>
                <w:szCs w:val="13"/>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28,899</w:t>
            </w: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7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(28,899 )</w:t>
            </w:r>
          </w:p>
        </w:tc>
        <w:tc>
          <w:tcPr>
            <w:tcW w:w="0" w:type="dxa"/>
            <w:vAlign w:val="bottom"/>
          </w:tcPr>
          <w:p>
            <w:pPr>
              <w:spacing w:after="0"/>
              <w:rPr>
                <w:sz w:val="1"/>
                <w:szCs w:val="1"/>
                <w:color w:val="auto"/>
              </w:rPr>
            </w:pPr>
          </w:p>
        </w:tc>
      </w:tr>
      <w:tr>
        <w:trPr>
          <w:trHeight w:val="133"/>
        </w:trPr>
        <w:tc>
          <w:tcPr>
            <w:tcW w:w="20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PennantPark Senior Loan Fund,</w:t>
            </w: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20" w:type="dxa"/>
            <w:vAlign w:val="bottom"/>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LLC </w:t>
            </w:r>
            <w:r>
              <w:rPr>
                <w:rFonts w:ascii="Times New Roman" w:cs="Times New Roman" w:eastAsia="Times New Roman" w:hAnsi="Times New Roman"/>
                <w:sz w:val="16"/>
                <w:szCs w:val="16"/>
                <w:color w:val="auto"/>
                <w:vertAlign w:val="superscript"/>
              </w:rPr>
              <w:t>(3)</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164,408</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22,353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(2,952 )</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183,809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15,041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21,605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2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RAM Energy LLC </w:t>
            </w:r>
            <w:r>
              <w:rPr>
                <w:rFonts w:ascii="Times New Roman" w:cs="Times New Roman" w:eastAsia="Times New Roman" w:hAnsi="Times New Roman"/>
                <w:sz w:val="16"/>
                <w:szCs w:val="16"/>
                <w:color w:val="auto"/>
                <w:vertAlign w:val="superscript"/>
              </w:rPr>
              <w:t>(4)</w:t>
            </w:r>
          </w:p>
        </w:tc>
        <w:tc>
          <w:tcPr>
            <w:tcW w:w="80" w:type="dxa"/>
            <w:vAlign w:val="bottom"/>
            <w:shd w:val="clear" w:color="auto" w:fill="CCECFF"/>
          </w:tcPr>
          <w:p>
            <w:pPr>
              <w:spacing w:after="0"/>
              <w:rPr>
                <w:sz w:val="13"/>
                <w:szCs w:val="13"/>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7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(795 )</w:t>
            </w:r>
          </w:p>
        </w:tc>
        <w:tc>
          <w:tcPr>
            <w:tcW w:w="0" w:type="dxa"/>
            <w:vAlign w:val="bottom"/>
          </w:tcPr>
          <w:p>
            <w:pPr>
              <w:spacing w:after="0"/>
              <w:rPr>
                <w:sz w:val="1"/>
                <w:szCs w:val="1"/>
                <w:color w:val="auto"/>
              </w:rPr>
            </w:pPr>
          </w:p>
        </w:tc>
      </w:tr>
      <w:tr>
        <w:trPr>
          <w:trHeight w:val="156"/>
        </w:trPr>
        <w:tc>
          <w:tcPr>
            <w:tcW w:w="2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Controlled Affiliates</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257,127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97,768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(34,580 )</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63,989</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384,304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25,738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21,605</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(34,999 )</w:t>
            </w:r>
          </w:p>
        </w:tc>
        <w:tc>
          <w:tcPr>
            <w:tcW w:w="0" w:type="dxa"/>
            <w:vAlign w:val="bottom"/>
          </w:tcPr>
          <w:p>
            <w:pPr>
              <w:spacing w:after="0"/>
              <w:rPr>
                <w:sz w:val="1"/>
                <w:szCs w:val="1"/>
                <w:color w:val="auto"/>
              </w:rPr>
            </w:pPr>
          </w:p>
        </w:tc>
      </w:tr>
      <w:tr>
        <w:trPr>
          <w:trHeight w:val="156"/>
        </w:trPr>
        <w:tc>
          <w:tcPr>
            <w:tcW w:w="2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Non-Controlled Affiliates</w:t>
            </w:r>
          </w:p>
        </w:tc>
        <w:tc>
          <w:tcPr>
            <w:tcW w:w="8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5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6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Cascade Environmental Holdings,</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LLC</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32,105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(2,843 )</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29,262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2020" w:type="dxa"/>
            <w:vAlign w:val="bottom"/>
            <w:shd w:val="clear" w:color="auto" w:fill="CCECFF"/>
          </w:tcPr>
          <w:p>
            <w:pPr>
              <w:ind w:left="20"/>
              <w:spacing w:after="0" w:line="144" w:lineRule="exact"/>
              <w:rPr>
                <w:sz w:val="20"/>
                <w:szCs w:val="20"/>
                <w:color w:val="auto"/>
              </w:rPr>
            </w:pPr>
            <w:r>
              <w:rPr>
                <w:rFonts w:ascii="Times New Roman" w:cs="Times New Roman" w:eastAsia="Times New Roman" w:hAnsi="Times New Roman"/>
                <w:sz w:val="13"/>
                <w:szCs w:val="13"/>
                <w:color w:val="auto"/>
              </w:rPr>
              <w:t>Walker Edison Furniture Company</w:t>
            </w:r>
          </w:p>
        </w:tc>
        <w:tc>
          <w:tcPr>
            <w:tcW w:w="8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4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LLC</w:t>
            </w:r>
          </w:p>
        </w:tc>
        <w:tc>
          <w:tcPr>
            <w:tcW w:w="8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13,907</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3,012</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(12,758 )</w:t>
            </w:r>
          </w:p>
        </w:tc>
        <w:tc>
          <w:tcPr>
            <w:tcW w:w="100" w:type="dxa"/>
            <w:vAlign w:val="bottom"/>
            <w:shd w:val="clear" w:color="auto" w:fill="CCECFF"/>
          </w:tcPr>
          <w:p>
            <w:pPr>
              <w:spacing w:after="0"/>
              <w:rPr>
                <w:sz w:val="14"/>
                <w:szCs w:val="14"/>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4,161</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2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7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Non-Controlled Affiliates</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46,012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(15,601 )</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33,423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020" w:type="dxa"/>
            <w:vAlign w:val="bottom"/>
            <w:shd w:val="clear" w:color="auto" w:fill="CCECFF"/>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Total Controlled and</w:t>
            </w:r>
          </w:p>
        </w:tc>
        <w:tc>
          <w:tcPr>
            <w:tcW w:w="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b w:val="1"/>
                <w:bCs w:val="1"/>
                <w:color w:val="auto"/>
              </w:rPr>
              <w:t>303,139</w:t>
            </w:r>
          </w:p>
        </w:tc>
        <w:tc>
          <w:tcPr>
            <w:tcW w:w="220" w:type="dxa"/>
            <w:vAlign w:val="bottom"/>
            <w:vMerge w:val="restart"/>
            <w:shd w:val="clear" w:color="auto" w:fill="CCECFF"/>
          </w:tcPr>
          <w:p>
            <w:pPr>
              <w:spacing w:after="0"/>
              <w:rPr>
                <w:sz w:val="12"/>
                <w:szCs w:val="12"/>
                <w:color w:val="auto"/>
              </w:rPr>
            </w:pPr>
          </w:p>
        </w:tc>
        <w:tc>
          <w:tcPr>
            <w:tcW w:w="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b w:val="1"/>
                <w:bCs w:val="1"/>
                <w:color w:val="auto"/>
              </w:rPr>
              <w:t>100,780</w:t>
            </w:r>
          </w:p>
        </w:tc>
        <w:tc>
          <w:tcPr>
            <w:tcW w:w="220" w:type="dxa"/>
            <w:vAlign w:val="bottom"/>
            <w:vMerge w:val="restart"/>
            <w:shd w:val="clear" w:color="auto" w:fill="CCECFF"/>
          </w:tcPr>
          <w:p>
            <w:pPr>
              <w:spacing w:after="0"/>
              <w:rPr>
                <w:sz w:val="12"/>
                <w:szCs w:val="12"/>
                <w:color w:val="auto"/>
              </w:rPr>
            </w:pPr>
          </w:p>
        </w:tc>
        <w:tc>
          <w:tcPr>
            <w:tcW w:w="1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gridSpan w:val="2"/>
            <w:vMerge w:val="restart"/>
            <w:shd w:val="clear" w:color="auto" w:fill="CCECFF"/>
          </w:tcPr>
          <w:p>
            <w:pPr>
              <w:jc w:val="right"/>
              <w:ind w:right="160"/>
              <w:spacing w:after="0" w:line="256" w:lineRule="exact"/>
              <w:rPr>
                <w:sz w:val="20"/>
                <w:szCs w:val="20"/>
                <w:color w:val="auto"/>
              </w:rPr>
            </w:pPr>
            <w:r>
              <w:rPr>
                <w:rFonts w:ascii="Times New Roman" w:cs="Times New Roman" w:eastAsia="Times New Roman" w:hAnsi="Times New Roman"/>
                <w:sz w:val="13"/>
                <w:szCs w:val="13"/>
                <w:b w:val="1"/>
                <w:bCs w:val="1"/>
                <w:color w:val="auto"/>
              </w:rPr>
              <w:t xml:space="preserve">(34,580 </w:t>
            </w:r>
            <w:r>
              <w:rPr>
                <w:rFonts w:ascii="Times New Roman" w:cs="Times New Roman" w:eastAsia="Times New Roman" w:hAnsi="Times New Roman"/>
                <w:sz w:val="26"/>
                <w:szCs w:val="26"/>
                <w:b w:val="1"/>
                <w:bCs w:val="1"/>
                <w:color w:val="auto"/>
                <w:vertAlign w:val="subscript"/>
              </w:rPr>
              <w:t>)</w:t>
            </w:r>
          </w:p>
        </w:tc>
        <w:tc>
          <w:tcPr>
            <w:tcW w:w="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b w:val="1"/>
                <w:bCs w:val="1"/>
                <w:color w:val="auto"/>
              </w:rPr>
              <w:t>48,388</w:t>
            </w:r>
          </w:p>
        </w:tc>
        <w:tc>
          <w:tcPr>
            <w:tcW w:w="220" w:type="dxa"/>
            <w:vAlign w:val="bottom"/>
            <w:shd w:val="clear" w:color="auto" w:fill="CCECFF"/>
          </w:tcPr>
          <w:p>
            <w:pPr>
              <w:spacing w:after="0"/>
              <w:rPr>
                <w:sz w:val="12"/>
                <w:szCs w:val="12"/>
                <w:color w:val="auto"/>
              </w:rPr>
            </w:pPr>
          </w:p>
        </w:tc>
        <w:tc>
          <w:tcPr>
            <w:tcW w:w="1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b w:val="1"/>
                <w:bCs w:val="1"/>
                <w:color w:val="auto"/>
              </w:rPr>
              <w:t>417,727</w:t>
            </w:r>
          </w:p>
        </w:tc>
        <w:tc>
          <w:tcPr>
            <w:tcW w:w="30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b w:val="1"/>
                <w:bCs w:val="1"/>
                <w:color w:val="auto"/>
              </w:rPr>
              <w:t>25,738</w:t>
            </w:r>
          </w:p>
        </w:tc>
        <w:tc>
          <w:tcPr>
            <w:tcW w:w="32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b w:val="1"/>
                <w:bCs w:val="1"/>
                <w:color w:val="auto"/>
              </w:rPr>
              <w:t>4,431</w:t>
            </w:r>
          </w:p>
        </w:tc>
        <w:tc>
          <w:tcPr>
            <w:tcW w:w="28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b w:val="1"/>
                <w:bCs w:val="1"/>
                <w:color w:val="auto"/>
              </w:rPr>
              <w:t>21,605</w:t>
            </w:r>
          </w:p>
        </w:tc>
        <w:tc>
          <w:tcPr>
            <w:tcW w:w="320" w:type="dxa"/>
            <w:vAlign w:val="bottom"/>
            <w:gridSpan w:val="2"/>
            <w:vMerge w:val="restart"/>
            <w:shd w:val="clear" w:color="auto" w:fill="CCECFF"/>
          </w:tcPr>
          <w:p>
            <w:pPr>
              <w:ind w:left="20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2"/>
            <w:vMerge w:val="restart"/>
            <w:shd w:val="clear" w:color="auto" w:fill="CCECFF"/>
          </w:tcPr>
          <w:p>
            <w:pPr>
              <w:jc w:val="right"/>
              <w:ind w:right="40"/>
              <w:spacing w:after="0" w:line="256" w:lineRule="exact"/>
              <w:rPr>
                <w:sz w:val="20"/>
                <w:szCs w:val="20"/>
                <w:color w:val="auto"/>
              </w:rPr>
            </w:pPr>
            <w:r>
              <w:rPr>
                <w:rFonts w:ascii="Times New Roman" w:cs="Times New Roman" w:eastAsia="Times New Roman" w:hAnsi="Times New Roman"/>
                <w:sz w:val="13"/>
                <w:szCs w:val="13"/>
                <w:b w:val="1"/>
                <w:bCs w:val="1"/>
                <w:color w:val="auto"/>
              </w:rPr>
              <w:t xml:space="preserve">(34,999 </w:t>
            </w:r>
            <w:r>
              <w:rPr>
                <w:rFonts w:ascii="Times New Roman" w:cs="Times New Roman" w:eastAsia="Times New Roman" w:hAnsi="Times New Roman"/>
                <w:sz w:val="26"/>
                <w:szCs w:val="26"/>
                <w:b w:val="1"/>
                <w:bCs w:val="1"/>
                <w:color w:val="auto"/>
                <w:vertAlign w:val="subscript"/>
              </w:rPr>
              <w:t>)</w:t>
            </w:r>
          </w:p>
        </w:tc>
        <w:tc>
          <w:tcPr>
            <w:tcW w:w="0" w:type="dxa"/>
            <w:vAlign w:val="bottom"/>
          </w:tcPr>
          <w:p>
            <w:pPr>
              <w:spacing w:after="0"/>
              <w:rPr>
                <w:sz w:val="1"/>
                <w:szCs w:val="1"/>
                <w:color w:val="auto"/>
              </w:rPr>
            </w:pPr>
          </w:p>
        </w:tc>
      </w:tr>
      <w:tr>
        <w:trPr>
          <w:trHeight w:val="154"/>
        </w:trPr>
        <w:tc>
          <w:tcPr>
            <w:tcW w:w="2020" w:type="dxa"/>
            <w:vAlign w:val="bottom"/>
            <w:shd w:val="clear" w:color="auto" w:fill="CCECFF"/>
          </w:tcPr>
          <w:p>
            <w:pPr>
              <w:ind w:left="120"/>
              <w:spacing w:after="0" w:line="114" w:lineRule="exact"/>
              <w:rPr>
                <w:sz w:val="20"/>
                <w:szCs w:val="20"/>
                <w:color w:val="auto"/>
              </w:rPr>
            </w:pPr>
            <w:r>
              <w:rPr>
                <w:rFonts w:ascii="Times New Roman" w:cs="Times New Roman" w:eastAsia="Times New Roman" w:hAnsi="Times New Roman"/>
                <w:sz w:val="13"/>
                <w:szCs w:val="13"/>
                <w:b w:val="1"/>
                <w:bCs w:val="1"/>
                <w:color w:val="auto"/>
              </w:rPr>
              <w:t>Non-Controlled Affiliates</w:t>
            </w:r>
          </w:p>
        </w:tc>
        <w:tc>
          <w:tcPr>
            <w:tcW w:w="80" w:type="dxa"/>
            <w:vAlign w:val="bottom"/>
            <w:vMerge w:val="continue"/>
            <w:shd w:val="clear" w:color="auto" w:fill="CCECFF"/>
          </w:tcPr>
          <w:p>
            <w:pPr>
              <w:spacing w:after="0"/>
              <w:rPr>
                <w:sz w:val="13"/>
                <w:szCs w:val="13"/>
                <w:color w:val="auto"/>
              </w:rPr>
            </w:pPr>
          </w:p>
        </w:tc>
        <w:tc>
          <w:tcPr>
            <w:tcW w:w="880" w:type="dxa"/>
            <w:vAlign w:val="bottom"/>
            <w:vMerge w:val="continue"/>
            <w:shd w:val="clear" w:color="auto" w:fill="CCECFF"/>
          </w:tcPr>
          <w:p>
            <w:pPr>
              <w:spacing w:after="0"/>
              <w:rPr>
                <w:sz w:val="13"/>
                <w:szCs w:val="13"/>
                <w:color w:val="auto"/>
              </w:rPr>
            </w:pPr>
          </w:p>
        </w:tc>
        <w:tc>
          <w:tcPr>
            <w:tcW w:w="220" w:type="dxa"/>
            <w:vAlign w:val="bottom"/>
            <w:vMerge w:val="continue"/>
            <w:shd w:val="clear" w:color="auto" w:fill="CCECFF"/>
          </w:tcPr>
          <w:p>
            <w:pPr>
              <w:spacing w:after="0"/>
              <w:rPr>
                <w:sz w:val="13"/>
                <w:szCs w:val="13"/>
                <w:color w:val="auto"/>
              </w:rPr>
            </w:pPr>
          </w:p>
        </w:tc>
        <w:tc>
          <w:tcPr>
            <w:tcW w:w="80" w:type="dxa"/>
            <w:vAlign w:val="bottom"/>
            <w:vMerge w:val="continue"/>
            <w:shd w:val="clear" w:color="auto" w:fill="CCECFF"/>
          </w:tcPr>
          <w:p>
            <w:pPr>
              <w:spacing w:after="0"/>
              <w:rPr>
                <w:sz w:val="13"/>
                <w:szCs w:val="13"/>
                <w:color w:val="auto"/>
              </w:rPr>
            </w:pPr>
          </w:p>
        </w:tc>
        <w:tc>
          <w:tcPr>
            <w:tcW w:w="740" w:type="dxa"/>
            <w:vAlign w:val="bottom"/>
            <w:vMerge w:val="continue"/>
            <w:shd w:val="clear" w:color="auto" w:fill="CCECFF"/>
          </w:tcPr>
          <w:p>
            <w:pPr>
              <w:spacing w:after="0"/>
              <w:rPr>
                <w:sz w:val="13"/>
                <w:szCs w:val="13"/>
                <w:color w:val="auto"/>
              </w:rPr>
            </w:pPr>
          </w:p>
        </w:tc>
        <w:tc>
          <w:tcPr>
            <w:tcW w:w="220" w:type="dxa"/>
            <w:vAlign w:val="bottom"/>
            <w:vMerge w:val="continue"/>
            <w:shd w:val="clear" w:color="auto" w:fill="CCECFF"/>
          </w:tcPr>
          <w:p>
            <w:pPr>
              <w:spacing w:after="0"/>
              <w:rPr>
                <w:sz w:val="13"/>
                <w:szCs w:val="13"/>
                <w:color w:val="auto"/>
              </w:rPr>
            </w:pPr>
          </w:p>
        </w:tc>
        <w:tc>
          <w:tcPr>
            <w:tcW w:w="140" w:type="dxa"/>
            <w:vAlign w:val="bottom"/>
            <w:vMerge w:val="continue"/>
            <w:shd w:val="clear" w:color="auto" w:fill="CCECFF"/>
          </w:tcPr>
          <w:p>
            <w:pPr>
              <w:spacing w:after="0"/>
              <w:rPr>
                <w:sz w:val="13"/>
                <w:szCs w:val="13"/>
                <w:color w:val="auto"/>
              </w:rPr>
            </w:pPr>
          </w:p>
        </w:tc>
        <w:tc>
          <w:tcPr>
            <w:tcW w:w="820" w:type="dxa"/>
            <w:vAlign w:val="bottom"/>
            <w:gridSpan w:val="2"/>
            <w:vMerge w:val="continue"/>
            <w:shd w:val="clear" w:color="auto" w:fill="CCECFF"/>
          </w:tcPr>
          <w:p>
            <w:pPr>
              <w:spacing w:after="0"/>
              <w:rPr>
                <w:sz w:val="13"/>
                <w:szCs w:val="13"/>
                <w:color w:val="auto"/>
              </w:rPr>
            </w:pPr>
          </w:p>
        </w:tc>
        <w:tc>
          <w:tcPr>
            <w:tcW w:w="80" w:type="dxa"/>
            <w:vAlign w:val="bottom"/>
            <w:vMerge w:val="continue"/>
            <w:shd w:val="clear" w:color="auto" w:fill="CCECFF"/>
          </w:tcPr>
          <w:p>
            <w:pPr>
              <w:spacing w:after="0"/>
              <w:rPr>
                <w:sz w:val="13"/>
                <w:szCs w:val="13"/>
                <w:color w:val="auto"/>
              </w:rPr>
            </w:pPr>
          </w:p>
        </w:tc>
        <w:tc>
          <w:tcPr>
            <w:tcW w:w="880" w:type="dxa"/>
            <w:vAlign w:val="bottom"/>
            <w:vMerge w:val="continue"/>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0" w:type="dxa"/>
            <w:vAlign w:val="bottom"/>
            <w:vMerge w:val="continue"/>
            <w:shd w:val="clear" w:color="auto" w:fill="CCECFF"/>
          </w:tcPr>
          <w:p>
            <w:pPr>
              <w:spacing w:after="0"/>
              <w:rPr>
                <w:sz w:val="13"/>
                <w:szCs w:val="13"/>
                <w:color w:val="auto"/>
              </w:rPr>
            </w:pPr>
          </w:p>
        </w:tc>
        <w:tc>
          <w:tcPr>
            <w:tcW w:w="640" w:type="dxa"/>
            <w:vAlign w:val="bottom"/>
            <w:vMerge w:val="continue"/>
            <w:shd w:val="clear" w:color="auto" w:fill="CCECFF"/>
          </w:tcPr>
          <w:p>
            <w:pPr>
              <w:spacing w:after="0"/>
              <w:rPr>
                <w:sz w:val="13"/>
                <w:szCs w:val="13"/>
                <w:color w:val="auto"/>
              </w:rPr>
            </w:pPr>
          </w:p>
        </w:tc>
        <w:tc>
          <w:tcPr>
            <w:tcW w:w="300" w:type="dxa"/>
            <w:vAlign w:val="bottom"/>
            <w:gridSpan w:val="2"/>
            <w:vMerge w:val="continue"/>
            <w:shd w:val="clear" w:color="auto" w:fill="CCECFF"/>
          </w:tcPr>
          <w:p>
            <w:pPr>
              <w:spacing w:after="0"/>
              <w:rPr>
                <w:sz w:val="13"/>
                <w:szCs w:val="13"/>
                <w:color w:val="auto"/>
              </w:rPr>
            </w:pPr>
          </w:p>
        </w:tc>
        <w:tc>
          <w:tcPr>
            <w:tcW w:w="560" w:type="dxa"/>
            <w:vAlign w:val="bottom"/>
            <w:vMerge w:val="continue"/>
            <w:shd w:val="clear" w:color="auto" w:fill="CCECFF"/>
          </w:tcPr>
          <w:p>
            <w:pPr>
              <w:spacing w:after="0"/>
              <w:rPr>
                <w:sz w:val="13"/>
                <w:szCs w:val="13"/>
                <w:color w:val="auto"/>
              </w:rPr>
            </w:pPr>
          </w:p>
        </w:tc>
        <w:tc>
          <w:tcPr>
            <w:tcW w:w="320" w:type="dxa"/>
            <w:vAlign w:val="bottom"/>
            <w:gridSpan w:val="2"/>
            <w:vMerge w:val="continue"/>
            <w:shd w:val="clear" w:color="auto" w:fill="CCECFF"/>
          </w:tcPr>
          <w:p>
            <w:pPr>
              <w:spacing w:after="0"/>
              <w:rPr>
                <w:sz w:val="13"/>
                <w:szCs w:val="13"/>
                <w:color w:val="auto"/>
              </w:rPr>
            </w:pPr>
          </w:p>
        </w:tc>
        <w:tc>
          <w:tcPr>
            <w:tcW w:w="420" w:type="dxa"/>
            <w:vAlign w:val="bottom"/>
            <w:vMerge w:val="continue"/>
            <w:shd w:val="clear" w:color="auto" w:fill="CCECFF"/>
          </w:tcPr>
          <w:p>
            <w:pPr>
              <w:spacing w:after="0"/>
              <w:rPr>
                <w:sz w:val="13"/>
                <w:szCs w:val="13"/>
                <w:color w:val="auto"/>
              </w:rPr>
            </w:pPr>
          </w:p>
        </w:tc>
        <w:tc>
          <w:tcPr>
            <w:tcW w:w="280" w:type="dxa"/>
            <w:vAlign w:val="bottom"/>
            <w:gridSpan w:val="2"/>
            <w:vMerge w:val="continue"/>
            <w:shd w:val="clear" w:color="auto" w:fill="CCECFF"/>
          </w:tcPr>
          <w:p>
            <w:pPr>
              <w:spacing w:after="0"/>
              <w:rPr>
                <w:sz w:val="13"/>
                <w:szCs w:val="13"/>
                <w:color w:val="auto"/>
              </w:rPr>
            </w:pPr>
          </w:p>
        </w:tc>
        <w:tc>
          <w:tcPr>
            <w:tcW w:w="520" w:type="dxa"/>
            <w:vAlign w:val="bottom"/>
            <w:vMerge w:val="continue"/>
            <w:shd w:val="clear" w:color="auto" w:fill="CCECFF"/>
          </w:tcPr>
          <w:p>
            <w:pPr>
              <w:spacing w:after="0"/>
              <w:rPr>
                <w:sz w:val="13"/>
                <w:szCs w:val="13"/>
                <w:color w:val="auto"/>
              </w:rPr>
            </w:pPr>
          </w:p>
        </w:tc>
        <w:tc>
          <w:tcPr>
            <w:tcW w:w="320" w:type="dxa"/>
            <w:vAlign w:val="bottom"/>
            <w:gridSpan w:val="2"/>
            <w:vMerge w:val="continue"/>
            <w:shd w:val="clear" w:color="auto" w:fill="CCECFF"/>
          </w:tcPr>
          <w:p>
            <w:pPr>
              <w:spacing w:after="0"/>
              <w:rPr>
                <w:sz w:val="13"/>
                <w:szCs w:val="13"/>
                <w:color w:val="auto"/>
              </w:rPr>
            </w:pPr>
          </w:p>
        </w:tc>
        <w:tc>
          <w:tcPr>
            <w:tcW w:w="720" w:type="dxa"/>
            <w:vAlign w:val="bottom"/>
            <w:gridSpan w:val="2"/>
            <w:vMerge w:val="continue"/>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1"/>
          <w:szCs w:val="11"/>
          <w:color w:val="auto"/>
        </w:rPr>
        <w:t>Includes PIK.</w:t>
      </w:r>
    </w:p>
    <w:p>
      <w:pPr>
        <w:spacing w:after="0" w:line="227" w:lineRule="auto"/>
        <w:rPr>
          <w:sz w:val="20"/>
          <w:szCs w:val="20"/>
          <w:color w:val="auto"/>
        </w:rPr>
      </w:pPr>
      <w:r>
        <w:rPr>
          <w:rFonts w:ascii="Times New Roman" w:cs="Times New Roman" w:eastAsia="Times New Roman" w:hAnsi="Times New Roman"/>
          <w:sz w:val="21"/>
          <w:szCs w:val="21"/>
          <w:b w:val="1"/>
          <w:bCs w:val="1"/>
          <w:color w:val="auto"/>
          <w:vertAlign w:val="superscript"/>
        </w:rPr>
        <w:t>(2)</w:t>
      </w:r>
      <w:r>
        <w:rPr>
          <w:rFonts w:ascii="Times New Roman" w:cs="Times New Roman" w:eastAsia="Times New Roman" w:hAnsi="Times New Roman"/>
          <w:sz w:val="11"/>
          <w:szCs w:val="11"/>
          <w:color w:val="auto"/>
        </w:rPr>
        <w:t>JF Intermediate, LLC became a controlled affiliate during the quarter ended December 31, 2023.</w:t>
      </w:r>
    </w:p>
    <w:p>
      <w:pPr>
        <w:ind w:right="60"/>
        <w:spacing w:after="0" w:line="225" w:lineRule="auto"/>
        <w:rPr>
          <w:sz w:val="20"/>
          <w:szCs w:val="20"/>
          <w:color w:val="auto"/>
        </w:rPr>
      </w:pPr>
      <w:r>
        <w:rPr>
          <w:rFonts w:ascii="Times New Roman" w:cs="Times New Roman" w:eastAsia="Times New Roman" w:hAnsi="Times New Roman"/>
          <w:sz w:val="21"/>
          <w:szCs w:val="21"/>
          <w:b w:val="1"/>
          <w:bCs w:val="1"/>
          <w:color w:val="auto"/>
          <w:vertAlign w:val="superscript"/>
        </w:rPr>
        <w:t>(3)</w:t>
      </w:r>
      <w:r>
        <w:rPr>
          <w:rFonts w:ascii="Times New Roman" w:cs="Times New Roman" w:eastAsia="Times New Roman" w:hAnsi="Times New Roman"/>
          <w:sz w:val="11"/>
          <w:szCs w:val="11"/>
          <w:color w:val="auto"/>
        </w:rPr>
        <w:t>We and Pantheon are the members of PSLF, a joint venture formed as a Delaware limited liability company that is not consolidated by us for financial reporting purposes. The members of PSLF make investments in the PSLF in the form of subordinated debt and equity interests, and all portfolio and other material decision regarding PSLF must be submitted to PSFL’s board of directors or investment committee, both of which are comprised of two members appointed by each of us and Pantheon. Because management of PSLF is shared equally between us and Pantheon, we do not believe we control PSLF for purposes of the 1940 Act or otherwise.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vertAlign w:val="superscript"/>
        </w:rPr>
        <w:t>(4)</w:t>
      </w:r>
      <w:r>
        <w:rPr>
          <w:rFonts w:ascii="Times New Roman" w:cs="Times New Roman" w:eastAsia="Times New Roman" w:hAnsi="Times New Roman"/>
          <w:sz w:val="11"/>
          <w:szCs w:val="11"/>
          <w:color w:val="auto"/>
        </w:rPr>
        <w:t>RAM Energy LLC was fully realized in January 2023, during the quarter ended June 30, 2024 there was realized loss due to reduction of the escrow receivable.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vertAlign w:val="superscript"/>
        </w:rPr>
        <w:t>(5)</w:t>
      </w:r>
      <w:r>
        <w:rPr>
          <w:rFonts w:ascii="Times New Roman" w:cs="Times New Roman" w:eastAsia="Times New Roman" w:hAnsi="Times New Roman"/>
          <w:sz w:val="11"/>
          <w:szCs w:val="11"/>
          <w:color w:val="auto"/>
        </w:rPr>
        <w:t>Flock Financial, LLC became a controlled affiliate during the quarter ended June 30, 2024.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Net Change</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1"/>
              </w:rPr>
              <w:t>in</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Appreciation</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56"/>
        </w:trPr>
        <w:tc>
          <w:tcPr>
            <w:tcW w:w="2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Dividen</w:t>
            </w:r>
          </w:p>
        </w:tc>
        <w:tc>
          <w:tcPr>
            <w:tcW w:w="200" w:type="dxa"/>
            <w:vAlign w:val="bottom"/>
          </w:tcPr>
          <w:p>
            <w:pPr>
              <w:spacing w:after="0"/>
              <w:rPr>
                <w:sz w:val="13"/>
                <w:szCs w:val="13"/>
                <w:color w:val="auto"/>
              </w:rPr>
            </w:pPr>
          </w:p>
        </w:tc>
        <w:tc>
          <w:tcPr>
            <w:tcW w:w="6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Realized</w:t>
            </w:r>
          </w:p>
        </w:tc>
        <w:tc>
          <w:tcPr>
            <w:tcW w:w="0" w:type="dxa"/>
            <w:vAlign w:val="bottom"/>
          </w:tcPr>
          <w:p>
            <w:pPr>
              <w:spacing w:after="0"/>
              <w:rPr>
                <w:sz w:val="1"/>
                <w:szCs w:val="1"/>
                <w:color w:val="auto"/>
              </w:rPr>
            </w:pPr>
          </w:p>
        </w:tc>
      </w:tr>
      <w:tr>
        <w:trPr>
          <w:trHeight w:val="145"/>
        </w:trPr>
        <w:tc>
          <w:tcPr>
            <w:tcW w:w="2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14"/>
              <w:spacing w:after="0" w:line="145"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34"/>
              <w:spacing w:after="0" w:line="145"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420"/>
              <w:spacing w:after="0" w:line="145"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0" w:type="dxa"/>
            <w:vAlign w:val="bottom"/>
            <w:gridSpan w:val="3"/>
          </w:tcPr>
          <w:p>
            <w:pPr>
              <w:jc w:val="center"/>
              <w:ind w:right="220"/>
              <w:spacing w:after="0" w:line="145" w:lineRule="exact"/>
              <w:rPr>
                <w:sz w:val="20"/>
                <w:szCs w:val="20"/>
                <w:color w:val="auto"/>
              </w:rPr>
            </w:pPr>
            <w:r>
              <w:rPr>
                <w:rFonts w:ascii="Times New Roman" w:cs="Times New Roman" w:eastAsia="Times New Roman" w:hAnsi="Times New Roman"/>
                <w:sz w:val="13"/>
                <w:szCs w:val="13"/>
                <w:b w:val="1"/>
                <w:bCs w:val="1"/>
                <w:color w:val="auto"/>
              </w:rPr>
              <w:t>(Depreciatio</w:t>
            </w:r>
          </w:p>
        </w:tc>
        <w:tc>
          <w:tcPr>
            <w:tcW w:w="80" w:type="dxa"/>
            <w:vAlign w:val="bottom"/>
          </w:tcPr>
          <w:p>
            <w:pPr>
              <w:spacing w:after="0"/>
              <w:rPr>
                <w:sz w:val="12"/>
                <w:szCs w:val="12"/>
                <w:color w:val="auto"/>
              </w:rPr>
            </w:pPr>
          </w:p>
        </w:tc>
        <w:tc>
          <w:tcPr>
            <w:tcW w:w="900" w:type="dxa"/>
            <w:vAlign w:val="bottom"/>
          </w:tcPr>
          <w:p>
            <w:pPr>
              <w:jc w:val="center"/>
              <w:ind w:right="34"/>
              <w:spacing w:after="0" w:line="145"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20" w:type="dxa"/>
            <w:vAlign w:val="bottom"/>
          </w:tcPr>
          <w:p>
            <w:pPr>
              <w:spacing w:after="0"/>
              <w:rPr>
                <w:sz w:val="12"/>
                <w:szCs w:val="12"/>
                <w:color w:val="auto"/>
              </w:rPr>
            </w:pPr>
          </w:p>
        </w:tc>
        <w:tc>
          <w:tcPr>
            <w:tcW w:w="5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54"/>
              <w:spacing w:after="0" w:line="145" w:lineRule="exact"/>
              <w:rPr>
                <w:sz w:val="20"/>
                <w:szCs w:val="20"/>
                <w:color w:val="auto"/>
              </w:rPr>
            </w:pPr>
            <w:r>
              <w:rPr>
                <w:rFonts w:ascii="Times New Roman" w:cs="Times New Roman" w:eastAsia="Times New Roman" w:hAnsi="Times New Roman"/>
                <w:sz w:val="13"/>
                <w:szCs w:val="13"/>
                <w:b w:val="1"/>
                <w:bCs w:val="1"/>
                <w:color w:val="auto"/>
              </w:rPr>
              <w:t>PIK</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134"/>
              <w:spacing w:after="0" w:line="145" w:lineRule="exact"/>
              <w:rPr>
                <w:sz w:val="20"/>
                <w:szCs w:val="20"/>
                <w:color w:val="auto"/>
              </w:rPr>
            </w:pPr>
            <w:r>
              <w:rPr>
                <w:rFonts w:ascii="Times New Roman" w:cs="Times New Roman" w:eastAsia="Times New Roman" w:hAnsi="Times New Roman"/>
                <w:sz w:val="13"/>
                <w:szCs w:val="13"/>
                <w:b w:val="1"/>
                <w:bCs w:val="1"/>
                <w:color w:val="auto"/>
              </w:rPr>
              <w:t>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3"/>
                <w:szCs w:val="13"/>
                <w:b w:val="1"/>
                <w:bCs w:val="1"/>
                <w:color w:val="auto"/>
                <w:w w:val="98"/>
              </w:rPr>
              <w:t>Gains</w:t>
            </w:r>
          </w:p>
        </w:tc>
        <w:tc>
          <w:tcPr>
            <w:tcW w:w="0" w:type="dxa"/>
            <w:vAlign w:val="bottom"/>
          </w:tcPr>
          <w:p>
            <w:pPr>
              <w:spacing w:after="0"/>
              <w:rPr>
                <w:sz w:val="1"/>
                <w:szCs w:val="1"/>
                <w:color w:val="auto"/>
              </w:rPr>
            </w:pPr>
          </w:p>
        </w:tc>
      </w:tr>
      <w:tr>
        <w:trPr>
          <w:trHeight w:val="181"/>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Name of Investment</w:t>
            </w:r>
          </w:p>
        </w:tc>
        <w:tc>
          <w:tcPr>
            <w:tcW w:w="80" w:type="dxa"/>
            <w:vAlign w:val="bottom"/>
          </w:tcPr>
          <w:p>
            <w:pPr>
              <w:spacing w:after="0"/>
              <w:rPr>
                <w:sz w:val="15"/>
                <w:szCs w:val="15"/>
                <w:color w:val="auto"/>
              </w:rPr>
            </w:pPr>
          </w:p>
        </w:tc>
        <w:tc>
          <w:tcPr>
            <w:tcW w:w="90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220" w:type="dxa"/>
            <w:vAlign w:val="bottom"/>
          </w:tcPr>
          <w:p>
            <w:pPr>
              <w:spacing w:after="0"/>
              <w:rPr>
                <w:sz w:val="15"/>
                <w:szCs w:val="15"/>
                <w:color w:val="auto"/>
              </w:rPr>
            </w:pPr>
          </w:p>
        </w:tc>
        <w:tc>
          <w:tcPr>
            <w:tcW w:w="7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3"/>
                <w:szCs w:val="13"/>
                <w:b w:val="1"/>
                <w:bCs w:val="1"/>
                <w:color w:val="auto"/>
              </w:rPr>
              <w:t>Additions</w:t>
            </w:r>
            <w:r>
              <w:rPr>
                <w:rFonts w:ascii="Times New Roman" w:cs="Times New Roman" w:eastAsia="Times New Roman" w:hAnsi="Times New Roman"/>
                <w:sz w:val="16"/>
                <w:szCs w:val="16"/>
                <w:b w:val="1"/>
                <w:bCs w:val="1"/>
                <w:color w:val="auto"/>
                <w:vertAlign w:val="superscript"/>
              </w:rPr>
              <w:t>(1)</w:t>
            </w:r>
          </w:p>
        </w:tc>
        <w:tc>
          <w:tcPr>
            <w:tcW w:w="220" w:type="dxa"/>
            <w:vAlign w:val="bottom"/>
          </w:tcPr>
          <w:p>
            <w:pPr>
              <w:spacing w:after="0"/>
              <w:rPr>
                <w:sz w:val="15"/>
                <w:szCs w:val="15"/>
                <w:color w:val="auto"/>
              </w:rPr>
            </w:pP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Reductions</w:t>
            </w:r>
          </w:p>
        </w:tc>
        <w:tc>
          <w:tcPr>
            <w:tcW w:w="200" w:type="dxa"/>
            <w:vAlign w:val="bottom"/>
          </w:tcPr>
          <w:p>
            <w:pPr>
              <w:spacing w:after="0"/>
              <w:rPr>
                <w:sz w:val="15"/>
                <w:szCs w:val="15"/>
                <w:color w:val="auto"/>
              </w:rPr>
            </w:pPr>
          </w:p>
        </w:tc>
        <w:tc>
          <w:tcPr>
            <w:tcW w:w="80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86"/>
              </w:rPr>
              <w:t>n)</w:t>
            </w:r>
          </w:p>
        </w:tc>
        <w:tc>
          <w:tcPr>
            <w:tcW w:w="80" w:type="dxa"/>
            <w:vAlign w:val="bottom"/>
          </w:tcPr>
          <w:p>
            <w:pPr>
              <w:spacing w:after="0"/>
              <w:rPr>
                <w:sz w:val="15"/>
                <w:szCs w:val="15"/>
                <w:color w:val="auto"/>
              </w:rPr>
            </w:pPr>
          </w:p>
        </w:tc>
        <w:tc>
          <w:tcPr>
            <w:tcW w:w="90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22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22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200" w:type="dxa"/>
            <w:vAlign w:val="bottom"/>
          </w:tcPr>
          <w:p>
            <w:pPr>
              <w:spacing w:after="0"/>
              <w:rPr>
                <w:sz w:val="15"/>
                <w:szCs w:val="15"/>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200" w:type="dxa"/>
            <w:vAlign w:val="bottom"/>
          </w:tcPr>
          <w:p>
            <w:pPr>
              <w:spacing w:after="0"/>
              <w:rPr>
                <w:sz w:val="15"/>
                <w:szCs w:val="15"/>
                <w:color w:val="auto"/>
              </w:rPr>
            </w:pPr>
          </w:p>
        </w:tc>
        <w:tc>
          <w:tcPr>
            <w:tcW w:w="64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0" w:type="dxa"/>
            <w:vAlign w:val="bottom"/>
          </w:tcPr>
          <w:p>
            <w:pPr>
              <w:spacing w:after="0"/>
              <w:rPr>
                <w:sz w:val="1"/>
                <w:szCs w:val="1"/>
                <w:color w:val="auto"/>
              </w:rPr>
            </w:pPr>
          </w:p>
        </w:tc>
      </w:tr>
      <w:tr>
        <w:trPr>
          <w:trHeight w:val="156"/>
        </w:trPr>
        <w:tc>
          <w:tcPr>
            <w:tcW w:w="2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Controlled Affiliates</w:t>
            </w:r>
          </w:p>
        </w:tc>
        <w:tc>
          <w:tcPr>
            <w:tcW w:w="8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6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6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AKW Holdings Limited</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45,995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2,596</w:t>
            </w:r>
          </w:p>
        </w:tc>
        <w:tc>
          <w:tcPr>
            <w:tcW w:w="38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3,069</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51,660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2,596</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Mailsouth Inc.</w:t>
            </w:r>
          </w:p>
        </w:tc>
        <w:tc>
          <w:tcPr>
            <w:tcW w:w="80" w:type="dxa"/>
            <w:vAlign w:val="bottom"/>
            <w:shd w:val="clear" w:color="auto" w:fill="CCECFF"/>
          </w:tcPr>
          <w:p>
            <w:pPr>
              <w:spacing w:after="0"/>
              <w:rPr>
                <w:sz w:val="13"/>
                <w:szCs w:val="13"/>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3"/>
                <w:szCs w:val="13"/>
                <w:color w:val="auto"/>
              </w:rPr>
            </w:pPr>
          </w:p>
        </w:tc>
        <w:tc>
          <w:tcPr>
            <w:tcW w:w="8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CFF"/>
          </w:tcPr>
          <w:p>
            <w:pPr>
              <w:spacing w:after="0"/>
              <w:rPr>
                <w:sz w:val="13"/>
                <w:szCs w:val="13"/>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5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48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PennantPark Senior Loan Fund, LLC </w:t>
            </w:r>
            <w:r>
              <w:rPr>
                <w:rFonts w:ascii="Times New Roman" w:cs="Times New Roman" w:eastAsia="Times New Roman" w:hAnsi="Times New Roman"/>
                <w:sz w:val="16"/>
                <w:szCs w:val="16"/>
                <w:color w:val="auto"/>
                <w:vertAlign w:val="superscript"/>
              </w:rPr>
              <w:t>(3)</w:t>
            </w: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139,109</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23,595</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164,408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12,619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15,730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248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RAM Energy LLC</w:t>
            </w:r>
          </w:p>
        </w:tc>
        <w:tc>
          <w:tcPr>
            <w:tcW w:w="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4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3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3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line="144" w:lineRule="exact"/>
              <w:rPr>
                <w:sz w:val="20"/>
                <w:szCs w:val="20"/>
                <w:color w:val="auto"/>
              </w:rPr>
            </w:pPr>
            <w:r>
              <w:rPr>
                <w:rFonts w:ascii="Times New Roman" w:cs="Times New Roman" w:eastAsia="Times New Roman" w:hAnsi="Times New Roman"/>
                <w:sz w:val="13"/>
                <w:szCs w:val="13"/>
                <w:color w:val="auto"/>
              </w:rPr>
              <w:t>(133,09</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480" w:type="dxa"/>
            <w:vAlign w:val="bottom"/>
            <w:vMerge w:val="continue"/>
            <w:shd w:val="clear" w:color="auto" w:fill="CCECFF"/>
          </w:tcPr>
          <w:p>
            <w:pPr>
              <w:spacing w:after="0"/>
              <w:rPr>
                <w:sz w:val="7"/>
                <w:szCs w:val="7"/>
                <w:color w:val="auto"/>
              </w:rPr>
            </w:pPr>
          </w:p>
        </w:tc>
        <w:tc>
          <w:tcPr>
            <w:tcW w:w="80" w:type="dxa"/>
            <w:vAlign w:val="bottom"/>
            <w:shd w:val="clear" w:color="auto" w:fill="CCECFF"/>
          </w:tcPr>
          <w:p>
            <w:pPr>
              <w:spacing w:after="0"/>
              <w:rPr>
                <w:sz w:val="7"/>
                <w:szCs w:val="7"/>
                <w:color w:val="auto"/>
              </w:rPr>
            </w:pPr>
          </w:p>
        </w:tc>
        <w:tc>
          <w:tcPr>
            <w:tcW w:w="9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74,282</w:t>
            </w:r>
          </w:p>
        </w:tc>
        <w:tc>
          <w:tcPr>
            <w:tcW w:w="220" w:type="dxa"/>
            <w:vAlign w:val="bottom"/>
            <w:shd w:val="clear" w:color="auto" w:fill="CCECFF"/>
          </w:tcPr>
          <w:p>
            <w:pPr>
              <w:spacing w:after="0"/>
              <w:rPr>
                <w:sz w:val="7"/>
                <w:szCs w:val="7"/>
                <w:color w:val="auto"/>
              </w:rPr>
            </w:pPr>
          </w:p>
        </w:tc>
        <w:tc>
          <w:tcPr>
            <w:tcW w:w="140" w:type="dxa"/>
            <w:vAlign w:val="bottom"/>
            <w:shd w:val="clear" w:color="auto" w:fill="CCECFF"/>
          </w:tcPr>
          <w:p>
            <w:pPr>
              <w:spacing w:after="0"/>
              <w:rPr>
                <w:sz w:val="7"/>
                <w:szCs w:val="7"/>
                <w:color w:val="auto"/>
              </w:rPr>
            </w:pPr>
          </w:p>
        </w:tc>
        <w:tc>
          <w:tcPr>
            <w:tcW w:w="6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7"/>
                <w:szCs w:val="7"/>
                <w:color w:val="auto"/>
              </w:rPr>
            </w:pPr>
          </w:p>
        </w:tc>
        <w:tc>
          <w:tcPr>
            <w:tcW w:w="160" w:type="dxa"/>
            <w:vAlign w:val="bottom"/>
            <w:shd w:val="clear" w:color="auto" w:fill="CCECFF"/>
          </w:tcPr>
          <w:p>
            <w:pPr>
              <w:spacing w:after="0"/>
              <w:rPr>
                <w:sz w:val="7"/>
                <w:szCs w:val="7"/>
                <w:color w:val="auto"/>
              </w:rPr>
            </w:pPr>
          </w:p>
        </w:tc>
        <w:tc>
          <w:tcPr>
            <w:tcW w:w="820" w:type="dxa"/>
            <w:vAlign w:val="bottom"/>
            <w:gridSpan w:val="2"/>
            <w:vMerge w:val="restart"/>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(162,708 )</w:t>
            </w:r>
          </w:p>
        </w:tc>
        <w:tc>
          <w:tcPr>
            <w:tcW w:w="200" w:type="dxa"/>
            <w:vAlign w:val="bottom"/>
            <w:shd w:val="clear" w:color="auto" w:fill="CCECFF"/>
          </w:tcPr>
          <w:p>
            <w:pPr>
              <w:spacing w:after="0"/>
              <w:rPr>
                <w:sz w:val="7"/>
                <w:szCs w:val="7"/>
                <w:color w:val="auto"/>
              </w:rPr>
            </w:pPr>
          </w:p>
        </w:tc>
        <w:tc>
          <w:tcPr>
            <w:tcW w:w="5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88,426</w:t>
            </w:r>
          </w:p>
        </w:tc>
        <w:tc>
          <w:tcPr>
            <w:tcW w:w="220" w:type="dxa"/>
            <w:vAlign w:val="bottom"/>
            <w:shd w:val="clear" w:color="auto" w:fill="CCECFF"/>
          </w:tcPr>
          <w:p>
            <w:pPr>
              <w:spacing w:after="0"/>
              <w:rPr>
                <w:sz w:val="7"/>
                <w:szCs w:val="7"/>
                <w:color w:val="auto"/>
              </w:rPr>
            </w:pPr>
          </w:p>
        </w:tc>
        <w:tc>
          <w:tcPr>
            <w:tcW w:w="80" w:type="dxa"/>
            <w:vAlign w:val="bottom"/>
            <w:shd w:val="clear" w:color="auto" w:fill="CCECFF"/>
          </w:tcPr>
          <w:p>
            <w:pPr>
              <w:spacing w:after="0"/>
              <w:rPr>
                <w:sz w:val="7"/>
                <w:szCs w:val="7"/>
                <w:color w:val="auto"/>
              </w:rPr>
            </w:pPr>
          </w:p>
        </w:tc>
        <w:tc>
          <w:tcPr>
            <w:tcW w:w="9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4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3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3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540" w:type="dxa"/>
            <w:vAlign w:val="bottom"/>
            <w:gridSpan w:val="2"/>
            <w:vMerge w:val="restart"/>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8 )</w:t>
            </w:r>
          </w:p>
        </w:tc>
        <w:tc>
          <w:tcPr>
            <w:tcW w:w="0" w:type="dxa"/>
            <w:vAlign w:val="bottom"/>
          </w:tcPr>
          <w:p>
            <w:pPr>
              <w:spacing w:after="0"/>
              <w:rPr>
                <w:sz w:val="1"/>
                <w:szCs w:val="1"/>
                <w:color w:val="auto"/>
              </w:rPr>
            </w:pPr>
          </w:p>
        </w:tc>
      </w:tr>
      <w:tr>
        <w:trPr>
          <w:trHeight w:val="80"/>
        </w:trPr>
        <w:tc>
          <w:tcPr>
            <w:tcW w:w="2480" w:type="dxa"/>
            <w:vAlign w:val="bottom"/>
            <w:shd w:val="clear" w:color="auto" w:fill="CCECFF"/>
          </w:tcPr>
          <w:p>
            <w:pPr>
              <w:spacing w:after="0"/>
              <w:rPr>
                <w:sz w:val="6"/>
                <w:szCs w:val="6"/>
                <w:color w:val="auto"/>
              </w:rPr>
            </w:pPr>
          </w:p>
        </w:tc>
        <w:tc>
          <w:tcPr>
            <w:tcW w:w="80" w:type="dxa"/>
            <w:vAlign w:val="bottom"/>
            <w:shd w:val="clear" w:color="auto" w:fill="CCECFF"/>
          </w:tcPr>
          <w:p>
            <w:pPr>
              <w:spacing w:after="0"/>
              <w:rPr>
                <w:sz w:val="6"/>
                <w:szCs w:val="6"/>
                <w:color w:val="auto"/>
              </w:rPr>
            </w:pPr>
          </w:p>
        </w:tc>
        <w:tc>
          <w:tcPr>
            <w:tcW w:w="900" w:type="dxa"/>
            <w:vAlign w:val="bottom"/>
            <w:vMerge w:val="continue"/>
            <w:shd w:val="clear" w:color="auto" w:fill="CCECFF"/>
          </w:tcPr>
          <w:p>
            <w:pPr>
              <w:spacing w:after="0"/>
              <w:rPr>
                <w:sz w:val="6"/>
                <w:szCs w:val="6"/>
                <w:color w:val="auto"/>
              </w:rPr>
            </w:pPr>
          </w:p>
        </w:tc>
        <w:tc>
          <w:tcPr>
            <w:tcW w:w="220" w:type="dxa"/>
            <w:vAlign w:val="bottom"/>
            <w:shd w:val="clear" w:color="auto" w:fill="CCECFF"/>
          </w:tcPr>
          <w:p>
            <w:pPr>
              <w:spacing w:after="0"/>
              <w:rPr>
                <w:sz w:val="6"/>
                <w:szCs w:val="6"/>
                <w:color w:val="auto"/>
              </w:rPr>
            </w:pPr>
          </w:p>
        </w:tc>
        <w:tc>
          <w:tcPr>
            <w:tcW w:w="140" w:type="dxa"/>
            <w:vAlign w:val="bottom"/>
            <w:shd w:val="clear" w:color="auto" w:fill="CCECFF"/>
          </w:tcPr>
          <w:p>
            <w:pPr>
              <w:spacing w:after="0"/>
              <w:rPr>
                <w:sz w:val="6"/>
                <w:szCs w:val="6"/>
                <w:color w:val="auto"/>
              </w:rPr>
            </w:pPr>
          </w:p>
        </w:tc>
        <w:tc>
          <w:tcPr>
            <w:tcW w:w="620" w:type="dxa"/>
            <w:vAlign w:val="bottom"/>
            <w:vMerge w:val="continue"/>
            <w:shd w:val="clear" w:color="auto" w:fill="CCECFF"/>
          </w:tcPr>
          <w:p>
            <w:pPr>
              <w:spacing w:after="0"/>
              <w:rPr>
                <w:sz w:val="6"/>
                <w:szCs w:val="6"/>
                <w:color w:val="auto"/>
              </w:rPr>
            </w:pPr>
          </w:p>
        </w:tc>
        <w:tc>
          <w:tcPr>
            <w:tcW w:w="220" w:type="dxa"/>
            <w:vAlign w:val="bottom"/>
            <w:shd w:val="clear" w:color="auto" w:fill="CCECFF"/>
          </w:tcPr>
          <w:p>
            <w:pPr>
              <w:spacing w:after="0"/>
              <w:rPr>
                <w:sz w:val="6"/>
                <w:szCs w:val="6"/>
                <w:color w:val="auto"/>
              </w:rPr>
            </w:pPr>
          </w:p>
        </w:tc>
        <w:tc>
          <w:tcPr>
            <w:tcW w:w="160" w:type="dxa"/>
            <w:vAlign w:val="bottom"/>
            <w:shd w:val="clear" w:color="auto" w:fill="CCECFF"/>
          </w:tcPr>
          <w:p>
            <w:pPr>
              <w:spacing w:after="0"/>
              <w:rPr>
                <w:sz w:val="6"/>
                <w:szCs w:val="6"/>
                <w:color w:val="auto"/>
              </w:rPr>
            </w:pPr>
          </w:p>
        </w:tc>
        <w:tc>
          <w:tcPr>
            <w:tcW w:w="820" w:type="dxa"/>
            <w:vAlign w:val="bottom"/>
            <w:gridSpan w:val="2"/>
            <w:vMerge w:val="continue"/>
            <w:shd w:val="clear" w:color="auto" w:fill="CCECFF"/>
          </w:tcPr>
          <w:p>
            <w:pPr>
              <w:spacing w:after="0"/>
              <w:rPr>
                <w:sz w:val="6"/>
                <w:szCs w:val="6"/>
                <w:color w:val="auto"/>
              </w:rPr>
            </w:pPr>
          </w:p>
        </w:tc>
        <w:tc>
          <w:tcPr>
            <w:tcW w:w="200" w:type="dxa"/>
            <w:vAlign w:val="bottom"/>
            <w:shd w:val="clear" w:color="auto" w:fill="CCECFF"/>
          </w:tcPr>
          <w:p>
            <w:pPr>
              <w:spacing w:after="0"/>
              <w:rPr>
                <w:sz w:val="6"/>
                <w:szCs w:val="6"/>
                <w:color w:val="auto"/>
              </w:rPr>
            </w:pPr>
          </w:p>
        </w:tc>
        <w:tc>
          <w:tcPr>
            <w:tcW w:w="580" w:type="dxa"/>
            <w:vAlign w:val="bottom"/>
            <w:vMerge w:val="continue"/>
            <w:shd w:val="clear" w:color="auto" w:fill="CCECFF"/>
          </w:tcPr>
          <w:p>
            <w:pPr>
              <w:spacing w:after="0"/>
              <w:rPr>
                <w:sz w:val="6"/>
                <w:szCs w:val="6"/>
                <w:color w:val="auto"/>
              </w:rPr>
            </w:pPr>
          </w:p>
        </w:tc>
        <w:tc>
          <w:tcPr>
            <w:tcW w:w="220" w:type="dxa"/>
            <w:vAlign w:val="bottom"/>
            <w:shd w:val="clear" w:color="auto" w:fill="CCECFF"/>
          </w:tcPr>
          <w:p>
            <w:pPr>
              <w:spacing w:after="0"/>
              <w:rPr>
                <w:sz w:val="6"/>
                <w:szCs w:val="6"/>
                <w:color w:val="auto"/>
              </w:rPr>
            </w:pPr>
          </w:p>
        </w:tc>
        <w:tc>
          <w:tcPr>
            <w:tcW w:w="80" w:type="dxa"/>
            <w:vAlign w:val="bottom"/>
            <w:shd w:val="clear" w:color="auto" w:fill="CCECFF"/>
          </w:tcPr>
          <w:p>
            <w:pPr>
              <w:spacing w:after="0"/>
              <w:rPr>
                <w:sz w:val="6"/>
                <w:szCs w:val="6"/>
                <w:color w:val="auto"/>
              </w:rPr>
            </w:pPr>
          </w:p>
        </w:tc>
        <w:tc>
          <w:tcPr>
            <w:tcW w:w="900" w:type="dxa"/>
            <w:vAlign w:val="bottom"/>
            <w:vMerge w:val="continue"/>
            <w:shd w:val="clear" w:color="auto" w:fill="CCECFF"/>
          </w:tcPr>
          <w:p>
            <w:pPr>
              <w:spacing w:after="0"/>
              <w:rPr>
                <w:sz w:val="6"/>
                <w:szCs w:val="6"/>
                <w:color w:val="auto"/>
              </w:rPr>
            </w:pPr>
          </w:p>
        </w:tc>
        <w:tc>
          <w:tcPr>
            <w:tcW w:w="220" w:type="dxa"/>
            <w:vAlign w:val="bottom"/>
            <w:shd w:val="clear" w:color="auto" w:fill="CCECFF"/>
          </w:tcPr>
          <w:p>
            <w:pPr>
              <w:spacing w:after="0"/>
              <w:rPr>
                <w:sz w:val="6"/>
                <w:szCs w:val="6"/>
                <w:color w:val="auto"/>
              </w:rPr>
            </w:pPr>
          </w:p>
        </w:tc>
        <w:tc>
          <w:tcPr>
            <w:tcW w:w="100" w:type="dxa"/>
            <w:vAlign w:val="bottom"/>
            <w:shd w:val="clear" w:color="auto" w:fill="CCECFF"/>
          </w:tcPr>
          <w:p>
            <w:pPr>
              <w:spacing w:after="0"/>
              <w:rPr>
                <w:sz w:val="6"/>
                <w:szCs w:val="6"/>
                <w:color w:val="auto"/>
              </w:rPr>
            </w:pPr>
          </w:p>
        </w:tc>
        <w:tc>
          <w:tcPr>
            <w:tcW w:w="400" w:type="dxa"/>
            <w:vAlign w:val="bottom"/>
            <w:vMerge w:val="continue"/>
            <w:shd w:val="clear" w:color="auto" w:fill="CCECFF"/>
          </w:tcPr>
          <w:p>
            <w:pPr>
              <w:spacing w:after="0"/>
              <w:rPr>
                <w:sz w:val="6"/>
                <w:szCs w:val="6"/>
                <w:color w:val="auto"/>
              </w:rPr>
            </w:pPr>
          </w:p>
        </w:tc>
        <w:tc>
          <w:tcPr>
            <w:tcW w:w="220" w:type="dxa"/>
            <w:vAlign w:val="bottom"/>
            <w:shd w:val="clear" w:color="auto" w:fill="CCECFF"/>
          </w:tcPr>
          <w:p>
            <w:pPr>
              <w:spacing w:after="0"/>
              <w:rPr>
                <w:sz w:val="6"/>
                <w:szCs w:val="6"/>
                <w:color w:val="auto"/>
              </w:rPr>
            </w:pPr>
          </w:p>
        </w:tc>
        <w:tc>
          <w:tcPr>
            <w:tcW w:w="100" w:type="dxa"/>
            <w:vAlign w:val="bottom"/>
            <w:shd w:val="clear" w:color="auto" w:fill="CCECFF"/>
          </w:tcPr>
          <w:p>
            <w:pPr>
              <w:spacing w:after="0"/>
              <w:rPr>
                <w:sz w:val="6"/>
                <w:szCs w:val="6"/>
                <w:color w:val="auto"/>
              </w:rPr>
            </w:pPr>
          </w:p>
        </w:tc>
        <w:tc>
          <w:tcPr>
            <w:tcW w:w="380" w:type="dxa"/>
            <w:vAlign w:val="bottom"/>
            <w:vMerge w:val="continue"/>
            <w:shd w:val="clear" w:color="auto" w:fill="CCECFF"/>
          </w:tcPr>
          <w:p>
            <w:pPr>
              <w:spacing w:after="0"/>
              <w:rPr>
                <w:sz w:val="6"/>
                <w:szCs w:val="6"/>
                <w:color w:val="auto"/>
              </w:rPr>
            </w:pPr>
          </w:p>
        </w:tc>
        <w:tc>
          <w:tcPr>
            <w:tcW w:w="200" w:type="dxa"/>
            <w:vAlign w:val="bottom"/>
            <w:shd w:val="clear" w:color="auto" w:fill="CCECFF"/>
          </w:tcPr>
          <w:p>
            <w:pPr>
              <w:spacing w:after="0"/>
              <w:rPr>
                <w:sz w:val="6"/>
                <w:szCs w:val="6"/>
                <w:color w:val="auto"/>
              </w:rPr>
            </w:pPr>
          </w:p>
        </w:tc>
        <w:tc>
          <w:tcPr>
            <w:tcW w:w="100" w:type="dxa"/>
            <w:vAlign w:val="bottom"/>
            <w:shd w:val="clear" w:color="auto" w:fill="CCECFF"/>
          </w:tcPr>
          <w:p>
            <w:pPr>
              <w:spacing w:after="0"/>
              <w:rPr>
                <w:sz w:val="6"/>
                <w:szCs w:val="6"/>
                <w:color w:val="auto"/>
              </w:rPr>
            </w:pPr>
          </w:p>
        </w:tc>
        <w:tc>
          <w:tcPr>
            <w:tcW w:w="380" w:type="dxa"/>
            <w:vAlign w:val="bottom"/>
            <w:vMerge w:val="continue"/>
            <w:shd w:val="clear" w:color="auto" w:fill="CCECFF"/>
          </w:tcPr>
          <w:p>
            <w:pPr>
              <w:spacing w:after="0"/>
              <w:rPr>
                <w:sz w:val="6"/>
                <w:szCs w:val="6"/>
                <w:color w:val="auto"/>
              </w:rPr>
            </w:pPr>
          </w:p>
        </w:tc>
        <w:tc>
          <w:tcPr>
            <w:tcW w:w="200" w:type="dxa"/>
            <w:vAlign w:val="bottom"/>
            <w:shd w:val="clear" w:color="auto" w:fill="CCECFF"/>
          </w:tcPr>
          <w:p>
            <w:pPr>
              <w:spacing w:after="0"/>
              <w:rPr>
                <w:sz w:val="6"/>
                <w:szCs w:val="6"/>
                <w:color w:val="auto"/>
              </w:rPr>
            </w:pPr>
          </w:p>
        </w:tc>
        <w:tc>
          <w:tcPr>
            <w:tcW w:w="100" w:type="dxa"/>
            <w:vAlign w:val="bottom"/>
            <w:shd w:val="clear" w:color="auto" w:fill="CCECFF"/>
          </w:tcPr>
          <w:p>
            <w:pPr>
              <w:spacing w:after="0"/>
              <w:rPr>
                <w:sz w:val="6"/>
                <w:szCs w:val="6"/>
                <w:color w:val="auto"/>
              </w:rPr>
            </w:pPr>
          </w:p>
        </w:tc>
        <w:tc>
          <w:tcPr>
            <w:tcW w:w="540" w:type="dxa"/>
            <w:vAlign w:val="bottom"/>
            <w:gridSpan w:val="2"/>
            <w:vMerge w:val="continue"/>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4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Total Controlled Affiliates</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(133,09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480" w:type="dxa"/>
            <w:vAlign w:val="bottom"/>
            <w:vMerge w:val="continue"/>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259,386</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26,191</w:t>
            </w:r>
          </w:p>
        </w:tc>
        <w:tc>
          <w:tcPr>
            <w:tcW w:w="38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(162,708 )</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93,199</w:t>
            </w:r>
          </w:p>
        </w:tc>
        <w:tc>
          <w:tcPr>
            <w:tcW w:w="22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216,068</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15,425</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2,596</w:t>
            </w:r>
          </w:p>
        </w:tc>
        <w:tc>
          <w:tcPr>
            <w:tcW w:w="3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15,730</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8 )</w:t>
            </w:r>
          </w:p>
        </w:tc>
        <w:tc>
          <w:tcPr>
            <w:tcW w:w="0" w:type="dxa"/>
            <w:vAlign w:val="bottom"/>
          </w:tcPr>
          <w:p>
            <w:pPr>
              <w:spacing w:after="0"/>
              <w:rPr>
                <w:sz w:val="1"/>
                <w:szCs w:val="1"/>
                <w:color w:val="auto"/>
              </w:rPr>
            </w:pPr>
          </w:p>
        </w:tc>
      </w:tr>
      <w:tr>
        <w:trPr>
          <w:trHeight w:val="80"/>
        </w:trPr>
        <w:tc>
          <w:tcPr>
            <w:tcW w:w="24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320" w:type="dxa"/>
            <w:vAlign w:val="bottom"/>
            <w:gridSpan w:val="2"/>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320" w:type="dxa"/>
            <w:vAlign w:val="bottom"/>
            <w:gridSpan w:val="2"/>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Non-Controlled Affiliates</w:t>
            </w:r>
          </w:p>
        </w:tc>
        <w:tc>
          <w:tcPr>
            <w:tcW w:w="8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6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6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Cascade Environmental Holdings, LLC</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32,791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918</w:t>
            </w:r>
          </w:p>
        </w:tc>
        <w:tc>
          <w:tcPr>
            <w:tcW w:w="38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(1,604 )</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32,105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JF Intermediate, LLC</w:t>
            </w:r>
          </w:p>
        </w:tc>
        <w:tc>
          <w:tcPr>
            <w:tcW w:w="80" w:type="dxa"/>
            <w:vAlign w:val="bottom"/>
            <w:shd w:val="clear" w:color="auto" w:fill="CCECFF"/>
          </w:tcPr>
          <w:p>
            <w:pPr>
              <w:spacing w:after="0"/>
              <w:rPr>
                <w:sz w:val="13"/>
                <w:szCs w:val="13"/>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1,969</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2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6,694</w:t>
            </w:r>
          </w:p>
        </w:tc>
        <w:tc>
          <w:tcPr>
            <w:tcW w:w="2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8,759</w:t>
            </w: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5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48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Walker Edison Furniture Company LLC </w:t>
            </w:r>
            <w:r>
              <w:rPr>
                <w:rFonts w:ascii="Times New Roman" w:cs="Times New Roman" w:eastAsia="Times New Roman" w:hAnsi="Times New Roman"/>
                <w:sz w:val="16"/>
                <w:szCs w:val="16"/>
                <w:color w:val="auto"/>
                <w:vertAlign w:val="superscript"/>
              </w:rPr>
              <w:t>(2)</w:t>
            </w: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17,162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(3,255 )</w:t>
            </w: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13,907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4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Total Non-Controlled Affiliates</w:t>
            </w: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34,760</w:t>
            </w:r>
          </w:p>
        </w:tc>
        <w:tc>
          <w:tcPr>
            <w:tcW w:w="3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18,176</w:t>
            </w:r>
          </w:p>
        </w:tc>
        <w:tc>
          <w:tcPr>
            <w:tcW w:w="380" w:type="dxa"/>
            <w:vAlign w:val="bottom"/>
            <w:gridSpan w:val="2"/>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1,835</w:t>
            </w:r>
          </w:p>
        </w:tc>
        <w:tc>
          <w:tcPr>
            <w:tcW w:w="220" w:type="dxa"/>
            <w:vAlign w:val="bottom"/>
            <w:shd w:val="clear" w:color="auto" w:fill="CCECFF"/>
          </w:tcPr>
          <w:p>
            <w:pPr>
              <w:spacing w:after="0"/>
              <w:rPr>
                <w:sz w:val="13"/>
                <w:szCs w:val="13"/>
                <w:color w:val="auto"/>
              </w:rPr>
            </w:pP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54,771</w:t>
            </w:r>
          </w:p>
        </w:tc>
        <w:tc>
          <w:tcPr>
            <w:tcW w:w="3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3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625</w:t>
            </w:r>
          </w:p>
        </w:tc>
        <w:tc>
          <w:tcPr>
            <w:tcW w:w="30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24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Total Controlled and</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(133,09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480" w:type="dxa"/>
            <w:vAlign w:val="bottom"/>
          </w:tcPr>
          <w:p>
            <w:pPr>
              <w:ind w:left="120"/>
              <w:spacing w:after="0" w:line="148" w:lineRule="exact"/>
              <w:rPr>
                <w:sz w:val="20"/>
                <w:szCs w:val="20"/>
                <w:color w:val="auto"/>
              </w:rPr>
            </w:pPr>
            <w:r>
              <w:rPr>
                <w:rFonts w:ascii="Times New Roman" w:cs="Times New Roman" w:eastAsia="Times New Roman" w:hAnsi="Times New Roman"/>
                <w:sz w:val="13"/>
                <w:szCs w:val="13"/>
                <w:b w:val="1"/>
                <w:bCs w:val="1"/>
                <w:color w:val="auto"/>
              </w:rPr>
              <w:t>Non-Controlled Affiliates</w:t>
            </w:r>
          </w:p>
        </w:tc>
        <w:tc>
          <w:tcPr>
            <w:tcW w:w="8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294,146</w:t>
            </w:r>
          </w:p>
        </w:tc>
        <w:tc>
          <w:tcPr>
            <w:tcW w:w="36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44,367</w:t>
            </w:r>
          </w:p>
        </w:tc>
        <w:tc>
          <w:tcPr>
            <w:tcW w:w="380" w:type="dxa"/>
            <w:vAlign w:val="bottom"/>
            <w:gridSpan w:val="2"/>
          </w:tcPr>
          <w:p>
            <w:pPr>
              <w:jc w:val="right"/>
              <w:ind w:right="14"/>
              <w:spacing w:after="0" w:line="148"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line="148" w:lineRule="exact"/>
              <w:rPr>
                <w:sz w:val="20"/>
                <w:szCs w:val="20"/>
                <w:color w:val="auto"/>
              </w:rPr>
            </w:pPr>
            <w:r>
              <w:rPr>
                <w:rFonts w:ascii="Times New Roman" w:cs="Times New Roman" w:eastAsia="Times New Roman" w:hAnsi="Times New Roman"/>
                <w:sz w:val="10"/>
                <w:szCs w:val="10"/>
                <w:color w:val="auto"/>
              </w:rPr>
              <w:t xml:space="preserve">(162,708 </w:t>
            </w:r>
            <w:r>
              <w:rPr>
                <w:rFonts w:ascii="Times New Roman" w:cs="Times New Roman" w:eastAsia="Times New Roman" w:hAnsi="Times New Roman"/>
                <w:sz w:val="17"/>
                <w:szCs w:val="17"/>
                <w:color w:val="auto"/>
                <w:vertAlign w:val="subscript"/>
              </w:rPr>
              <w:t>)</w:t>
            </w:r>
          </w:p>
        </w:tc>
        <w:tc>
          <w:tcPr>
            <w:tcW w:w="200" w:type="dxa"/>
            <w:vAlign w:val="bottom"/>
          </w:tcPr>
          <w:p>
            <w:pPr>
              <w:ind w:left="20"/>
              <w:spacing w:after="0" w:line="148"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95,034</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270,839</w:t>
            </w:r>
          </w:p>
        </w:tc>
        <w:tc>
          <w:tcPr>
            <w:tcW w:w="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15,498</w:t>
            </w:r>
          </w:p>
        </w:tc>
        <w:tc>
          <w:tcPr>
            <w:tcW w:w="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3,221</w:t>
            </w:r>
          </w:p>
        </w:tc>
        <w:tc>
          <w:tcPr>
            <w:tcW w:w="300" w:type="dxa"/>
            <w:vAlign w:val="bottom"/>
            <w:gridSpan w:val="2"/>
          </w:tcPr>
          <w:p>
            <w:pPr>
              <w:ind w:left="200"/>
              <w:spacing w:after="0" w:line="148"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15,730</w:t>
            </w:r>
          </w:p>
        </w:tc>
        <w:tc>
          <w:tcPr>
            <w:tcW w:w="30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40"/>
              <w:spacing w:after="0" w:line="148" w:lineRule="exact"/>
              <w:rPr>
                <w:sz w:val="20"/>
                <w:szCs w:val="20"/>
                <w:color w:val="auto"/>
              </w:rPr>
            </w:pPr>
            <w:r>
              <w:rPr>
                <w:rFonts w:ascii="Times New Roman" w:cs="Times New Roman" w:eastAsia="Times New Roman" w:hAnsi="Times New Roman"/>
                <w:sz w:val="10"/>
                <w:szCs w:val="10"/>
                <w:color w:val="auto"/>
              </w:rPr>
              <w:t xml:space="preserve">8 </w:t>
            </w:r>
            <w:r>
              <w:rPr>
                <w:rFonts w:ascii="Times New Roman" w:cs="Times New Roman" w:eastAsia="Times New Roman" w:hAnsi="Times New Roman"/>
                <w:sz w:val="17"/>
                <w:szCs w:val="17"/>
                <w:color w:val="auto"/>
                <w:vertAlign w:val="subscript"/>
              </w:rPr>
              <w:t>)</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99</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0"/>
        </w:trPr>
        <w:tc>
          <w:tcPr>
            <w:tcW w:w="24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132" w:right="640" w:bottom="1440" w:gutter="0" w:footer="0" w:header="0"/>
        </w:sectPr>
      </w:pPr>
    </w:p>
    <w:bookmarkStart w:id="99" w:name="page100"/>
    <w:bookmarkEnd w:id="99"/>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1"/>
          <w:szCs w:val="11"/>
          <w:color w:val="auto"/>
        </w:rPr>
        <w:t>Includes PIK.</w:t>
      </w:r>
    </w:p>
    <w:p>
      <w:pPr>
        <w:spacing w:after="0" w:line="202" w:lineRule="auto"/>
        <w:rPr>
          <w:sz w:val="20"/>
          <w:szCs w:val="20"/>
          <w:color w:val="auto"/>
        </w:rPr>
      </w:pPr>
      <w:r>
        <w:rPr>
          <w:rFonts w:ascii="Times New Roman" w:cs="Times New Roman" w:eastAsia="Times New Roman" w:hAnsi="Times New Roman"/>
          <w:sz w:val="21"/>
          <w:szCs w:val="21"/>
          <w:b w:val="1"/>
          <w:bCs w:val="1"/>
          <w:color w:val="auto"/>
          <w:vertAlign w:val="superscript"/>
        </w:rPr>
        <w:t>(2)</w:t>
      </w:r>
      <w:r>
        <w:rPr>
          <w:rFonts w:ascii="Times New Roman" w:cs="Times New Roman" w:eastAsia="Times New Roman" w:hAnsi="Times New Roman"/>
          <w:sz w:val="11"/>
          <w:szCs w:val="11"/>
          <w:color w:val="auto"/>
        </w:rPr>
        <w:t>Walker Edison Furniture Company LLC became a non-controlled affiliate during the quarter ended March 31, 2023</w:t>
      </w:r>
    </w:p>
    <w:p>
      <w:pPr>
        <w:spacing w:after="0" w:line="1" w:lineRule="exact"/>
        <w:rPr>
          <w:sz w:val="20"/>
          <w:szCs w:val="20"/>
          <w:color w:val="auto"/>
        </w:rPr>
      </w:pPr>
    </w:p>
    <w:p>
      <w:pPr>
        <w:ind w:right="60"/>
        <w:spacing w:after="0" w:line="213" w:lineRule="auto"/>
        <w:rPr>
          <w:sz w:val="20"/>
          <w:szCs w:val="20"/>
          <w:color w:val="auto"/>
        </w:rPr>
      </w:pPr>
      <w:r>
        <w:rPr>
          <w:rFonts w:ascii="Times New Roman" w:cs="Times New Roman" w:eastAsia="Times New Roman" w:hAnsi="Times New Roman"/>
          <w:sz w:val="21"/>
          <w:szCs w:val="21"/>
          <w:b w:val="1"/>
          <w:bCs w:val="1"/>
          <w:color w:val="auto"/>
          <w:vertAlign w:val="superscript"/>
        </w:rPr>
        <w:t>(3)</w:t>
      </w:r>
      <w:r>
        <w:rPr>
          <w:rFonts w:ascii="Times New Roman" w:cs="Times New Roman" w:eastAsia="Times New Roman" w:hAnsi="Times New Roman"/>
          <w:sz w:val="11"/>
          <w:szCs w:val="11"/>
          <w:color w:val="auto"/>
        </w:rPr>
        <w:t>We and Pantheon are the members of PSLF, a joint venture formed as a Delaware limited liability company that is not consolidated by us for financial reporting purposes. The members of PSLF make investments in the PSLF in the form of subordinated debt and equity interests, and all portfolio and other material decision regarding PSLF must be submitted to PSFL’s board of directors or investment committee, both of which are comprised of two members appointed by each of us and Pantheon. Because management of PSLF is shared equally between us and Pantheon, we do not believe we control PSLF for purposes of the 1940 Act or otherwise.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7. CHANGE IN NET ASSETS FROM OPERATIONS PER COMMON SHARE</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following information sets forth the computation of basic and diluted per share net increase in net assets resulting from operations ($ in thousands, except per share data):</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156"/>
        </w:trPr>
        <w:tc>
          <w:tcPr>
            <w:tcW w:w="5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70"/>
        </w:trPr>
        <w:tc>
          <w:tcPr>
            <w:tcW w:w="5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Pr>
          <w:p>
            <w:pPr>
              <w:spacing w:after="0"/>
              <w:rPr>
                <w:sz w:val="14"/>
                <w:szCs w:val="14"/>
                <w:color w:val="auto"/>
              </w:rPr>
            </w:pPr>
          </w:p>
        </w:tc>
        <w:tc>
          <w:tcPr>
            <w:tcW w:w="1180" w:type="dxa"/>
            <w:vAlign w:val="bottom"/>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360" w:type="dxa"/>
            <w:vAlign w:val="bottom"/>
          </w:tcPr>
          <w:p>
            <w:pPr>
              <w:spacing w:after="0"/>
              <w:rPr>
                <w:sz w:val="14"/>
                <w:szCs w:val="14"/>
                <w:color w:val="auto"/>
              </w:rPr>
            </w:pPr>
          </w:p>
        </w:tc>
        <w:tc>
          <w:tcPr>
            <w:tcW w:w="106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56"/>
        </w:trPr>
        <w:tc>
          <w:tcPr>
            <w:tcW w:w="53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Numerator for net increase (decrease) in net assets resulting from operations</w:t>
            </w:r>
          </w:p>
        </w:tc>
        <w:tc>
          <w:tcPr>
            <w:tcW w:w="88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48,851</w:t>
            </w:r>
          </w:p>
        </w:tc>
        <w:tc>
          <w:tcPr>
            <w:tcW w:w="50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(33,807 )</w:t>
            </w:r>
          </w:p>
        </w:tc>
        <w:tc>
          <w:tcPr>
            <w:tcW w:w="36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(24,740 )</w:t>
            </w:r>
          </w:p>
        </w:tc>
      </w:tr>
      <w:tr>
        <w:trPr>
          <w:trHeight w:val="156"/>
        </w:trPr>
        <w:tc>
          <w:tcPr>
            <w:tcW w:w="5320" w:type="dxa"/>
            <w:vAlign w:val="bottom"/>
          </w:tcPr>
          <w:p>
            <w:pPr>
              <w:spacing w:after="0"/>
              <w:rPr>
                <w:sz w:val="20"/>
                <w:szCs w:val="20"/>
                <w:color w:val="auto"/>
              </w:rPr>
            </w:pPr>
            <w:r>
              <w:rPr>
                <w:rFonts w:ascii="Times New Roman" w:cs="Times New Roman" w:eastAsia="Times New Roman" w:hAnsi="Times New Roman"/>
                <w:sz w:val="13"/>
                <w:szCs w:val="13"/>
                <w:color w:val="auto"/>
              </w:rPr>
              <w:t>Denominator for basic and diluted weighted average shares</w:t>
            </w:r>
          </w:p>
        </w:tc>
        <w:tc>
          <w:tcPr>
            <w:tcW w:w="8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65,246,011</w:t>
            </w:r>
          </w:p>
        </w:tc>
        <w:tc>
          <w:tcPr>
            <w:tcW w:w="500" w:type="dxa"/>
            <w:vAlign w:val="bottom"/>
          </w:tcPr>
          <w:p>
            <w:pPr>
              <w:spacing w:after="0"/>
              <w:rPr>
                <w:sz w:val="13"/>
                <w:szCs w:val="13"/>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65,224,500</w:t>
            </w:r>
          </w:p>
        </w:tc>
        <w:tc>
          <w:tcPr>
            <w:tcW w:w="360" w:type="dxa"/>
            <w:vAlign w:val="bottom"/>
          </w:tcPr>
          <w:p>
            <w:pPr>
              <w:spacing w:after="0"/>
              <w:rPr>
                <w:sz w:val="13"/>
                <w:szCs w:val="13"/>
                <w:color w:val="auto"/>
              </w:rPr>
            </w:pP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66,254,150</w:t>
            </w:r>
          </w:p>
        </w:tc>
      </w:tr>
      <w:tr>
        <w:trPr>
          <w:trHeight w:val="156"/>
        </w:trPr>
        <w:tc>
          <w:tcPr>
            <w:tcW w:w="53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Basic and diluted net increase (decrease) in net assets per share resulting from operations</w:t>
            </w:r>
          </w:p>
        </w:tc>
        <w:tc>
          <w:tcPr>
            <w:tcW w:w="88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0.75</w:t>
            </w:r>
          </w:p>
        </w:tc>
        <w:tc>
          <w:tcPr>
            <w:tcW w:w="50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(0.52 )</w:t>
            </w:r>
          </w:p>
        </w:tc>
        <w:tc>
          <w:tcPr>
            <w:tcW w:w="36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(0.37 )</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8. TAXES AND DISTRIBUTIONS</w:t>
      </w:r>
    </w:p>
    <w:p>
      <w:pPr>
        <w:spacing w:after="0" w:line="129"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Distributions from net investment income and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gain or paid-in -capital, as appropriate. Distributions from net realized capital gains, if any, are normally declared and paid annually, but the Company may make distributions on a more frequent basis to comply with the distribution requirements for RICs under the Code.</w:t>
      </w:r>
    </w:p>
    <w:p>
      <w:pPr>
        <w:spacing w:after="0" w:line="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 of September 30, 2024 and 2023, the cost of investments for federal income tax purposes approximates the amortized cost reported in the Consolidated Schedule of Investments.</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following amounts were reclassified for tax purposes ($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4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8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0"/>
        </w:trPr>
        <w:tc>
          <w:tcPr>
            <w:tcW w:w="4440" w:type="dxa"/>
            <w:vAlign w:val="bottom"/>
          </w:tcPr>
          <w:p>
            <w:pPr>
              <w:spacing w:after="0"/>
              <w:rPr>
                <w:sz w:val="14"/>
                <w:szCs w:val="14"/>
                <w:color w:val="auto"/>
              </w:rPr>
            </w:pPr>
          </w:p>
        </w:tc>
        <w:tc>
          <w:tcPr>
            <w:tcW w:w="248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360" w:type="dxa"/>
            <w:vAlign w:val="bottom"/>
          </w:tcPr>
          <w:p>
            <w:pPr>
              <w:spacing w:after="0"/>
              <w:rPr>
                <w:sz w:val="14"/>
                <w:szCs w:val="14"/>
                <w:color w:val="auto"/>
              </w:rPr>
            </w:pPr>
          </w:p>
        </w:tc>
        <w:tc>
          <w:tcPr>
            <w:tcW w:w="108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56"/>
        </w:trPr>
        <w:tc>
          <w:tcPr>
            <w:tcW w:w="44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Increase (Decrease) in paid-in capital</w:t>
            </w:r>
          </w:p>
        </w:tc>
        <w:tc>
          <w:tcPr>
            <w:tcW w:w="2480" w:type="dxa"/>
            <w:vAlign w:val="bottom"/>
            <w:shd w:val="clear" w:color="auto" w:fill="CCECFF"/>
          </w:tcPr>
          <w:p>
            <w:pPr>
              <w:jc w:val="right"/>
              <w:ind w:right="714"/>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(2,800 )</w:t>
            </w:r>
          </w:p>
        </w:tc>
        <w:tc>
          <w:tcPr>
            <w:tcW w:w="48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(1,703 )</w:t>
            </w:r>
          </w:p>
        </w:tc>
        <w:tc>
          <w:tcPr>
            <w:tcW w:w="36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(25,577 )</w:t>
            </w:r>
          </w:p>
        </w:tc>
      </w:tr>
      <w:tr>
        <w:trPr>
          <w:trHeight w:val="156"/>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Increase (Decrease) in accumulated net realized gain</w:t>
            </w:r>
          </w:p>
        </w:tc>
        <w:tc>
          <w:tcPr>
            <w:tcW w:w="24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(11,993 )</w:t>
            </w:r>
          </w:p>
        </w:tc>
        <w:tc>
          <w:tcPr>
            <w:tcW w:w="480" w:type="dxa"/>
            <w:vAlign w:val="bottom"/>
          </w:tcPr>
          <w:p>
            <w:pPr>
              <w:spacing w:after="0"/>
              <w:rPr>
                <w:sz w:val="13"/>
                <w:szCs w:val="13"/>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(1,494 )</w:t>
            </w:r>
          </w:p>
        </w:tc>
        <w:tc>
          <w:tcPr>
            <w:tcW w:w="360" w:type="dxa"/>
            <w:vAlign w:val="bottom"/>
          </w:tcPr>
          <w:p>
            <w:pPr>
              <w:spacing w:after="0"/>
              <w:rPr>
                <w:sz w:val="13"/>
                <w:szCs w:val="13"/>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18,347</w:t>
            </w:r>
          </w:p>
        </w:tc>
      </w:tr>
      <w:tr>
        <w:trPr>
          <w:trHeight w:val="156"/>
        </w:trPr>
        <w:tc>
          <w:tcPr>
            <w:tcW w:w="44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Increase in undistributed net investment income</w:t>
            </w:r>
          </w:p>
        </w:tc>
        <w:tc>
          <w:tcPr>
            <w:tcW w:w="2480" w:type="dxa"/>
            <w:vAlign w:val="bottom"/>
            <w:shd w:val="clear" w:color="auto" w:fill="CCECFF"/>
          </w:tcPr>
          <w:p>
            <w:pPr>
              <w:spacing w:after="0"/>
              <w:rPr>
                <w:sz w:val="13"/>
                <w:szCs w:val="13"/>
                <w:color w:val="auto"/>
              </w:rPr>
            </w:pPr>
          </w:p>
        </w:tc>
        <w:tc>
          <w:tcPr>
            <w:tcW w:w="52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rPr>
              <w:t>14,793</w:t>
            </w:r>
          </w:p>
        </w:tc>
        <w:tc>
          <w:tcPr>
            <w:tcW w:w="480" w:type="dxa"/>
            <w:vAlign w:val="bottom"/>
            <w:shd w:val="clear" w:color="auto" w:fill="CCECFF"/>
          </w:tcPr>
          <w:p>
            <w:pPr>
              <w:spacing w:after="0"/>
              <w:rPr>
                <w:sz w:val="13"/>
                <w:szCs w:val="13"/>
                <w:color w:val="auto"/>
              </w:rPr>
            </w:pPr>
          </w:p>
        </w:tc>
        <w:tc>
          <w:tcPr>
            <w:tcW w:w="120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3,197</w:t>
            </w:r>
          </w:p>
        </w:tc>
        <w:tc>
          <w:tcPr>
            <w:tcW w:w="360" w:type="dxa"/>
            <w:vAlign w:val="bottom"/>
            <w:shd w:val="clear" w:color="auto" w:fill="CCECFF"/>
          </w:tcPr>
          <w:p>
            <w:pPr>
              <w:spacing w:after="0"/>
              <w:rPr>
                <w:sz w:val="13"/>
                <w:szCs w:val="13"/>
                <w:color w:val="auto"/>
              </w:rPr>
            </w:pPr>
          </w:p>
        </w:tc>
        <w:tc>
          <w:tcPr>
            <w:tcW w:w="10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7,230</w:t>
            </w:r>
          </w:p>
        </w:tc>
      </w:tr>
      <w:tr>
        <w:trPr>
          <w:trHeight w:val="316"/>
        </w:trPr>
        <w:tc>
          <w:tcPr>
            <w:tcW w:w="692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The following reconciles net (decrease) increase in net assets resulting from operations to taxable income ($ in thousands):</w:t>
            </w: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960" w:type="dxa"/>
            <w:vAlign w:val="bottom"/>
            <w:gridSpan w:val="8"/>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515"/>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515"/>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515"/>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increase (decrease) in net assets resulting from operations</w:t>
            </w:r>
          </w:p>
        </w:tc>
        <w:tc>
          <w:tcPr>
            <w:tcW w:w="1420" w:type="dxa"/>
            <w:vAlign w:val="bottom"/>
            <w:gridSpan w:val="2"/>
            <w:shd w:val="clear" w:color="auto" w:fill="CCECFF"/>
          </w:tcPr>
          <w:p>
            <w:pPr>
              <w:jc w:val="right"/>
              <w:ind w:right="265"/>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CFF"/>
          </w:tcPr>
          <w:p>
            <w:pPr>
              <w:spacing w:after="0"/>
              <w:rPr>
                <w:sz w:val="13"/>
                <w:szCs w:val="13"/>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48,852</w:t>
            </w:r>
          </w:p>
        </w:tc>
        <w:tc>
          <w:tcPr>
            <w:tcW w:w="26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(33,807 )</w:t>
            </w:r>
          </w:p>
        </w:tc>
        <w:tc>
          <w:tcPr>
            <w:tcW w:w="120" w:type="dxa"/>
            <w:vAlign w:val="bottom"/>
            <w:shd w:val="clear" w:color="auto" w:fill="CCECFF"/>
          </w:tcPr>
          <w:p>
            <w:pPr>
              <w:spacing w:after="0"/>
              <w:rPr>
                <w:sz w:val="13"/>
                <w:szCs w:val="13"/>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(24,740 )</w:t>
            </w:r>
          </w:p>
        </w:tc>
        <w:tc>
          <w:tcPr>
            <w:tcW w:w="0" w:type="dxa"/>
            <w:vAlign w:val="bottom"/>
          </w:tcPr>
          <w:p>
            <w:pPr>
              <w:spacing w:after="0"/>
              <w:rPr>
                <w:sz w:val="1"/>
                <w:szCs w:val="1"/>
                <w:color w:val="auto"/>
              </w:rPr>
            </w:pPr>
          </w:p>
        </w:tc>
      </w:tr>
      <w:tr>
        <w:trPr>
          <w:trHeight w:val="156"/>
        </w:trPr>
        <w:tc>
          <w:tcPr>
            <w:tcW w:w="4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33,646</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156,757</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(34,756 )</w:t>
            </w:r>
          </w:p>
        </w:tc>
        <w:tc>
          <w:tcPr>
            <w:tcW w:w="0" w:type="dxa"/>
            <w:vAlign w:val="bottom"/>
          </w:tcPr>
          <w:p>
            <w:pPr>
              <w:spacing w:after="0"/>
              <w:rPr>
                <w:sz w:val="1"/>
                <w:szCs w:val="1"/>
                <w:color w:val="auto"/>
              </w:rPr>
            </w:pPr>
          </w:p>
        </w:tc>
      </w:tr>
      <w:tr>
        <w:trPr>
          <w:trHeight w:val="156"/>
        </w:trPr>
        <w:tc>
          <w:tcPr>
            <w:tcW w:w="4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 and debt</w:t>
            </w:r>
          </w:p>
        </w:tc>
        <w:tc>
          <w:tcPr>
            <w:tcW w:w="104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160" w:type="dxa"/>
            <w:vAlign w:val="bottom"/>
            <w:gridSpan w:val="2"/>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(22,428 )</w:t>
            </w:r>
          </w:p>
        </w:tc>
        <w:tc>
          <w:tcPr>
            <w:tcW w:w="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(57,417 )</w:t>
            </w:r>
          </w:p>
        </w:tc>
        <w:tc>
          <w:tcPr>
            <w:tcW w:w="1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103,439</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book-to-tax differences</w:t>
            </w: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9,268</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(6,006 )</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9,490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Other non-deductible expenses</w:t>
            </w:r>
          </w:p>
        </w:tc>
        <w:tc>
          <w:tcPr>
            <w:tcW w:w="104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3,245</w:t>
            </w:r>
          </w:p>
        </w:tc>
        <w:tc>
          <w:tcPr>
            <w:tcW w:w="26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5,766</w:t>
            </w:r>
          </w:p>
        </w:tc>
        <w:tc>
          <w:tcPr>
            <w:tcW w:w="1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3,691</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Taxable income before dividends paid deduction</w:t>
            </w:r>
          </w:p>
        </w:tc>
        <w:tc>
          <w:tcPr>
            <w:tcW w:w="1040" w:type="dxa"/>
            <w:vAlign w:val="bottom"/>
          </w:tcPr>
          <w:p>
            <w:pPr>
              <w:spacing w:after="0"/>
              <w:rPr>
                <w:sz w:val="13"/>
                <w:szCs w:val="13"/>
                <w:color w:val="auto"/>
              </w:rPr>
            </w:pPr>
          </w:p>
        </w:tc>
        <w:tc>
          <w:tcPr>
            <w:tcW w:w="38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72,583</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65,293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57,124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8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7840" w:type="dxa"/>
            <w:vAlign w:val="bottom"/>
            <w:gridSpan w:val="10"/>
          </w:tcPr>
          <w:p>
            <w:pPr>
              <w:ind w:left="420"/>
              <w:spacing w:after="0"/>
              <w:rPr>
                <w:sz w:val="20"/>
                <w:szCs w:val="20"/>
                <w:color w:val="auto"/>
              </w:rPr>
            </w:pPr>
            <w:r>
              <w:rPr>
                <w:rFonts w:ascii="Times New Roman" w:cs="Times New Roman" w:eastAsia="Times New Roman" w:hAnsi="Times New Roman"/>
                <w:sz w:val="13"/>
                <w:szCs w:val="13"/>
                <w:color w:val="auto"/>
              </w:rPr>
              <w:t>The components of undistributed taxable income on a tax basis and reconciliation to accumulated deficit on a book basis are as follows:</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5"/>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315"/>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455"/>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Undistributed net investment income – tax basis</w:t>
            </w:r>
          </w:p>
        </w:tc>
        <w:tc>
          <w:tcPr>
            <w:tcW w:w="156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65,962</w:t>
            </w:r>
          </w:p>
        </w:tc>
        <w:tc>
          <w:tcPr>
            <w:tcW w:w="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3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62,710</w:t>
            </w:r>
          </w:p>
        </w:tc>
        <w:tc>
          <w:tcPr>
            <w:tcW w:w="120" w:type="dxa"/>
            <w:vAlign w:val="bottom"/>
            <w:shd w:val="clear" w:color="auto" w:fill="CCECFF"/>
          </w:tcPr>
          <w:p>
            <w:pPr>
              <w:spacing w:after="0"/>
              <w:rPr>
                <w:sz w:val="13"/>
                <w:szCs w:val="13"/>
                <w:color w:val="auto"/>
              </w:rPr>
            </w:pPr>
          </w:p>
        </w:tc>
        <w:tc>
          <w:tcPr>
            <w:tcW w:w="4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46,283</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Short-term realized loss carried forward</w:t>
            </w: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(3,397 )</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(1,699 )</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(2,065 )</w:t>
            </w:r>
          </w:p>
        </w:tc>
        <w:tc>
          <w:tcPr>
            <w:tcW w:w="0" w:type="dxa"/>
            <w:vAlign w:val="bottom"/>
          </w:tcPr>
          <w:p>
            <w:pPr>
              <w:spacing w:after="0"/>
              <w:rPr>
                <w:sz w:val="1"/>
                <w:szCs w:val="1"/>
                <w:color w:val="auto"/>
              </w:rPr>
            </w:pPr>
          </w:p>
        </w:tc>
      </w:tr>
      <w:tr>
        <w:trPr>
          <w:trHeight w:val="156"/>
        </w:trPr>
        <w:tc>
          <w:tcPr>
            <w:tcW w:w="4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Long-term realized loss carried forward</w:t>
            </w:r>
          </w:p>
        </w:tc>
        <w:tc>
          <w:tcPr>
            <w:tcW w:w="104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260" w:type="dxa"/>
            <w:vAlign w:val="bottom"/>
            <w:gridSpan w:val="4"/>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(287,545 )</w:t>
            </w:r>
          </w:p>
        </w:tc>
        <w:tc>
          <w:tcPr>
            <w:tcW w:w="3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(379,074 )</w:t>
            </w:r>
          </w:p>
        </w:tc>
        <w:tc>
          <w:tcPr>
            <w:tcW w:w="4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(103,119 )</w:t>
            </w:r>
          </w:p>
        </w:tc>
        <w:tc>
          <w:tcPr>
            <w:tcW w:w="0" w:type="dxa"/>
            <w:vAlign w:val="bottom"/>
          </w:tcPr>
          <w:p>
            <w:pPr>
              <w:spacing w:after="0"/>
              <w:rPr>
                <w:sz w:val="1"/>
                <w:szCs w:val="1"/>
                <w:color w:val="auto"/>
              </w:rPr>
            </w:pPr>
          </w:p>
        </w:tc>
      </w:tr>
      <w:tr>
        <w:trPr>
          <w:trHeight w:val="156"/>
        </w:trPr>
        <w:tc>
          <w:tcPr>
            <w:tcW w:w="4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 payable and other book to tax differences</w:t>
            </w: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(37,435 )</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83,860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(37,103 )</w:t>
            </w:r>
          </w:p>
        </w:tc>
        <w:tc>
          <w:tcPr>
            <w:tcW w:w="0" w:type="dxa"/>
            <w:vAlign w:val="bottom"/>
          </w:tcPr>
          <w:p>
            <w:pPr>
              <w:spacing w:after="0"/>
              <w:rPr>
                <w:sz w:val="1"/>
                <w:szCs w:val="1"/>
                <w:color w:val="auto"/>
              </w:rPr>
            </w:pPr>
          </w:p>
        </w:tc>
      </w:tr>
      <w:tr>
        <w:trPr>
          <w:trHeight w:val="156"/>
        </w:trPr>
        <w:tc>
          <w:tcPr>
            <w:tcW w:w="4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unrealized appreciation (depreciation) on investments and debt</w:t>
            </w:r>
          </w:p>
        </w:tc>
        <w:tc>
          <w:tcPr>
            <w:tcW w:w="104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1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12,290</w:t>
            </w:r>
          </w:p>
        </w:tc>
        <w:tc>
          <w:tcPr>
            <w:tcW w:w="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22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(10,141 )</w:t>
            </w:r>
          </w:p>
        </w:tc>
        <w:tc>
          <w:tcPr>
            <w:tcW w:w="1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(66,665 )</w:t>
            </w:r>
          </w:p>
        </w:tc>
        <w:tc>
          <w:tcPr>
            <w:tcW w:w="0" w:type="dxa"/>
            <w:vAlign w:val="bottom"/>
          </w:tcPr>
          <w:p>
            <w:pPr>
              <w:spacing w:after="0"/>
              <w:rPr>
                <w:sz w:val="1"/>
                <w:szCs w:val="1"/>
                <w:color w:val="auto"/>
              </w:rPr>
            </w:pPr>
          </w:p>
        </w:tc>
      </w:tr>
      <w:tr>
        <w:trPr>
          <w:trHeight w:val="156"/>
        </w:trPr>
        <w:tc>
          <w:tcPr>
            <w:tcW w:w="464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Total accumulated deficit – book basis</w:t>
            </w:r>
          </w:p>
        </w:tc>
        <w:tc>
          <w:tcPr>
            <w:tcW w:w="1560" w:type="dxa"/>
            <w:vAlign w:val="bottom"/>
            <w:gridSpan w:val="3"/>
          </w:tcPr>
          <w:p>
            <w:pPr>
              <w:jc w:val="right"/>
              <w:ind w:right="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4"/>
          </w:tcPr>
          <w:p>
            <w:pPr>
              <w:jc w:val="right"/>
              <w:spacing w:after="0" w:line="136" w:lineRule="exact"/>
              <w:rPr>
                <w:sz w:val="20"/>
                <w:szCs w:val="20"/>
                <w:color w:val="auto"/>
              </w:rPr>
            </w:pPr>
            <w:r>
              <w:rPr>
                <w:rFonts w:ascii="Times New Roman" w:cs="Times New Roman" w:eastAsia="Times New Roman" w:hAnsi="Times New Roman"/>
                <w:sz w:val="9"/>
                <w:szCs w:val="9"/>
                <w:color w:val="auto"/>
              </w:rPr>
              <w:t xml:space="preserve">(250,125 </w:t>
            </w:r>
            <w:r>
              <w:rPr>
                <w:rFonts w:ascii="Times New Roman" w:cs="Times New Roman" w:eastAsia="Times New Roman" w:hAnsi="Times New Roman"/>
                <w:sz w:val="15"/>
                <w:szCs w:val="15"/>
                <w:color w:val="auto"/>
                <w:vertAlign w:val="subscript"/>
              </w:rPr>
              <w:t>)</w:t>
            </w:r>
          </w:p>
        </w:tc>
        <w:tc>
          <w:tcPr>
            <w:tcW w:w="38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3"/>
          </w:tcPr>
          <w:p>
            <w:pPr>
              <w:jc w:val="right"/>
              <w:ind w:right="60"/>
              <w:spacing w:after="0" w:line="136" w:lineRule="exact"/>
              <w:rPr>
                <w:sz w:val="20"/>
                <w:szCs w:val="20"/>
                <w:color w:val="auto"/>
              </w:rPr>
            </w:pPr>
            <w:r>
              <w:rPr>
                <w:rFonts w:ascii="Times New Roman" w:cs="Times New Roman" w:eastAsia="Times New Roman" w:hAnsi="Times New Roman"/>
                <w:sz w:val="9"/>
                <w:szCs w:val="9"/>
                <w:color w:val="auto"/>
              </w:rPr>
              <w:t xml:space="preserve">(244,344 </w:t>
            </w:r>
            <w:r>
              <w:rPr>
                <w:rFonts w:ascii="Times New Roman" w:cs="Times New Roman" w:eastAsia="Times New Roman" w:hAnsi="Times New Roman"/>
                <w:sz w:val="15"/>
                <w:szCs w:val="15"/>
                <w:color w:val="auto"/>
                <w:vertAlign w:val="subscript"/>
              </w:rPr>
              <w:t>)</w:t>
            </w:r>
          </w:p>
        </w:tc>
        <w:tc>
          <w:tcPr>
            <w:tcW w:w="40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9"/>
                <w:szCs w:val="9"/>
                <w:color w:val="auto"/>
              </w:rPr>
              <w:t xml:space="preserve">(162,669 </w:t>
            </w:r>
            <w:r>
              <w:rPr>
                <w:rFonts w:ascii="Times New Roman" w:cs="Times New Roman" w:eastAsia="Times New Roman" w:hAnsi="Times New Roman"/>
                <w:sz w:val="15"/>
                <w:szCs w:val="15"/>
                <w:color w:val="auto"/>
                <w:vertAlign w:val="subscript"/>
              </w:rPr>
              <w:t>)</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rPr>
              <w:t>The tax characteristics of distributions declared are as follows:</w:t>
            </w: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46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5"/>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315"/>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455"/>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Ordinary income (including short-term gains, if any)</w:t>
            </w:r>
          </w:p>
        </w:tc>
        <w:tc>
          <w:tcPr>
            <w:tcW w:w="156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57,420</w:t>
            </w:r>
          </w:p>
        </w:tc>
        <w:tc>
          <w:tcPr>
            <w:tcW w:w="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3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49,571</w:t>
            </w:r>
          </w:p>
        </w:tc>
        <w:tc>
          <w:tcPr>
            <w:tcW w:w="120" w:type="dxa"/>
            <w:vAlign w:val="bottom"/>
            <w:shd w:val="clear" w:color="auto" w:fill="CCECFF"/>
          </w:tcPr>
          <w:p>
            <w:pPr>
              <w:spacing w:after="0"/>
              <w:rPr>
                <w:sz w:val="13"/>
                <w:szCs w:val="13"/>
                <w:color w:val="auto"/>
              </w:rPr>
            </w:pPr>
          </w:p>
        </w:tc>
        <w:tc>
          <w:tcPr>
            <w:tcW w:w="4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36,590</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capital gain</w:t>
            </w: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4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distributions</w:t>
            </w:r>
          </w:p>
        </w:tc>
        <w:tc>
          <w:tcPr>
            <w:tcW w:w="156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57,420</w:t>
            </w:r>
          </w:p>
        </w:tc>
        <w:tc>
          <w:tcPr>
            <w:tcW w:w="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3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49,571</w:t>
            </w:r>
          </w:p>
        </w:tc>
        <w:tc>
          <w:tcPr>
            <w:tcW w:w="120" w:type="dxa"/>
            <w:vAlign w:val="bottom"/>
            <w:shd w:val="clear" w:color="auto" w:fill="CCECFF"/>
          </w:tcPr>
          <w:p>
            <w:pPr>
              <w:spacing w:after="0"/>
              <w:rPr>
                <w:sz w:val="13"/>
                <w:szCs w:val="13"/>
                <w:color w:val="auto"/>
              </w:rPr>
            </w:pPr>
          </w:p>
        </w:tc>
        <w:tc>
          <w:tcPr>
            <w:tcW w:w="4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36,590</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distributions declared per share</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0.88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0.76</w:t>
            </w:r>
          </w:p>
        </w:tc>
        <w:tc>
          <w:tcPr>
            <w:tcW w:w="120" w:type="dxa"/>
            <w:vAlign w:val="bottom"/>
          </w:tcPr>
          <w:p>
            <w:pPr>
              <w:spacing w:after="0"/>
              <w:rPr>
                <w:sz w:val="14"/>
                <w:szCs w:val="14"/>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17"/>
        </w:trPr>
        <w:tc>
          <w:tcPr>
            <w:tcW w:w="4640" w:type="dxa"/>
            <w:vAlign w:val="bottom"/>
          </w:tcPr>
          <w:p>
            <w:pPr>
              <w:spacing w:after="0"/>
              <w:rPr>
                <w:sz w:val="24"/>
                <w:szCs w:val="24"/>
                <w:color w:val="auto"/>
              </w:rPr>
            </w:pPr>
          </w:p>
        </w:tc>
        <w:tc>
          <w:tcPr>
            <w:tcW w:w="104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100</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0"/>
        </w:trPr>
        <w:tc>
          <w:tcPr>
            <w:tcW w:w="464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132" w:right="640" w:bottom="1440" w:gutter="0" w:footer="0" w:header="0"/>
        </w:sectPr>
      </w:pPr>
    </w:p>
    <w:bookmarkStart w:id="100" w:name="page101"/>
    <w:bookmarkEnd w:id="100"/>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9. CASH AND CASH EQUIVALENTS</w:t>
      </w:r>
    </w:p>
    <w:p>
      <w:pPr>
        <w:spacing w:after="0" w:line="129" w:lineRule="exact"/>
        <w:rPr>
          <w:sz w:val="20"/>
          <w:szCs w:val="20"/>
          <w:color w:val="auto"/>
        </w:rPr>
      </w:pPr>
    </w:p>
    <w:p>
      <w:pPr>
        <w:ind w:right="120" w:firstLine="420"/>
        <w:spacing w:after="0" w:line="255" w:lineRule="auto"/>
        <w:rPr>
          <w:sz w:val="20"/>
          <w:szCs w:val="20"/>
          <w:color w:val="auto"/>
        </w:rPr>
      </w:pPr>
      <w:r>
        <w:rPr>
          <w:rFonts w:ascii="Times New Roman" w:cs="Times New Roman" w:eastAsia="Times New Roman" w:hAnsi="Times New Roman"/>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 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Truist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September 30, 2024 and 2023, cash and cash equivalents consisted of money market funds, and non-money market in the amounts of $38.8 million and $11.1 million and $24.7 million and $14.1 million at fair value, respectively.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 FINANCIAL HIGHLIGHTS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Below are the financial highlights for each of the years ended September 30, ($in thousands, except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2021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2020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Per Share Data:</w:t>
            </w:r>
          </w:p>
        </w:tc>
        <w:tc>
          <w:tcPr>
            <w:tcW w:w="22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asset value, beginning of year</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7.70</w:t>
            </w:r>
          </w:p>
        </w:tc>
        <w:tc>
          <w:tcPr>
            <w:tcW w:w="200" w:type="dxa"/>
            <w:vAlign w:val="bottom"/>
          </w:tcPr>
          <w:p>
            <w:pPr>
              <w:spacing w:after="0"/>
              <w:rPr>
                <w:sz w:val="13"/>
                <w:szCs w:val="13"/>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8.98</w:t>
            </w:r>
          </w:p>
        </w:tc>
        <w:tc>
          <w:tcPr>
            <w:tcW w:w="220" w:type="dxa"/>
            <w:vAlign w:val="bottom"/>
          </w:tcPr>
          <w:p>
            <w:pPr>
              <w:spacing w:after="0"/>
              <w:rPr>
                <w:sz w:val="13"/>
                <w:szCs w:val="13"/>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9.85</w:t>
            </w:r>
          </w:p>
        </w:tc>
        <w:tc>
          <w:tcPr>
            <w:tcW w:w="220" w:type="dxa"/>
            <w:vAlign w:val="bottom"/>
          </w:tcPr>
          <w:p>
            <w:pPr>
              <w:spacing w:after="0"/>
              <w:rPr>
                <w:sz w:val="13"/>
                <w:szCs w:val="13"/>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7.84</w:t>
            </w:r>
          </w:p>
        </w:tc>
        <w:tc>
          <w:tcPr>
            <w:tcW w:w="180" w:type="dxa"/>
            <w:vAlign w:val="bottom"/>
          </w:tcPr>
          <w:p>
            <w:pPr>
              <w:spacing w:after="0"/>
              <w:rPr>
                <w:sz w:val="13"/>
                <w:szCs w:val="13"/>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82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Net investment income </w:t>
            </w:r>
            <w:r>
              <w:rPr>
                <w:rFonts w:ascii="Times New Roman" w:cs="Times New Roman" w:eastAsia="Times New Roman" w:hAnsi="Times New Roman"/>
                <w:sz w:val="16"/>
                <w:szCs w:val="16"/>
                <w:color w:val="auto"/>
                <w:vertAlign w:val="superscript"/>
              </w:rPr>
              <w:t>(1)</w:t>
            </w:r>
          </w:p>
        </w:tc>
        <w:tc>
          <w:tcPr>
            <w:tcW w:w="220" w:type="dxa"/>
            <w:vAlign w:val="bottom"/>
            <w:shd w:val="clear" w:color="auto" w:fill="CCECFF"/>
          </w:tcPr>
          <w:p>
            <w:pPr>
              <w:spacing w:after="0"/>
              <w:rPr>
                <w:sz w:val="13"/>
                <w:szCs w:val="13"/>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0.92</w:t>
            </w: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0.66</w:t>
            </w:r>
          </w:p>
        </w:tc>
        <w:tc>
          <w:tcPr>
            <w:tcW w:w="2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0.54</w:t>
            </w:r>
          </w:p>
        </w:tc>
        <w:tc>
          <w:tcPr>
            <w:tcW w:w="1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0.58</w:t>
            </w:r>
          </w:p>
        </w:tc>
        <w:tc>
          <w:tcPr>
            <w:tcW w:w="80" w:type="dxa"/>
            <w:vAlign w:val="bottom"/>
            <w:shd w:val="clear" w:color="auto" w:fill="CCECFF"/>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82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Net realized and unrealized (loss) gain </w:t>
            </w:r>
            <w:r>
              <w:rPr>
                <w:rFonts w:ascii="Times New Roman" w:cs="Times New Roman" w:eastAsia="Times New Roman" w:hAnsi="Times New Roman"/>
                <w:sz w:val="16"/>
                <w:szCs w:val="16"/>
                <w:color w:val="auto"/>
                <w:vertAlign w:val="superscript"/>
              </w:rPr>
              <w:t>(1)</w:t>
            </w:r>
          </w:p>
        </w:tc>
        <w:tc>
          <w:tcPr>
            <w:tcW w:w="22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(0.17 )</w:t>
            </w:r>
          </w:p>
        </w:tc>
        <w:tc>
          <w:tcPr>
            <w:tcW w:w="22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(1.52 )</w:t>
            </w:r>
          </w:p>
        </w:tc>
        <w:tc>
          <w:tcPr>
            <w:tcW w:w="22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(1.03 )</w:t>
            </w: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(0.82 )</w:t>
            </w:r>
          </w:p>
        </w:tc>
        <w:tc>
          <w:tcPr>
            <w:tcW w:w="80" w:type="dxa"/>
            <w:vAlign w:val="bottom"/>
          </w:tcPr>
          <w:p>
            <w:pPr>
              <w:spacing w:after="0"/>
              <w:rPr>
                <w:sz w:val="13"/>
                <w:szCs w:val="13"/>
                <w:color w:val="auto"/>
              </w:rPr>
            </w:pPr>
          </w:p>
        </w:tc>
      </w:tr>
      <w:tr>
        <w:trPr>
          <w:trHeight w:val="156"/>
        </w:trPr>
        <w:tc>
          <w:tcPr>
            <w:tcW w:w="482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Net (decrease) increase in net assets resulting from operations </w:t>
            </w:r>
            <w:r>
              <w:rPr>
                <w:rFonts w:ascii="Times New Roman" w:cs="Times New Roman" w:eastAsia="Times New Roman" w:hAnsi="Times New Roman"/>
                <w:sz w:val="16"/>
                <w:szCs w:val="16"/>
                <w:color w:val="auto"/>
                <w:vertAlign w:val="superscript"/>
              </w:rPr>
              <w:t>(1)</w:t>
            </w:r>
          </w:p>
        </w:tc>
        <w:tc>
          <w:tcPr>
            <w:tcW w:w="220" w:type="dxa"/>
            <w:vAlign w:val="bottom"/>
            <w:shd w:val="clear" w:color="auto" w:fill="CCECFF"/>
          </w:tcPr>
          <w:p>
            <w:pPr>
              <w:spacing w:after="0"/>
              <w:rPr>
                <w:sz w:val="13"/>
                <w:szCs w:val="13"/>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0.75</w:t>
            </w: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(0.52 )</w:t>
            </w:r>
          </w:p>
        </w:tc>
        <w:tc>
          <w:tcPr>
            <w:tcW w:w="220" w:type="dxa"/>
            <w:vAlign w:val="bottom"/>
            <w:shd w:val="clear" w:color="auto" w:fill="CCECFF"/>
          </w:tcPr>
          <w:p>
            <w:pPr>
              <w:spacing w:after="0"/>
              <w:rPr>
                <w:sz w:val="13"/>
                <w:szCs w:val="13"/>
                <w:color w:val="auto"/>
              </w:rPr>
            </w:pPr>
          </w:p>
        </w:tc>
        <w:tc>
          <w:tcPr>
            <w:tcW w:w="9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(0.37 )</w:t>
            </w:r>
          </w:p>
        </w:tc>
        <w:tc>
          <w:tcPr>
            <w:tcW w:w="22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1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(0.24 )</w:t>
            </w:r>
          </w:p>
        </w:tc>
        <w:tc>
          <w:tcPr>
            <w:tcW w:w="80" w:type="dxa"/>
            <w:vAlign w:val="bottom"/>
          </w:tcPr>
          <w:p>
            <w:pPr>
              <w:spacing w:after="0"/>
              <w:rPr>
                <w:sz w:val="13"/>
                <w:szCs w:val="13"/>
                <w:color w:val="auto"/>
              </w:rPr>
            </w:pPr>
          </w:p>
        </w:tc>
      </w:tr>
      <w:tr>
        <w:trPr>
          <w:trHeight w:val="156"/>
        </w:trPr>
        <w:tc>
          <w:tcPr>
            <w:tcW w:w="482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Distributions to stockholders </w:t>
            </w:r>
            <w:r>
              <w:rPr>
                <w:rFonts w:ascii="Times New Roman" w:cs="Times New Roman" w:eastAsia="Times New Roman" w:hAnsi="Times New Roman"/>
                <w:sz w:val="16"/>
                <w:szCs w:val="16"/>
                <w:color w:val="auto"/>
                <w:vertAlign w:val="superscript"/>
              </w:rPr>
              <w:t>(1), (2)</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8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3"/>
                <w:szCs w:val="13"/>
                <w:color w:val="auto"/>
              </w:rPr>
              <w:t>Distribution of net investment income</w:t>
            </w:r>
          </w:p>
        </w:tc>
        <w:tc>
          <w:tcPr>
            <w:tcW w:w="220" w:type="dxa"/>
            <w:vAlign w:val="bottom"/>
            <w:shd w:val="clear" w:color="auto" w:fill="CCECFF"/>
          </w:tcPr>
          <w:p>
            <w:pPr>
              <w:spacing w:after="0"/>
              <w:rPr>
                <w:sz w:val="13"/>
                <w:szCs w:val="13"/>
                <w:color w:val="auto"/>
              </w:rPr>
            </w:pPr>
          </w:p>
        </w:tc>
        <w:tc>
          <w:tcPr>
            <w:tcW w:w="9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(0.88 )</w:t>
            </w:r>
          </w:p>
        </w:tc>
        <w:tc>
          <w:tcPr>
            <w:tcW w:w="220" w:type="dxa"/>
            <w:vAlign w:val="bottom"/>
            <w:shd w:val="clear" w:color="auto" w:fill="CCECFF"/>
          </w:tcPr>
          <w:p>
            <w:pPr>
              <w:spacing w:after="0"/>
              <w:rPr>
                <w:sz w:val="13"/>
                <w:szCs w:val="13"/>
                <w:color w:val="auto"/>
              </w:rPr>
            </w:pPr>
          </w:p>
        </w:tc>
        <w:tc>
          <w:tcPr>
            <w:tcW w:w="9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(0.76 )</w:t>
            </w:r>
          </w:p>
        </w:tc>
        <w:tc>
          <w:tcPr>
            <w:tcW w:w="220" w:type="dxa"/>
            <w:vAlign w:val="bottom"/>
            <w:shd w:val="clear" w:color="auto" w:fill="CCECFF"/>
          </w:tcPr>
          <w:p>
            <w:pPr>
              <w:spacing w:after="0"/>
              <w:rPr>
                <w:sz w:val="13"/>
                <w:szCs w:val="13"/>
                <w:color w:val="auto"/>
              </w:rPr>
            </w:pPr>
          </w:p>
        </w:tc>
        <w:tc>
          <w:tcPr>
            <w:tcW w:w="9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(0.56 )</w:t>
            </w:r>
          </w:p>
        </w:tc>
        <w:tc>
          <w:tcPr>
            <w:tcW w:w="22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(0.48 )</w:t>
            </w:r>
          </w:p>
        </w:tc>
        <w:tc>
          <w:tcPr>
            <w:tcW w:w="22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(0.60 )</w:t>
            </w:r>
          </w:p>
        </w:tc>
        <w:tc>
          <w:tcPr>
            <w:tcW w:w="80" w:type="dxa"/>
            <w:vAlign w:val="bottom"/>
          </w:tcPr>
          <w:p>
            <w:pPr>
              <w:spacing w:after="0"/>
              <w:rPr>
                <w:sz w:val="13"/>
                <w:szCs w:val="13"/>
                <w:color w:val="auto"/>
              </w:rPr>
            </w:pPr>
          </w:p>
        </w:tc>
      </w:tr>
      <w:tr>
        <w:trPr>
          <w:trHeight w:val="156"/>
        </w:trPr>
        <w:tc>
          <w:tcPr>
            <w:tcW w:w="48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Distribution of realized gains</w:t>
            </w:r>
          </w:p>
        </w:tc>
        <w:tc>
          <w:tcPr>
            <w:tcW w:w="22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r>
      <w:tr>
        <w:trPr>
          <w:trHeight w:val="156"/>
        </w:trPr>
        <w:tc>
          <w:tcPr>
            <w:tcW w:w="4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distributions to stockholders</w:t>
            </w:r>
          </w:p>
        </w:tc>
        <w:tc>
          <w:tcPr>
            <w:tcW w:w="220" w:type="dxa"/>
            <w:vAlign w:val="bottom"/>
            <w:shd w:val="clear" w:color="auto" w:fill="CCECFF"/>
          </w:tcPr>
          <w:p>
            <w:pPr>
              <w:spacing w:after="0"/>
              <w:rPr>
                <w:sz w:val="13"/>
                <w:szCs w:val="13"/>
                <w:color w:val="auto"/>
              </w:rPr>
            </w:pPr>
          </w:p>
        </w:tc>
        <w:tc>
          <w:tcPr>
            <w:tcW w:w="9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(0.88 )</w:t>
            </w:r>
          </w:p>
        </w:tc>
        <w:tc>
          <w:tcPr>
            <w:tcW w:w="220" w:type="dxa"/>
            <w:vAlign w:val="bottom"/>
            <w:shd w:val="clear" w:color="auto" w:fill="CCECFF"/>
          </w:tcPr>
          <w:p>
            <w:pPr>
              <w:spacing w:after="0"/>
              <w:rPr>
                <w:sz w:val="13"/>
                <w:szCs w:val="13"/>
                <w:color w:val="auto"/>
              </w:rPr>
            </w:pPr>
          </w:p>
        </w:tc>
        <w:tc>
          <w:tcPr>
            <w:tcW w:w="9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(0.76 )</w:t>
            </w:r>
          </w:p>
        </w:tc>
        <w:tc>
          <w:tcPr>
            <w:tcW w:w="220" w:type="dxa"/>
            <w:vAlign w:val="bottom"/>
            <w:shd w:val="clear" w:color="auto" w:fill="CCECFF"/>
          </w:tcPr>
          <w:p>
            <w:pPr>
              <w:spacing w:after="0"/>
              <w:rPr>
                <w:sz w:val="13"/>
                <w:szCs w:val="13"/>
                <w:color w:val="auto"/>
              </w:rPr>
            </w:pPr>
          </w:p>
        </w:tc>
        <w:tc>
          <w:tcPr>
            <w:tcW w:w="9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(0.56 )</w:t>
            </w:r>
          </w:p>
        </w:tc>
        <w:tc>
          <w:tcPr>
            <w:tcW w:w="22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(0.48 )</w:t>
            </w:r>
          </w:p>
        </w:tc>
        <w:tc>
          <w:tcPr>
            <w:tcW w:w="22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(0.60 )</w:t>
            </w:r>
          </w:p>
        </w:tc>
        <w:tc>
          <w:tcPr>
            <w:tcW w:w="80" w:type="dxa"/>
            <w:vAlign w:val="bottom"/>
          </w:tcPr>
          <w:p>
            <w:pPr>
              <w:spacing w:after="0"/>
              <w:rPr>
                <w:sz w:val="13"/>
                <w:szCs w:val="13"/>
                <w:color w:val="auto"/>
              </w:rPr>
            </w:pPr>
          </w:p>
        </w:tc>
      </w:tr>
      <w:tr>
        <w:trPr>
          <w:trHeight w:val="156"/>
        </w:trPr>
        <w:tc>
          <w:tcPr>
            <w:tcW w:w="4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(Dilutive) effect of common stock issuance</w:t>
            </w:r>
          </w:p>
        </w:tc>
        <w:tc>
          <w:tcPr>
            <w:tcW w:w="22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(0.01 )</w:t>
            </w:r>
          </w:p>
        </w:tc>
        <w:tc>
          <w:tcPr>
            <w:tcW w:w="22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r>
      <w:tr>
        <w:trPr>
          <w:trHeight w:val="156"/>
        </w:trPr>
        <w:tc>
          <w:tcPr>
            <w:tcW w:w="482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Repurchase of common stock </w:t>
            </w:r>
            <w:r>
              <w:rPr>
                <w:rFonts w:ascii="Times New Roman" w:cs="Times New Roman" w:eastAsia="Times New Roman" w:hAnsi="Times New Roman"/>
                <w:sz w:val="16"/>
                <w:szCs w:val="16"/>
                <w:color w:val="auto"/>
                <w:vertAlign w:val="superscript"/>
              </w:rPr>
              <w:t>(1)</w:t>
            </w:r>
          </w:p>
        </w:tc>
        <w:tc>
          <w:tcPr>
            <w:tcW w:w="220" w:type="dxa"/>
            <w:vAlign w:val="bottom"/>
            <w:shd w:val="clear" w:color="auto" w:fill="CCECFF"/>
          </w:tcPr>
          <w:p>
            <w:pPr>
              <w:spacing w:after="0"/>
              <w:rPr>
                <w:sz w:val="13"/>
                <w:szCs w:val="13"/>
                <w:color w:val="auto"/>
              </w:rPr>
            </w:pPr>
          </w:p>
        </w:tc>
        <w:tc>
          <w:tcPr>
            <w:tcW w:w="9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3"/>
                <w:szCs w:val="13"/>
                <w:color w:val="auto"/>
              </w:rPr>
            </w:pPr>
          </w:p>
        </w:tc>
        <w:tc>
          <w:tcPr>
            <w:tcW w:w="9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0.06</w:t>
            </w:r>
          </w:p>
        </w:tc>
        <w:tc>
          <w:tcPr>
            <w:tcW w:w="2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r>
      <w:tr>
        <w:trPr>
          <w:trHeight w:val="156"/>
        </w:trPr>
        <w:tc>
          <w:tcPr>
            <w:tcW w:w="4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asset value, end of year</w:t>
            </w:r>
          </w:p>
        </w:tc>
        <w:tc>
          <w:tcPr>
            <w:tcW w:w="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7.56</w:t>
            </w:r>
          </w:p>
        </w:tc>
        <w:tc>
          <w:tcPr>
            <w:tcW w:w="200" w:type="dxa"/>
            <w:vAlign w:val="bottom"/>
          </w:tcPr>
          <w:p>
            <w:pPr>
              <w:spacing w:after="0"/>
              <w:rPr>
                <w:sz w:val="13"/>
                <w:szCs w:val="13"/>
                <w:color w:val="auto"/>
              </w:rPr>
            </w:pPr>
          </w:p>
        </w:tc>
        <w:tc>
          <w:tcPr>
            <w:tcW w:w="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7.70</w:t>
            </w:r>
          </w:p>
        </w:tc>
        <w:tc>
          <w:tcPr>
            <w:tcW w:w="220" w:type="dxa"/>
            <w:vAlign w:val="bottom"/>
          </w:tcPr>
          <w:p>
            <w:pPr>
              <w:spacing w:after="0"/>
              <w:rPr>
                <w:sz w:val="13"/>
                <w:szCs w:val="13"/>
                <w:color w:val="auto"/>
              </w:rPr>
            </w:pPr>
          </w:p>
        </w:tc>
        <w:tc>
          <w:tcPr>
            <w:tcW w:w="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8.98</w:t>
            </w:r>
          </w:p>
        </w:tc>
        <w:tc>
          <w:tcPr>
            <w:tcW w:w="220" w:type="dxa"/>
            <w:vAlign w:val="bottom"/>
          </w:tcPr>
          <w:p>
            <w:pPr>
              <w:spacing w:after="0"/>
              <w:rPr>
                <w:sz w:val="13"/>
                <w:szCs w:val="13"/>
                <w:color w:val="auto"/>
              </w:rPr>
            </w:pPr>
          </w:p>
        </w:tc>
        <w:tc>
          <w:tcPr>
            <w:tcW w:w="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9.85</w:t>
            </w:r>
          </w:p>
        </w:tc>
        <w:tc>
          <w:tcPr>
            <w:tcW w:w="180" w:type="dxa"/>
            <w:vAlign w:val="bottom"/>
          </w:tcPr>
          <w:p>
            <w:pPr>
              <w:spacing w:after="0"/>
              <w:rPr>
                <w:sz w:val="13"/>
                <w:szCs w:val="13"/>
                <w:color w:val="auto"/>
              </w:rPr>
            </w:pPr>
          </w:p>
        </w:tc>
        <w:tc>
          <w:tcPr>
            <w:tcW w:w="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4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2"/>
        </w:trPr>
        <w:tc>
          <w:tcPr>
            <w:tcW w:w="4820" w:type="dxa"/>
            <w:vAlign w:val="bottom"/>
            <w:tcBorders>
              <w:bottom w:val="single" w:sz="8" w:color="CCECFF"/>
            </w:tcBorders>
            <w:shd w:val="clear" w:color="auto" w:fill="CCECFF"/>
          </w:tcPr>
          <w:p>
            <w:pPr>
              <w:ind w:left="20"/>
              <w:spacing w:after="0" w:line="133" w:lineRule="exact"/>
              <w:rPr>
                <w:sz w:val="20"/>
                <w:szCs w:val="20"/>
                <w:color w:val="auto"/>
              </w:rPr>
            </w:pPr>
            <w:r>
              <w:rPr>
                <w:rFonts w:ascii="Times New Roman" w:cs="Times New Roman" w:eastAsia="Times New Roman" w:hAnsi="Times New Roman"/>
                <w:sz w:val="13"/>
                <w:szCs w:val="13"/>
                <w:color w:val="auto"/>
              </w:rPr>
              <w:t>Per share market value, end of year</w:t>
            </w:r>
          </w:p>
        </w:tc>
        <w:tc>
          <w:tcPr>
            <w:tcW w:w="220" w:type="dxa"/>
            <w:vAlign w:val="bottom"/>
            <w:tcBorders>
              <w:bottom w:val="single" w:sz="8" w:color="auto"/>
            </w:tcBorders>
            <w:shd w:val="clear" w:color="auto" w:fill="CCECFF"/>
          </w:tcPr>
          <w:p>
            <w:pPr>
              <w:jc w:val="right"/>
              <w:ind w:right="7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6.99</w:t>
            </w:r>
          </w:p>
        </w:tc>
        <w:tc>
          <w:tcPr>
            <w:tcW w:w="20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jc w:val="right"/>
              <w:ind w:right="7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6.58</w:t>
            </w:r>
          </w:p>
        </w:tc>
        <w:tc>
          <w:tcPr>
            <w:tcW w:w="22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jc w:val="right"/>
              <w:ind w:right="7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5.46</w:t>
            </w:r>
          </w:p>
        </w:tc>
        <w:tc>
          <w:tcPr>
            <w:tcW w:w="22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jc w:val="right"/>
              <w:ind w:right="7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6.49</w:t>
            </w:r>
          </w:p>
        </w:tc>
        <w:tc>
          <w:tcPr>
            <w:tcW w:w="18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jc w:val="right"/>
              <w:ind w:right="7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3.19</w:t>
            </w:r>
          </w:p>
        </w:tc>
        <w:tc>
          <w:tcPr>
            <w:tcW w:w="80" w:type="dxa"/>
            <w:vAlign w:val="bottom"/>
            <w:tcBorders>
              <w:bottom w:val="single" w:sz="8" w:color="CCECFF"/>
            </w:tcBorders>
            <w:shd w:val="clear" w:color="auto" w:fill="CCECFF"/>
          </w:tcPr>
          <w:p>
            <w:pPr>
              <w:spacing w:after="0"/>
              <w:rPr>
                <w:sz w:val="14"/>
                <w:szCs w:val="14"/>
                <w:color w:val="auto"/>
              </w:rPr>
            </w:pPr>
          </w:p>
        </w:tc>
        <w:tc>
          <w:tcPr>
            <w:tcW w:w="80" w:type="dxa"/>
            <w:vAlign w:val="bottom"/>
          </w:tcPr>
          <w:p>
            <w:pPr>
              <w:spacing w:after="0"/>
              <w:rPr>
                <w:sz w:val="14"/>
                <w:szCs w:val="14"/>
                <w:color w:val="auto"/>
              </w:rPr>
            </w:pPr>
          </w:p>
        </w:tc>
      </w:tr>
      <w:tr>
        <w:trPr>
          <w:trHeight w:val="132"/>
        </w:trPr>
        <w:tc>
          <w:tcPr>
            <w:tcW w:w="4820" w:type="dxa"/>
            <w:vAlign w:val="bottom"/>
          </w:tcPr>
          <w:p>
            <w:pPr>
              <w:ind w:left="20"/>
              <w:spacing w:after="0" w:line="132" w:lineRule="exact"/>
              <w:rPr>
                <w:sz w:val="20"/>
                <w:szCs w:val="20"/>
                <w:color w:val="auto"/>
              </w:rPr>
            </w:pPr>
            <w:r>
              <w:rPr>
                <w:rFonts w:ascii="Times New Roman" w:cs="Times New Roman" w:eastAsia="Times New Roman" w:hAnsi="Times New Roman"/>
                <w:sz w:val="12"/>
                <w:szCs w:val="12"/>
                <w:color w:val="auto"/>
              </w:rPr>
              <w:t xml:space="preserve">Total return </w:t>
            </w:r>
            <w:r>
              <w:rPr>
                <w:rFonts w:ascii="Times New Roman" w:cs="Times New Roman" w:eastAsia="Times New Roman" w:hAnsi="Times New Roman"/>
                <w:sz w:val="15"/>
                <w:szCs w:val="15"/>
                <w:color w:val="auto"/>
                <w:vertAlign w:val="superscript"/>
              </w:rPr>
              <w:t>(3)</w:t>
            </w:r>
          </w:p>
        </w:tc>
        <w:tc>
          <w:tcPr>
            <w:tcW w:w="220" w:type="dxa"/>
            <w:vAlign w:val="bottom"/>
          </w:tcPr>
          <w:p>
            <w:pPr>
              <w:spacing w:after="0"/>
              <w:rPr>
                <w:sz w:val="11"/>
                <w:szCs w:val="11"/>
                <w:color w:val="auto"/>
              </w:rPr>
            </w:pPr>
          </w:p>
        </w:tc>
        <w:tc>
          <w:tcPr>
            <w:tcW w:w="96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20.54 %</w:t>
            </w:r>
          </w:p>
        </w:tc>
        <w:tc>
          <w:tcPr>
            <w:tcW w:w="220" w:type="dxa"/>
            <w:vAlign w:val="bottom"/>
          </w:tcPr>
          <w:p>
            <w:pPr>
              <w:spacing w:after="0"/>
              <w:rPr>
                <w:sz w:val="11"/>
                <w:szCs w:val="11"/>
                <w:color w:val="auto"/>
              </w:rPr>
            </w:pPr>
          </w:p>
        </w:tc>
        <w:tc>
          <w:tcPr>
            <w:tcW w:w="98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13.64 %</w:t>
            </w:r>
          </w:p>
        </w:tc>
        <w:tc>
          <w:tcPr>
            <w:tcW w:w="220" w:type="dxa"/>
            <w:vAlign w:val="bottom"/>
          </w:tcPr>
          <w:p>
            <w:pPr>
              <w:spacing w:after="0"/>
              <w:rPr>
                <w:sz w:val="11"/>
                <w:szCs w:val="11"/>
                <w:color w:val="auto"/>
              </w:rPr>
            </w:pPr>
          </w:p>
        </w:tc>
        <w:tc>
          <w:tcPr>
            <w:tcW w:w="96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3"/>
                <w:szCs w:val="13"/>
                <w:color w:val="auto"/>
              </w:rPr>
              <w:t>(8.42 )%</w:t>
            </w:r>
          </w:p>
        </w:tc>
        <w:tc>
          <w:tcPr>
            <w:tcW w:w="220" w:type="dxa"/>
            <w:vAlign w:val="bottom"/>
          </w:tcPr>
          <w:p>
            <w:pPr>
              <w:spacing w:after="0"/>
              <w:rPr>
                <w:sz w:val="11"/>
                <w:szCs w:val="11"/>
                <w:color w:val="auto"/>
              </w:rPr>
            </w:pPr>
          </w:p>
        </w:tc>
        <w:tc>
          <w:tcPr>
            <w:tcW w:w="92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120.98 %</w:t>
            </w:r>
          </w:p>
        </w:tc>
        <w:tc>
          <w:tcPr>
            <w:tcW w:w="220" w:type="dxa"/>
            <w:vAlign w:val="bottom"/>
          </w:tcPr>
          <w:p>
            <w:pPr>
              <w:spacing w:after="0"/>
              <w:rPr>
                <w:sz w:val="11"/>
                <w:szCs w:val="11"/>
                <w:color w:val="auto"/>
              </w:rPr>
            </w:pPr>
          </w:p>
        </w:tc>
        <w:tc>
          <w:tcPr>
            <w:tcW w:w="90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3"/>
                <w:szCs w:val="13"/>
                <w:color w:val="auto"/>
              </w:rPr>
              <w:t>(39.62 )%</w:t>
            </w:r>
          </w:p>
        </w:tc>
      </w:tr>
      <w:tr>
        <w:trPr>
          <w:trHeight w:val="196"/>
        </w:trPr>
        <w:tc>
          <w:tcPr>
            <w:tcW w:w="48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Shares outstanding at end of year</w:t>
            </w:r>
          </w:p>
        </w:tc>
        <w:tc>
          <w:tcPr>
            <w:tcW w:w="220" w:type="dxa"/>
            <w:vAlign w:val="bottom"/>
            <w:tcBorders>
              <w:bottom w:val="single" w:sz="8" w:color="auto"/>
            </w:tcBorders>
            <w:shd w:val="clear" w:color="auto" w:fill="CCECFF"/>
          </w:tcPr>
          <w:p>
            <w:pPr>
              <w:spacing w:after="0"/>
              <w:rPr>
                <w:sz w:val="17"/>
                <w:szCs w:val="17"/>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65,296,094</w:t>
            </w:r>
          </w:p>
        </w:tc>
        <w:tc>
          <w:tcPr>
            <w:tcW w:w="20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spacing w:after="0"/>
              <w:rPr>
                <w:sz w:val="17"/>
                <w:szCs w:val="17"/>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65,224,500</w:t>
            </w:r>
          </w:p>
        </w:tc>
        <w:tc>
          <w:tcPr>
            <w:tcW w:w="22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spacing w:after="0"/>
              <w:rPr>
                <w:sz w:val="17"/>
                <w:szCs w:val="17"/>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65,224,500</w:t>
            </w:r>
          </w:p>
        </w:tc>
        <w:tc>
          <w:tcPr>
            <w:tcW w:w="22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spacing w:after="0"/>
              <w:rPr>
                <w:sz w:val="17"/>
                <w:szCs w:val="17"/>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67,045,105</w:t>
            </w:r>
          </w:p>
        </w:tc>
        <w:tc>
          <w:tcPr>
            <w:tcW w:w="18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spacing w:after="0"/>
              <w:rPr>
                <w:sz w:val="17"/>
                <w:szCs w:val="17"/>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67,045,105</w:t>
            </w:r>
          </w:p>
        </w:tc>
        <w:tc>
          <w:tcPr>
            <w:tcW w:w="80" w:type="dxa"/>
            <w:vAlign w:val="bottom"/>
            <w:tcBorders>
              <w:bottom w:val="single" w:sz="8" w:color="CCECFF"/>
            </w:tcBorders>
            <w:shd w:val="clear" w:color="auto" w:fill="CCECFF"/>
          </w:tcPr>
          <w:p>
            <w:pPr>
              <w:spacing w:after="0"/>
              <w:rPr>
                <w:sz w:val="17"/>
                <w:szCs w:val="17"/>
                <w:color w:val="auto"/>
              </w:rPr>
            </w:pPr>
          </w:p>
        </w:tc>
        <w:tc>
          <w:tcPr>
            <w:tcW w:w="80" w:type="dxa"/>
            <w:vAlign w:val="bottom"/>
          </w:tcPr>
          <w:p>
            <w:pPr>
              <w:spacing w:after="0"/>
              <w:rPr>
                <w:sz w:val="17"/>
                <w:szCs w:val="17"/>
                <w:color w:val="auto"/>
              </w:rPr>
            </w:pPr>
          </w:p>
        </w:tc>
      </w:tr>
      <w:tr>
        <w:trPr>
          <w:trHeight w:val="132"/>
        </w:trPr>
        <w:tc>
          <w:tcPr>
            <w:tcW w:w="48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Ratios / Supplemental Data:</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6"/>
        </w:trPr>
        <w:tc>
          <w:tcPr>
            <w:tcW w:w="482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Ratio of operating expenses to average net assets </w:t>
            </w:r>
            <w:r>
              <w:rPr>
                <w:rFonts w:ascii="Times New Roman" w:cs="Times New Roman" w:eastAsia="Times New Roman" w:hAnsi="Times New Roman"/>
                <w:sz w:val="16"/>
                <w:szCs w:val="16"/>
                <w:color w:val="auto"/>
                <w:vertAlign w:val="superscript"/>
              </w:rPr>
              <w:t>(4), (6)</w:t>
            </w:r>
          </w:p>
        </w:tc>
        <w:tc>
          <w:tcPr>
            <w:tcW w:w="220" w:type="dxa"/>
            <w:vAlign w:val="bottom"/>
            <w:shd w:val="clear" w:color="auto" w:fill="CCECFF"/>
          </w:tcPr>
          <w:p>
            <w:pPr>
              <w:spacing w:after="0"/>
              <w:rPr>
                <w:sz w:val="13"/>
                <w:szCs w:val="13"/>
                <w:color w:val="auto"/>
              </w:rPr>
            </w:pPr>
          </w:p>
        </w:tc>
        <w:tc>
          <w:tcPr>
            <w:tcW w:w="9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7.73 %</w:t>
            </w:r>
          </w:p>
        </w:tc>
        <w:tc>
          <w:tcPr>
            <w:tcW w:w="220" w:type="dxa"/>
            <w:vAlign w:val="bottom"/>
            <w:shd w:val="clear" w:color="auto" w:fill="CCECFF"/>
          </w:tcPr>
          <w:p>
            <w:pPr>
              <w:spacing w:after="0"/>
              <w:rPr>
                <w:sz w:val="13"/>
                <w:szCs w:val="13"/>
                <w:color w:val="auto"/>
              </w:rPr>
            </w:pPr>
          </w:p>
        </w:tc>
        <w:tc>
          <w:tcPr>
            <w:tcW w:w="9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7.75 %</w:t>
            </w:r>
          </w:p>
        </w:tc>
        <w:tc>
          <w:tcPr>
            <w:tcW w:w="220" w:type="dxa"/>
            <w:vAlign w:val="bottom"/>
            <w:shd w:val="clear" w:color="auto" w:fill="CCECFF"/>
          </w:tcPr>
          <w:p>
            <w:pPr>
              <w:spacing w:after="0"/>
              <w:rPr>
                <w:sz w:val="13"/>
                <w:szCs w:val="13"/>
                <w:color w:val="auto"/>
              </w:rPr>
            </w:pPr>
          </w:p>
        </w:tc>
        <w:tc>
          <w:tcPr>
            <w:tcW w:w="9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4.17 %</w:t>
            </w:r>
          </w:p>
        </w:tc>
        <w:tc>
          <w:tcPr>
            <w:tcW w:w="22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3.74 %</w:t>
            </w:r>
          </w:p>
        </w:tc>
        <w:tc>
          <w:tcPr>
            <w:tcW w:w="22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4.91 %</w:t>
            </w:r>
          </w:p>
        </w:tc>
        <w:tc>
          <w:tcPr>
            <w:tcW w:w="80" w:type="dxa"/>
            <w:vAlign w:val="bottom"/>
          </w:tcPr>
          <w:p>
            <w:pPr>
              <w:spacing w:after="0"/>
              <w:rPr>
                <w:sz w:val="13"/>
                <w:szCs w:val="13"/>
                <w:color w:val="auto"/>
              </w:rPr>
            </w:pPr>
          </w:p>
        </w:tc>
      </w:tr>
      <w:tr>
        <w:trPr>
          <w:trHeight w:val="156"/>
        </w:trPr>
        <w:tc>
          <w:tcPr>
            <w:tcW w:w="482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Ratio of interest and expenses on debt to average net assets </w:t>
            </w:r>
            <w:r>
              <w:rPr>
                <w:rFonts w:ascii="Times New Roman" w:cs="Times New Roman" w:eastAsia="Times New Roman" w:hAnsi="Times New Roman"/>
                <w:sz w:val="16"/>
                <w:szCs w:val="16"/>
                <w:color w:val="auto"/>
                <w:vertAlign w:val="superscript"/>
              </w:rPr>
              <w:t>(5)</w:t>
            </w:r>
          </w:p>
        </w:tc>
        <w:tc>
          <w:tcPr>
            <w:tcW w:w="220" w:type="dxa"/>
            <w:vAlign w:val="bottom"/>
          </w:tcPr>
          <w:p>
            <w:pPr>
              <w:spacing w:after="0"/>
              <w:rPr>
                <w:sz w:val="13"/>
                <w:szCs w:val="13"/>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9.06 %</w:t>
            </w:r>
          </w:p>
        </w:tc>
        <w:tc>
          <w:tcPr>
            <w:tcW w:w="22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7.55 %</w:t>
            </w:r>
          </w:p>
        </w:tc>
        <w:tc>
          <w:tcPr>
            <w:tcW w:w="2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5.19 %</w:t>
            </w:r>
          </w:p>
        </w:tc>
        <w:tc>
          <w:tcPr>
            <w:tcW w:w="22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3.73 %</w:t>
            </w:r>
          </w:p>
        </w:tc>
        <w:tc>
          <w:tcPr>
            <w:tcW w:w="22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6.22 %</w:t>
            </w:r>
          </w:p>
        </w:tc>
        <w:tc>
          <w:tcPr>
            <w:tcW w:w="80" w:type="dxa"/>
            <w:vAlign w:val="bottom"/>
          </w:tcPr>
          <w:p>
            <w:pPr>
              <w:spacing w:after="0"/>
              <w:rPr>
                <w:sz w:val="13"/>
                <w:szCs w:val="13"/>
                <w:color w:val="auto"/>
              </w:rPr>
            </w:pPr>
          </w:p>
        </w:tc>
      </w:tr>
      <w:tr>
        <w:trPr>
          <w:trHeight w:val="156"/>
        </w:trPr>
        <w:tc>
          <w:tcPr>
            <w:tcW w:w="482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Ratio of total expenses to average net assets </w:t>
            </w:r>
            <w:r>
              <w:rPr>
                <w:rFonts w:ascii="Times New Roman" w:cs="Times New Roman" w:eastAsia="Times New Roman" w:hAnsi="Times New Roman"/>
                <w:sz w:val="16"/>
                <w:szCs w:val="16"/>
                <w:color w:val="auto"/>
                <w:vertAlign w:val="superscript"/>
              </w:rPr>
              <w:t>(5), (6)</w:t>
            </w:r>
          </w:p>
        </w:tc>
        <w:tc>
          <w:tcPr>
            <w:tcW w:w="220" w:type="dxa"/>
            <w:vAlign w:val="bottom"/>
            <w:shd w:val="clear" w:color="auto" w:fill="CCECFF"/>
          </w:tcPr>
          <w:p>
            <w:pPr>
              <w:spacing w:after="0"/>
              <w:rPr>
                <w:sz w:val="13"/>
                <w:szCs w:val="13"/>
                <w:color w:val="auto"/>
              </w:rPr>
            </w:pPr>
          </w:p>
        </w:tc>
        <w:tc>
          <w:tcPr>
            <w:tcW w:w="9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16.78 %</w:t>
            </w:r>
          </w:p>
        </w:tc>
        <w:tc>
          <w:tcPr>
            <w:tcW w:w="220" w:type="dxa"/>
            <w:vAlign w:val="bottom"/>
            <w:shd w:val="clear" w:color="auto" w:fill="CCECFF"/>
          </w:tcPr>
          <w:p>
            <w:pPr>
              <w:spacing w:after="0"/>
              <w:rPr>
                <w:sz w:val="13"/>
                <w:szCs w:val="13"/>
                <w:color w:val="auto"/>
              </w:rPr>
            </w:pPr>
          </w:p>
        </w:tc>
        <w:tc>
          <w:tcPr>
            <w:tcW w:w="9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15.30 %</w:t>
            </w:r>
          </w:p>
        </w:tc>
        <w:tc>
          <w:tcPr>
            <w:tcW w:w="220" w:type="dxa"/>
            <w:vAlign w:val="bottom"/>
            <w:shd w:val="clear" w:color="auto" w:fill="CCECFF"/>
          </w:tcPr>
          <w:p>
            <w:pPr>
              <w:spacing w:after="0"/>
              <w:rPr>
                <w:sz w:val="13"/>
                <w:szCs w:val="13"/>
                <w:color w:val="auto"/>
              </w:rPr>
            </w:pPr>
          </w:p>
        </w:tc>
        <w:tc>
          <w:tcPr>
            <w:tcW w:w="9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9.36 %</w:t>
            </w:r>
          </w:p>
        </w:tc>
        <w:tc>
          <w:tcPr>
            <w:tcW w:w="22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7.47 %</w:t>
            </w:r>
          </w:p>
        </w:tc>
        <w:tc>
          <w:tcPr>
            <w:tcW w:w="22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11.13 %</w:t>
            </w:r>
          </w:p>
        </w:tc>
        <w:tc>
          <w:tcPr>
            <w:tcW w:w="80" w:type="dxa"/>
            <w:vAlign w:val="bottom"/>
          </w:tcPr>
          <w:p>
            <w:pPr>
              <w:spacing w:after="0"/>
              <w:rPr>
                <w:sz w:val="13"/>
                <w:szCs w:val="13"/>
                <w:color w:val="auto"/>
              </w:rPr>
            </w:pPr>
          </w:p>
        </w:tc>
      </w:tr>
      <w:tr>
        <w:trPr>
          <w:trHeight w:val="156"/>
        </w:trPr>
        <w:tc>
          <w:tcPr>
            <w:tcW w:w="482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Ratio of net investment income to average net assets </w:t>
            </w:r>
            <w:r>
              <w:rPr>
                <w:rFonts w:ascii="Times New Roman" w:cs="Times New Roman" w:eastAsia="Times New Roman" w:hAnsi="Times New Roman"/>
                <w:sz w:val="16"/>
                <w:szCs w:val="16"/>
                <w:color w:val="auto"/>
                <w:vertAlign w:val="superscript"/>
              </w:rPr>
              <w:t>(5)</w:t>
            </w:r>
          </w:p>
        </w:tc>
        <w:tc>
          <w:tcPr>
            <w:tcW w:w="220" w:type="dxa"/>
            <w:vAlign w:val="bottom"/>
          </w:tcPr>
          <w:p>
            <w:pPr>
              <w:spacing w:after="0"/>
              <w:rPr>
                <w:sz w:val="13"/>
                <w:szCs w:val="13"/>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12.04 %</w:t>
            </w:r>
          </w:p>
        </w:tc>
        <w:tc>
          <w:tcPr>
            <w:tcW w:w="22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12.56 %</w:t>
            </w:r>
          </w:p>
        </w:tc>
        <w:tc>
          <w:tcPr>
            <w:tcW w:w="2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6.74 %</w:t>
            </w:r>
          </w:p>
        </w:tc>
        <w:tc>
          <w:tcPr>
            <w:tcW w:w="22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6.04 %</w:t>
            </w:r>
          </w:p>
        </w:tc>
        <w:tc>
          <w:tcPr>
            <w:tcW w:w="22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7.01 %</w:t>
            </w:r>
          </w:p>
        </w:tc>
        <w:tc>
          <w:tcPr>
            <w:tcW w:w="80" w:type="dxa"/>
            <w:vAlign w:val="bottom"/>
          </w:tcPr>
          <w:p>
            <w:pPr>
              <w:spacing w:after="0"/>
              <w:rPr>
                <w:sz w:val="13"/>
                <w:szCs w:val="13"/>
                <w:color w:val="auto"/>
              </w:rPr>
            </w:pPr>
          </w:p>
        </w:tc>
      </w:tr>
      <w:tr>
        <w:trPr>
          <w:trHeight w:val="156"/>
        </w:trPr>
        <w:tc>
          <w:tcPr>
            <w:tcW w:w="4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assets at end of year</w:t>
            </w: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493,908</w:t>
            </w: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502,187</w:t>
            </w:r>
          </w:p>
        </w:tc>
        <w:tc>
          <w:tcPr>
            <w:tcW w:w="220" w:type="dxa"/>
            <w:vAlign w:val="bottom"/>
            <w:shd w:val="clear" w:color="auto" w:fill="CCECFF"/>
          </w:tcPr>
          <w:p>
            <w:pPr>
              <w:spacing w:after="0"/>
              <w:rPr>
                <w:sz w:val="13"/>
                <w:szCs w:val="13"/>
                <w:color w:val="auto"/>
              </w:rPr>
            </w:pP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585,565</w:t>
            </w:r>
          </w:p>
        </w:tc>
        <w:tc>
          <w:tcPr>
            <w:tcW w:w="220" w:type="dxa"/>
            <w:vAlign w:val="bottom"/>
            <w:shd w:val="clear" w:color="auto" w:fill="CCECFF"/>
          </w:tcPr>
          <w:p>
            <w:pPr>
              <w:spacing w:after="0"/>
              <w:rPr>
                <w:sz w:val="13"/>
                <w:szCs w:val="13"/>
                <w:color w:val="auto"/>
              </w:rPr>
            </w:pP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660,144</w:t>
            </w:r>
          </w:p>
        </w:tc>
        <w:tc>
          <w:tcPr>
            <w:tcW w:w="180" w:type="dxa"/>
            <w:vAlign w:val="bottom"/>
            <w:shd w:val="clear" w:color="auto" w:fill="CCECFF"/>
          </w:tcPr>
          <w:p>
            <w:pPr>
              <w:spacing w:after="0"/>
              <w:rPr>
                <w:sz w:val="13"/>
                <w:szCs w:val="13"/>
                <w:color w:val="auto"/>
              </w:rPr>
            </w:pP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525,709</w:t>
            </w:r>
          </w:p>
        </w:tc>
        <w:tc>
          <w:tcPr>
            <w:tcW w:w="80" w:type="dxa"/>
            <w:vAlign w:val="bottom"/>
            <w:shd w:val="clear" w:color="auto" w:fill="CCECFF"/>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82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Weighted average debt outstanding </w:t>
            </w:r>
            <w:r>
              <w:rPr>
                <w:rFonts w:ascii="Times New Roman" w:cs="Times New Roman" w:eastAsia="Times New Roman" w:hAnsi="Times New Roman"/>
                <w:sz w:val="16"/>
                <w:szCs w:val="16"/>
                <w:color w:val="auto"/>
                <w:vertAlign w:val="superscript"/>
              </w:rPr>
              <w:t>(7)</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693,573</w:t>
            </w:r>
          </w:p>
        </w:tc>
        <w:tc>
          <w:tcPr>
            <w:tcW w:w="200" w:type="dxa"/>
            <w:vAlign w:val="bottom"/>
          </w:tcPr>
          <w:p>
            <w:pPr>
              <w:spacing w:after="0"/>
              <w:rPr>
                <w:sz w:val="13"/>
                <w:szCs w:val="13"/>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656,776</w:t>
            </w:r>
          </w:p>
        </w:tc>
        <w:tc>
          <w:tcPr>
            <w:tcW w:w="220" w:type="dxa"/>
            <w:vAlign w:val="bottom"/>
          </w:tcPr>
          <w:p>
            <w:pPr>
              <w:spacing w:after="0"/>
              <w:rPr>
                <w:sz w:val="13"/>
                <w:szCs w:val="13"/>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695,267</w:t>
            </w:r>
          </w:p>
        </w:tc>
        <w:tc>
          <w:tcPr>
            <w:tcW w:w="220" w:type="dxa"/>
            <w:vAlign w:val="bottom"/>
          </w:tcPr>
          <w:p>
            <w:pPr>
              <w:spacing w:after="0"/>
              <w:rPr>
                <w:sz w:val="13"/>
                <w:szCs w:val="13"/>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649,666</w:t>
            </w:r>
          </w:p>
        </w:tc>
        <w:tc>
          <w:tcPr>
            <w:tcW w:w="180" w:type="dxa"/>
            <w:vAlign w:val="bottom"/>
          </w:tcPr>
          <w:p>
            <w:pPr>
              <w:spacing w:after="0"/>
              <w:rPr>
                <w:sz w:val="13"/>
                <w:szCs w:val="13"/>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794,641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82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Weighted average debt per share </w:t>
            </w:r>
            <w:r>
              <w:rPr>
                <w:rFonts w:ascii="Times New Roman" w:cs="Times New Roman" w:eastAsia="Times New Roman" w:hAnsi="Times New Roman"/>
                <w:sz w:val="16"/>
                <w:szCs w:val="16"/>
                <w:color w:val="auto"/>
                <w:vertAlign w:val="superscript"/>
              </w:rPr>
              <w:t>(1), (7)</w:t>
            </w: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10.63</w:t>
            </w: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10.07</w:t>
            </w:r>
          </w:p>
        </w:tc>
        <w:tc>
          <w:tcPr>
            <w:tcW w:w="220" w:type="dxa"/>
            <w:vAlign w:val="bottom"/>
            <w:shd w:val="clear" w:color="auto" w:fill="CCECFF"/>
          </w:tcPr>
          <w:p>
            <w:pPr>
              <w:spacing w:after="0"/>
              <w:rPr>
                <w:sz w:val="13"/>
                <w:szCs w:val="13"/>
                <w:color w:val="auto"/>
              </w:rPr>
            </w:pP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10.49</w:t>
            </w:r>
          </w:p>
        </w:tc>
        <w:tc>
          <w:tcPr>
            <w:tcW w:w="220" w:type="dxa"/>
            <w:vAlign w:val="bottom"/>
            <w:shd w:val="clear" w:color="auto" w:fill="CCECFF"/>
          </w:tcPr>
          <w:p>
            <w:pPr>
              <w:spacing w:after="0"/>
              <w:rPr>
                <w:sz w:val="13"/>
                <w:szCs w:val="13"/>
                <w:color w:val="auto"/>
              </w:rPr>
            </w:pP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9.69</w:t>
            </w:r>
          </w:p>
        </w:tc>
        <w:tc>
          <w:tcPr>
            <w:tcW w:w="180" w:type="dxa"/>
            <w:vAlign w:val="bottom"/>
            <w:shd w:val="clear" w:color="auto" w:fill="CCECFF"/>
          </w:tcPr>
          <w:p>
            <w:pPr>
              <w:spacing w:after="0"/>
              <w:rPr>
                <w:sz w:val="13"/>
                <w:szCs w:val="13"/>
                <w:color w:val="auto"/>
              </w:rPr>
            </w:pP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11.85</w:t>
            </w:r>
          </w:p>
        </w:tc>
        <w:tc>
          <w:tcPr>
            <w:tcW w:w="80" w:type="dxa"/>
            <w:vAlign w:val="bottom"/>
            <w:shd w:val="clear" w:color="auto" w:fill="CCECFF"/>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82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Asset coverage per unit </w:t>
            </w:r>
            <w:r>
              <w:rPr>
                <w:rFonts w:ascii="Times New Roman" w:cs="Times New Roman" w:eastAsia="Times New Roman" w:hAnsi="Times New Roman"/>
                <w:sz w:val="16"/>
                <w:szCs w:val="16"/>
                <w:color w:val="auto"/>
                <w:vertAlign w:val="superscript"/>
              </w:rPr>
              <w:t>(8)</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1,637</w:t>
            </w:r>
          </w:p>
        </w:tc>
        <w:tc>
          <w:tcPr>
            <w:tcW w:w="200" w:type="dxa"/>
            <w:vAlign w:val="bottom"/>
          </w:tcPr>
          <w:p>
            <w:pPr>
              <w:spacing w:after="0"/>
              <w:rPr>
                <w:sz w:val="13"/>
                <w:szCs w:val="13"/>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1,952</w:t>
            </w:r>
          </w:p>
        </w:tc>
        <w:tc>
          <w:tcPr>
            <w:tcW w:w="220" w:type="dxa"/>
            <w:vAlign w:val="bottom"/>
          </w:tcPr>
          <w:p>
            <w:pPr>
              <w:spacing w:after="0"/>
              <w:rPr>
                <w:sz w:val="13"/>
                <w:szCs w:val="13"/>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1,855</w:t>
            </w:r>
          </w:p>
        </w:tc>
        <w:tc>
          <w:tcPr>
            <w:tcW w:w="220" w:type="dxa"/>
            <w:vAlign w:val="bottom"/>
          </w:tcPr>
          <w:p>
            <w:pPr>
              <w:spacing w:after="0"/>
              <w:rPr>
                <w:sz w:val="13"/>
                <w:szCs w:val="13"/>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2,208</w:t>
            </w:r>
          </w:p>
        </w:tc>
        <w:tc>
          <w:tcPr>
            <w:tcW w:w="180" w:type="dxa"/>
            <w:vAlign w:val="bottom"/>
          </w:tcPr>
          <w:p>
            <w:pPr>
              <w:spacing w:after="0"/>
              <w:rPr>
                <w:sz w:val="13"/>
                <w:szCs w:val="13"/>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82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Average market value per unit </w:t>
            </w:r>
            <w:r>
              <w:rPr>
                <w:rFonts w:ascii="Times New Roman" w:cs="Times New Roman" w:eastAsia="Times New Roman" w:hAnsi="Times New Roman"/>
                <w:sz w:val="16"/>
                <w:szCs w:val="16"/>
                <w:color w:val="auto"/>
                <w:vertAlign w:val="superscript"/>
              </w:rPr>
              <w:t>(9), (10)</w:t>
            </w: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25.13</w:t>
            </w:r>
          </w:p>
        </w:tc>
        <w:tc>
          <w:tcPr>
            <w:tcW w:w="180" w:type="dxa"/>
            <w:vAlign w:val="bottom"/>
            <w:shd w:val="clear" w:color="auto" w:fill="CCECFF"/>
          </w:tcPr>
          <w:p>
            <w:pPr>
              <w:spacing w:after="0"/>
              <w:rPr>
                <w:sz w:val="13"/>
                <w:szCs w:val="13"/>
                <w:color w:val="auto"/>
              </w:rPr>
            </w:pP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23.47</w:t>
            </w:r>
          </w:p>
        </w:tc>
        <w:tc>
          <w:tcPr>
            <w:tcW w:w="80" w:type="dxa"/>
            <w:vAlign w:val="bottom"/>
            <w:shd w:val="clear" w:color="auto" w:fill="CCECFF"/>
          </w:tcPr>
          <w:p>
            <w:pPr>
              <w:spacing w:after="0"/>
              <w:rPr>
                <w:sz w:val="13"/>
                <w:szCs w:val="13"/>
                <w:color w:val="auto"/>
              </w:rPr>
            </w:pPr>
          </w:p>
        </w:tc>
        <w:tc>
          <w:tcPr>
            <w:tcW w:w="80" w:type="dxa"/>
            <w:vAlign w:val="bottom"/>
          </w:tcPr>
          <w:p>
            <w:pPr>
              <w:spacing w:after="0"/>
              <w:rPr>
                <w:sz w:val="13"/>
                <w:szCs w:val="13"/>
                <w:color w:val="auto"/>
              </w:rPr>
            </w:pPr>
          </w:p>
        </w:tc>
      </w:tr>
      <w:tr>
        <w:trPr>
          <w:trHeight w:val="172"/>
        </w:trPr>
        <w:tc>
          <w:tcPr>
            <w:tcW w:w="4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Portfolio turnover ratio</w:t>
            </w:r>
          </w:p>
        </w:tc>
        <w:tc>
          <w:tcPr>
            <w:tcW w:w="2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43.99 %</w:t>
            </w:r>
          </w:p>
        </w:tc>
        <w:tc>
          <w:tcPr>
            <w:tcW w:w="22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32.58 %</w:t>
            </w:r>
          </w:p>
        </w:tc>
        <w:tc>
          <w:tcPr>
            <w:tcW w:w="2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70.41 %</w:t>
            </w: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37.74 %</w:t>
            </w:r>
          </w:p>
        </w:tc>
        <w:tc>
          <w:tcPr>
            <w:tcW w:w="2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12.74 %</w:t>
            </w:r>
          </w:p>
        </w:tc>
        <w:tc>
          <w:tcPr>
            <w:tcW w:w="80" w:type="dxa"/>
            <w:vAlign w:val="bottom"/>
          </w:tcPr>
          <w:p>
            <w:pPr>
              <w:spacing w:after="0"/>
              <w:rPr>
                <w:sz w:val="14"/>
                <w:szCs w:val="14"/>
                <w:color w:val="auto"/>
              </w:rPr>
            </w:pPr>
          </w:p>
        </w:tc>
      </w:tr>
    </w:tbl>
    <w:p>
      <w:pPr>
        <w:spacing w:after="0" w:line="68" w:lineRule="exact"/>
        <w:rPr>
          <w:sz w:val="20"/>
          <w:szCs w:val="20"/>
          <w:color w:val="auto"/>
        </w:rPr>
      </w:pPr>
    </w:p>
    <w:p>
      <w:pPr>
        <w:ind w:left="100" w:hanging="94"/>
        <w:spacing w:after="0"/>
        <w:tabs>
          <w:tab w:leader="none" w:pos="100" w:val="left"/>
        </w:tabs>
        <w:numPr>
          <w:ilvl w:val="0"/>
          <w:numId w:val="8"/>
        </w:numPr>
        <w:rPr>
          <w:rFonts w:ascii="Times New Roman" w:cs="Times New Roman" w:eastAsia="Times New Roman" w:hAnsi="Times New Roman"/>
          <w:sz w:val="8"/>
          <w:szCs w:val="8"/>
          <w:color w:val="auto"/>
        </w:rPr>
      </w:pPr>
      <w:r>
        <w:rPr>
          <w:rFonts w:ascii="Times New Roman" w:cs="Times New Roman" w:eastAsia="Times New Roman" w:hAnsi="Times New Roman"/>
          <w:sz w:val="11"/>
          <w:szCs w:val="11"/>
          <w:color w:val="auto"/>
        </w:rPr>
        <w:t>The expense and investment income ratios do not reflect the Company's proportionate share of income and expenses of PSLF and PTSF II.</w:t>
      </w:r>
    </w:p>
    <w:p>
      <w:pPr>
        <w:spacing w:after="0" w:line="220" w:lineRule="auto"/>
        <w:rPr>
          <w:sz w:val="20"/>
          <w:szCs w:val="20"/>
          <w:color w:val="auto"/>
        </w:rPr>
      </w:pP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1"/>
          <w:szCs w:val="11"/>
          <w:color w:val="auto"/>
        </w:rPr>
        <w:t>Based on the weighted average shares outstanding for the respective periods.</w:t>
      </w:r>
    </w:p>
    <w:p>
      <w:pPr>
        <w:spacing w:after="0" w:line="188" w:lineRule="auto"/>
        <w:rPr>
          <w:sz w:val="20"/>
          <w:szCs w:val="20"/>
          <w:color w:val="auto"/>
        </w:rPr>
      </w:pPr>
      <w:r>
        <w:rPr>
          <w:rFonts w:ascii="Times New Roman" w:cs="Times New Roman" w:eastAsia="Times New Roman" w:hAnsi="Times New Roman"/>
          <w:sz w:val="20"/>
          <w:szCs w:val="20"/>
          <w:b w:val="1"/>
          <w:bCs w:val="1"/>
          <w:color w:val="auto"/>
          <w:vertAlign w:val="superscript"/>
        </w:rPr>
        <w:t>(2)</w:t>
      </w:r>
      <w:r>
        <w:rPr>
          <w:rFonts w:ascii="Times New Roman" w:cs="Times New Roman" w:eastAsia="Times New Roman" w:hAnsi="Times New Roman"/>
          <w:sz w:val="10"/>
          <w:szCs w:val="10"/>
          <w:color w:val="auto"/>
        </w:rPr>
        <w:t>The tax status of distributions is calculated in accordance with income tax regulations, which may differ from amounts determined under GAAP, and reported on Form 1099-DIV each calendar year.</w:t>
      </w:r>
    </w:p>
    <w:p>
      <w:pPr>
        <w:spacing w:after="0" w:line="188" w:lineRule="auto"/>
        <w:rPr>
          <w:sz w:val="20"/>
          <w:szCs w:val="20"/>
          <w:color w:val="auto"/>
        </w:rPr>
      </w:pPr>
      <w:r>
        <w:rPr>
          <w:rFonts w:ascii="Times New Roman" w:cs="Times New Roman" w:eastAsia="Times New Roman" w:hAnsi="Times New Roman"/>
          <w:sz w:val="20"/>
          <w:szCs w:val="20"/>
          <w:b w:val="1"/>
          <w:bCs w:val="1"/>
          <w:color w:val="auto"/>
          <w:vertAlign w:val="superscript"/>
        </w:rPr>
        <w:t>(3)</w:t>
      </w:r>
      <w:r>
        <w:rPr>
          <w:rFonts w:ascii="Times New Roman" w:cs="Times New Roman" w:eastAsia="Times New Roman" w:hAnsi="Times New Roman"/>
          <w:sz w:val="10"/>
          <w:szCs w:val="10"/>
          <w:color w:val="auto"/>
        </w:rPr>
        <w:t>Based on the change in market price per share during the period and assumes distributions, if any, are reinvested.</w:t>
      </w:r>
    </w:p>
    <w:p>
      <w:pPr>
        <w:spacing w:after="0" w:line="187" w:lineRule="auto"/>
        <w:rPr>
          <w:sz w:val="20"/>
          <w:szCs w:val="20"/>
          <w:color w:val="auto"/>
        </w:rPr>
      </w:pPr>
      <w:r>
        <w:rPr>
          <w:rFonts w:ascii="Times New Roman" w:cs="Times New Roman" w:eastAsia="Times New Roman" w:hAnsi="Times New Roman"/>
          <w:sz w:val="20"/>
          <w:szCs w:val="20"/>
          <w:b w:val="1"/>
          <w:bCs w:val="1"/>
          <w:color w:val="auto"/>
          <w:vertAlign w:val="superscript"/>
        </w:rPr>
        <w:t>(4)</w:t>
      </w:r>
      <w:r>
        <w:rPr>
          <w:rFonts w:ascii="Times New Roman" w:cs="Times New Roman" w:eastAsia="Times New Roman" w:hAnsi="Times New Roman"/>
          <w:sz w:val="10"/>
          <w:szCs w:val="10"/>
          <w:color w:val="auto"/>
        </w:rPr>
        <w:t>Excludes debt related costs.</w:t>
      </w:r>
    </w:p>
    <w:p>
      <w:pPr>
        <w:spacing w:after="0" w:line="188" w:lineRule="auto"/>
        <w:rPr>
          <w:sz w:val="20"/>
          <w:szCs w:val="20"/>
          <w:color w:val="auto"/>
        </w:rPr>
      </w:pPr>
      <w:r>
        <w:rPr>
          <w:rFonts w:ascii="Times New Roman" w:cs="Times New Roman" w:eastAsia="Times New Roman" w:hAnsi="Times New Roman"/>
          <w:sz w:val="20"/>
          <w:szCs w:val="20"/>
          <w:b w:val="1"/>
          <w:bCs w:val="1"/>
          <w:color w:val="auto"/>
          <w:vertAlign w:val="superscript"/>
        </w:rPr>
        <w:t>(5)</w:t>
      </w:r>
      <w:r>
        <w:rPr>
          <w:rFonts w:ascii="Times New Roman" w:cs="Times New Roman" w:eastAsia="Times New Roman" w:hAnsi="Times New Roman"/>
          <w:sz w:val="10"/>
          <w:szCs w:val="10"/>
          <w:color w:val="auto"/>
        </w:rPr>
        <w:t>Includes interest and expenses on debt (annualized) as well as Truist Credit Facility amendment and debt issuance costs, if any (not annualized).</w:t>
      </w:r>
    </w:p>
    <w:p>
      <w:pPr>
        <w:spacing w:after="0" w:line="1" w:lineRule="exact"/>
        <w:rPr>
          <w:sz w:val="20"/>
          <w:szCs w:val="20"/>
          <w:color w:val="auto"/>
        </w:rPr>
      </w:pPr>
    </w:p>
    <w:p>
      <w:pPr>
        <w:ind w:right="320"/>
        <w:spacing w:after="0" w:line="201" w:lineRule="auto"/>
        <w:rPr>
          <w:sz w:val="20"/>
          <w:szCs w:val="20"/>
          <w:color w:val="auto"/>
        </w:rPr>
      </w:pPr>
      <w:r>
        <w:rPr>
          <w:rFonts w:ascii="Times New Roman" w:cs="Times New Roman" w:eastAsia="Times New Roman" w:hAnsi="Times New Roman"/>
          <w:sz w:val="21"/>
          <w:szCs w:val="21"/>
          <w:b w:val="1"/>
          <w:bCs w:val="1"/>
          <w:color w:val="auto"/>
          <w:vertAlign w:val="superscript"/>
        </w:rPr>
        <w:t>(6)</w:t>
      </w:r>
      <w:r>
        <w:rPr>
          <w:rFonts w:ascii="Times New Roman" w:cs="Times New Roman" w:eastAsia="Times New Roman" w:hAnsi="Times New Roman"/>
          <w:sz w:val="11"/>
          <w:szCs w:val="11"/>
          <w:color w:val="auto"/>
        </w:rPr>
        <w:t>For the years ended September 30, 2020, the ratio of operating expenses to average net assets before the waiver of certain Management Fees to average net assets was 4.65%, and the ratio of total expenses to average net assets before the waiver of certain Management Fees to average net assets was 9.12%.</w:t>
      </w:r>
    </w:p>
    <w:p>
      <w:pPr>
        <w:spacing w:after="0" w:line="182" w:lineRule="auto"/>
        <w:rPr>
          <w:sz w:val="20"/>
          <w:szCs w:val="20"/>
          <w:color w:val="auto"/>
        </w:rPr>
      </w:pPr>
      <w:r>
        <w:rPr>
          <w:rFonts w:ascii="Times New Roman" w:cs="Times New Roman" w:eastAsia="Times New Roman" w:hAnsi="Times New Roman"/>
          <w:sz w:val="21"/>
          <w:szCs w:val="21"/>
          <w:b w:val="1"/>
          <w:bCs w:val="1"/>
          <w:color w:val="auto"/>
          <w:vertAlign w:val="superscript"/>
        </w:rPr>
        <w:t>(7)</w:t>
      </w:r>
      <w:r>
        <w:rPr>
          <w:rFonts w:ascii="Times New Roman" w:cs="Times New Roman" w:eastAsia="Times New Roman" w:hAnsi="Times New Roman"/>
          <w:sz w:val="11"/>
          <w:szCs w:val="11"/>
          <w:color w:val="auto"/>
        </w:rPr>
        <w:t>Includes SBA debentures outstanding.</w:t>
      </w:r>
    </w:p>
    <w:p>
      <w:pPr>
        <w:spacing w:after="0" w:line="1" w:lineRule="exact"/>
        <w:rPr>
          <w:sz w:val="20"/>
          <w:szCs w:val="20"/>
          <w:color w:val="auto"/>
        </w:rPr>
      </w:pPr>
    </w:p>
    <w:p>
      <w:pPr>
        <w:ind w:right="440"/>
        <w:spacing w:after="0" w:line="213" w:lineRule="auto"/>
        <w:rPr>
          <w:sz w:val="20"/>
          <w:szCs w:val="20"/>
          <w:color w:val="auto"/>
        </w:rPr>
      </w:pPr>
      <w:r>
        <w:rPr>
          <w:rFonts w:ascii="Times New Roman" w:cs="Times New Roman" w:eastAsia="Times New Roman" w:hAnsi="Times New Roman"/>
          <w:sz w:val="21"/>
          <w:szCs w:val="21"/>
          <w:b w:val="1"/>
          <w:bCs w:val="1"/>
          <w:color w:val="auto"/>
          <w:vertAlign w:val="superscript"/>
        </w:rPr>
        <w:t>(8)</w:t>
      </w:r>
      <w:r>
        <w:rPr>
          <w:rFonts w:ascii="Times New Roman" w:cs="Times New Roman" w:eastAsia="Times New Roman" w:hAnsi="Times New Roman"/>
          <w:sz w:val="11"/>
          <w:szCs w:val="11"/>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 These amounts exclude SBA debentures from our asset coverage per unit computation pursuant to exemptive relief received from the SEC in June 2011.</w:t>
      </w:r>
    </w:p>
    <w:p>
      <w:pPr>
        <w:spacing w:after="0" w:line="2" w:lineRule="exact"/>
        <w:rPr>
          <w:sz w:val="20"/>
          <w:szCs w:val="20"/>
          <w:color w:val="auto"/>
        </w:rPr>
      </w:pPr>
    </w:p>
    <w:p>
      <w:pPr>
        <w:ind w:right="280"/>
        <w:spacing w:after="0" w:line="203" w:lineRule="auto"/>
        <w:rPr>
          <w:sz w:val="20"/>
          <w:szCs w:val="20"/>
          <w:color w:val="auto"/>
        </w:rPr>
      </w:pPr>
      <w:r>
        <w:rPr>
          <w:rFonts w:ascii="Times New Roman" w:cs="Times New Roman" w:eastAsia="Times New Roman" w:hAnsi="Times New Roman"/>
          <w:sz w:val="21"/>
          <w:szCs w:val="21"/>
          <w:b w:val="1"/>
          <w:bCs w:val="1"/>
          <w:color w:val="auto"/>
          <w:vertAlign w:val="superscript"/>
        </w:rPr>
        <w:t>(9)</w:t>
      </w:r>
      <w:r>
        <w:rPr>
          <w:rFonts w:ascii="Times New Roman" w:cs="Times New Roman" w:eastAsia="Times New Roman" w:hAnsi="Times New Roman"/>
          <w:sz w:val="11"/>
          <w:szCs w:val="11"/>
          <w:color w:val="auto"/>
        </w:rPr>
        <w:t>The average market value per unit is derived based on the monthly average closing price of the 2025 Notes trading on NYSE under the symbol “PNTA,” which were issued in increments of $25 per unit. On June 29, 2017, the 2025 Notes were redeemed in full and no amounts were outstanding as of September 30, 2024, or 2023.</w:t>
      </w:r>
    </w:p>
    <w:p>
      <w:pPr>
        <w:spacing w:after="0" w:line="1" w:lineRule="exact"/>
        <w:rPr>
          <w:sz w:val="20"/>
          <w:szCs w:val="20"/>
          <w:color w:val="auto"/>
        </w:rPr>
      </w:pPr>
    </w:p>
    <w:p>
      <w:pPr>
        <w:ind w:right="260"/>
        <w:spacing w:after="0" w:line="203" w:lineRule="auto"/>
        <w:rPr>
          <w:sz w:val="20"/>
          <w:szCs w:val="20"/>
          <w:color w:val="auto"/>
        </w:rPr>
      </w:pPr>
      <w:r>
        <w:rPr>
          <w:rFonts w:ascii="Times New Roman" w:cs="Times New Roman" w:eastAsia="Times New Roman" w:hAnsi="Times New Roman"/>
          <w:sz w:val="21"/>
          <w:szCs w:val="21"/>
          <w:b w:val="1"/>
          <w:bCs w:val="1"/>
          <w:color w:val="auto"/>
          <w:vertAlign w:val="superscript"/>
        </w:rPr>
        <w:t>(10)</w:t>
      </w:r>
      <w:r>
        <w:rPr>
          <w:rFonts w:ascii="Times New Roman" w:cs="Times New Roman" w:eastAsia="Times New Roman" w:hAnsi="Times New Roman"/>
          <w:sz w:val="11"/>
          <w:szCs w:val="11"/>
          <w:color w:val="auto"/>
        </w:rPr>
        <w:t>The average market value per unit is derived based on the daily closing price of the 2024 Notes trading on The Nasdaq Global Select Market under the symbol “PNNTG,” which were issued in increments of $25 per unit and commenced trading on September 30, 2019. The 2024 Notes were redeemed in full on November 13, 2021 and no amounts were outstanding as of September 30, 2024, or 2023.</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11. DEBT</w:t>
      </w:r>
    </w:p>
    <w:p>
      <w:pPr>
        <w:spacing w:after="0" w:line="129"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The annualized weighted average cost of debt for the years ended September 30, 2024, 2023, and 2022, inclusive of the fee on the undrawn commitment and amendment costs on the Truist Credit Facility and amortized upfront fees on 2026 Notes-2, was 6.5%, 6.0%, and 4.8%, respectively. As of September 30, 2024, in accordance with the 1940 Act, with certain limited exceptions, we are only allowed to borrow amounts such that we are in compliance with the 150% asset coverage ratio requirement after such borrowing, excluding SBA debentures, pursuant to exemptive relief from the SEC received in June 2011.</w:t>
      </w:r>
    </w:p>
    <w:p>
      <w:pPr>
        <w:spacing w:after="0" w:line="127" w:lineRule="exact"/>
        <w:rPr>
          <w:sz w:val="20"/>
          <w:szCs w:val="20"/>
          <w:color w:val="auto"/>
        </w:rPr>
      </w:pPr>
    </w:p>
    <w:p>
      <w:pPr>
        <w:jc w:val="both"/>
        <w:ind w:right="340" w:firstLine="420"/>
        <w:spacing w:after="0" w:line="262" w:lineRule="auto"/>
        <w:rPr>
          <w:sz w:val="20"/>
          <w:szCs w:val="20"/>
          <w:color w:val="auto"/>
        </w:rPr>
      </w:pPr>
      <w:r>
        <w:rPr>
          <w:rFonts w:ascii="Times New Roman" w:cs="Times New Roman" w:eastAsia="Times New Roman" w:hAnsi="Times New Roman"/>
          <w:sz w:val="13"/>
          <w:szCs w:val="13"/>
          <w:color w:val="auto"/>
        </w:rPr>
        <w:t>On February 5, 2019, our stockholders approved the application of the modified asset coverage requirements set forth in Section 61(a)(2) of the 1940 Act, as amended by the Consolidated Appropriations Act of 2018 (which includes the Small Business Credit Availability Act, or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 As of September 30, 2024 and 2023, our asset coverage ratio, as computed in accordance with the 1940 Act, was 164% and 195%, respectively.</w:t>
      </w:r>
    </w:p>
    <w:p>
      <w:pPr>
        <w:spacing w:after="0" w:line="34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660" w:top="1132" w:right="600"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Truist Credit Facility</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 of September 30, 2024, we had the multi-currency Truist Credit Facility for up to $475.0 million, which may be further increased up to $750.0 million in borrowings with certain lenders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and Truist Bank (formerly SunTrust Bank), acting as administrative agent, Regions Bank, acting as an additional multicurrency lender, and JPMorgan Chase Bank, N.A., acting as syndication agent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the lenders. As of September 30, 2024 and 2023, we had $461.5 million and $212.4 million, respectively, in outstanding borrowings under the Truist Credit Facility. The Truist Credit Facility had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weighted average interest rate of 7.2% and 7.7%, respectively, exclusive of the fee on undrawn commitment, as of September 30, 2024 and 2023. The Truist Credit Facility is a revolving facility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with a stated maturity date of July 29, 2027 for $475.0 million of the total commitments and pricing set at 235 basis points over SOFR. As of September 30, 2024 and 2023, we had $13.5 million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and $262.6 million of unused borrowing capacity under the Truist Credit Facility, respectively, subject to leverage and borrowing base restrictions. The Truist Credit Facility is secured by substantially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all of our assets. As of September 30, 2024, we were in compliance with the terms of the Truist Credit Facility.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SBA Debentures</w:t>
      </w:r>
    </w:p>
    <w:p>
      <w:pPr>
        <w:spacing w:after="0" w:line="131" w:lineRule="exact"/>
        <w:rPr>
          <w:sz w:val="20"/>
          <w:szCs w:val="20"/>
          <w:color w:val="auto"/>
        </w:rPr>
      </w:pPr>
    </w:p>
    <w:p>
      <w:pPr>
        <w:ind w:right="120" w:firstLine="420"/>
        <w:spacing w:after="0" w:line="259" w:lineRule="auto"/>
        <w:rPr>
          <w:sz w:val="20"/>
          <w:szCs w:val="20"/>
          <w:color w:val="auto"/>
        </w:rPr>
      </w:pPr>
      <w:r>
        <w:rPr>
          <w:rFonts w:ascii="Times New Roman" w:cs="Times New Roman" w:eastAsia="Times New Roman" w:hAnsi="Times New Roman"/>
          <w:sz w:val="13"/>
          <w:szCs w:val="13"/>
          <w:color w:val="auto"/>
        </w:rPr>
        <w:t>SBIC II was historically able to borrow funds from the SBA against regulatory capital (which approximates equity capital) that is paid-in and is subject to customary regulatory requirements including an examination by the SBA. We previously funded SBIC II with $75.0 million of equity capital and it had SBA debentures outstanding of zero as of September 30, 2024 and 2023,.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$175.0 million, which is up to twice its potential regulatory capital, and as part of a group of SBICs under common control may borrow a maximum of $350 million in the aggregate.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2026 Notes</w:t>
      </w:r>
    </w:p>
    <w:p>
      <w:pPr>
        <w:spacing w:after="0" w:line="131" w:lineRule="exact"/>
        <w:rPr>
          <w:sz w:val="20"/>
          <w:szCs w:val="20"/>
          <w:color w:val="auto"/>
        </w:rPr>
      </w:pPr>
    </w:p>
    <w:p>
      <w:pPr>
        <w:ind w:right="60" w:firstLine="420"/>
        <w:spacing w:after="0" w:line="257" w:lineRule="auto"/>
        <w:rPr>
          <w:sz w:val="20"/>
          <w:szCs w:val="20"/>
          <w:color w:val="auto"/>
        </w:rPr>
      </w:pPr>
      <w:r>
        <w:rPr>
          <w:rFonts w:ascii="Times New Roman" w:cs="Times New Roman" w:eastAsia="Times New Roman" w:hAnsi="Times New Roman"/>
          <w:sz w:val="13"/>
          <w:szCs w:val="13"/>
          <w:color w:val="auto"/>
        </w:rPr>
        <w:t>In April 2021, we issued $ 150.0 million in aggregate principal amount of our 2026 Notes at a public offering price per note of 99.4%. Interest on the 2026 Notes is paid semi- annually on May 1 and November 1 of each year, at a rate of 4.50% per year, commencing November 1, 2021. The 2026 Notes mature on May 1, 2026 and may be redeemed in whole or in part at our option 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2026 Notes-2</w:t>
      </w:r>
    </w:p>
    <w:p>
      <w:pPr>
        <w:spacing w:after="0" w:line="131" w:lineRule="exact"/>
        <w:rPr>
          <w:sz w:val="20"/>
          <w:szCs w:val="20"/>
          <w:color w:val="auto"/>
        </w:rPr>
      </w:pPr>
    </w:p>
    <w:p>
      <w:pPr>
        <w:ind w:right="60" w:firstLine="420"/>
        <w:spacing w:after="0" w:line="257" w:lineRule="auto"/>
        <w:rPr>
          <w:sz w:val="20"/>
          <w:szCs w:val="20"/>
          <w:color w:val="auto"/>
        </w:rPr>
      </w:pPr>
      <w:r>
        <w:rPr>
          <w:rFonts w:ascii="Times New Roman" w:cs="Times New Roman" w:eastAsia="Times New Roman" w:hAnsi="Times New Roman"/>
          <w:sz w:val="13"/>
          <w:szCs w:val="13"/>
          <w:color w:val="auto"/>
        </w:rPr>
        <w:t>In October 2021, we issued $165.0 million in aggregate principal amount of our 2026 Notes -2 at a public offering price per note of 99.4%. Interest on the 2026 Notes-2 is paid semi-annually on May 1 and November 1 of each year, at a rate of 4.00% per year, commencing May 1, 2022. The 2026 Notes-2 mature on November 1, 2026 and may be redeemed in whole or in part at our option subject to a make-whole premium if redeemed more than three months prior to maturity. The 2026 Notes- 2 are general, unsecured obligations and rank equal in right of payment with all of our existing and future senior unsecured indebtedness. The 2026 Notes-2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Notes-2 on any securities exchange or automated dealer quotation system.</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12. COMMITMENTS AND CONTINGENCIES</w:t>
      </w:r>
    </w:p>
    <w:p>
      <w:pPr>
        <w:spacing w:after="0" w:line="129" w:lineRule="exact"/>
        <w:rPr>
          <w:sz w:val="20"/>
          <w:szCs w:val="20"/>
          <w:color w:val="auto"/>
        </w:rPr>
      </w:pPr>
    </w:p>
    <w:p>
      <w:pPr>
        <w:ind w:right="180" w:firstLine="420"/>
        <w:spacing w:after="0" w:line="268" w:lineRule="auto"/>
        <w:rPr>
          <w:sz w:val="20"/>
          <w:szCs w:val="20"/>
          <w:color w:val="auto"/>
        </w:rPr>
      </w:pPr>
      <w:r>
        <w:rPr>
          <w:rFonts w:ascii="Times New Roman" w:cs="Times New Roman" w:eastAsia="Times New Roman" w:hAnsi="Times New Roman"/>
          <w:sz w:val="13"/>
          <w:szCs w:val="13"/>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87" w:lineRule="exact"/>
        <w:rPr>
          <w:sz w:val="20"/>
          <w:szCs w:val="20"/>
          <w:color w:val="auto"/>
        </w:rPr>
      </w:pPr>
    </w:p>
    <w:p>
      <w:pPr>
        <w:ind w:right="100" w:firstLine="420"/>
        <w:spacing w:after="0" w:line="262" w:lineRule="auto"/>
        <w:rPr>
          <w:sz w:val="20"/>
          <w:szCs w:val="20"/>
          <w:color w:val="auto"/>
        </w:rPr>
      </w:pPr>
      <w:r>
        <w:rPr>
          <w:rFonts w:ascii="Times New Roman" w:cs="Times New Roman" w:eastAsia="Times New Roman" w:hAnsi="Times New Roman"/>
          <w:sz w:val="13"/>
          <w:szCs w:val="13"/>
          <w:color w:val="auto"/>
        </w:rPr>
        <w:t>Unfunded debt and equity investments, if any, are disclosed in the Consolidated Schedules of Investments. Under these arrangements, we may be required to supply a letter of credit to a third party if the portfolio company were to request a letter of credit. As of September 30, 2024 and 2023, we had $373.9 million and $160.8 million, respectively, in commitments to fund investments. Additionally, the Company had unfunded commitments of up to $52.5 million and $22.4 million to PSLF as of September 30, 2024 and 2023, respectively, that may be contributed primarily for the purpose of funding new investments approved by PSLF board of directors or investment committee.</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13. UNCONSOLIDATED SIGNIFICANT SUBSIDIARIES</w:t>
      </w:r>
    </w:p>
    <w:p>
      <w:pPr>
        <w:spacing w:after="0" w:line="129"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We must determine which, if any, of our unconsolidated controlled portfolio companies is a "significant subsidiary" within the meaning of Regulation S-X. We have determined that, as of September 30, 2024, PennantPark Senior Loan Fund, LLC and JF Intermediate, LLC triggered at least one of the significance tests. In accordance with Rule 3-09, separate audited financial statements of JF Intermediate, LLC for the years ended September 30, 2024, 2023, and 2022 will be filed via Form 10-K/A at a later date. Similar, in accordance with Rule 3-09 of Regulation S-X, separate audited financial statements of PennantPark Senior Loan Fund, LLC for the years ended September 30, 2024, 2023, and 2022 are being filed hereith as Exhibit 99.3 and Exhibit 99.4.</w:t>
      </w:r>
    </w:p>
    <w:p>
      <w:pPr>
        <w:spacing w:after="0" w:line="91" w:lineRule="exact"/>
        <w:rPr>
          <w:sz w:val="20"/>
          <w:szCs w:val="20"/>
          <w:color w:val="auto"/>
        </w:rPr>
      </w:pPr>
    </w:p>
    <w:p>
      <w:pPr>
        <w:ind w:right="200" w:firstLine="420"/>
        <w:spacing w:after="0" w:line="268" w:lineRule="auto"/>
        <w:rPr>
          <w:sz w:val="20"/>
          <w:szCs w:val="20"/>
          <w:color w:val="auto"/>
        </w:rPr>
      </w:pPr>
      <w:r>
        <w:rPr>
          <w:rFonts w:ascii="Times New Roman" w:cs="Times New Roman" w:eastAsia="Times New Roman" w:hAnsi="Times New Roman"/>
          <w:sz w:val="13"/>
          <w:szCs w:val="13"/>
          <w:color w:val="auto"/>
        </w:rPr>
        <w:t>In December 2023, the JF Intermediate LLC became controlled affiliate. Below is certain selected key financial data from JF Intermediate, LLC Balance Sheet at September 30, 2024 and 2023, and the twelve months ended September 30, 2024, 2023 and 2022 Income Statement for the periods in which our investment in JF Intermediate, LLC exceeded the threshold in at least one of the tests under Rule 3-09 of Regulation S-X (amounts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00" w:type="dxa"/>
            <w:vAlign w:val="bottom"/>
          </w:tcPr>
          <w:p>
            <w:pPr>
              <w:ind w:left="420"/>
              <w:spacing w:after="0"/>
              <w:rPr>
                <w:sz w:val="20"/>
                <w:szCs w:val="20"/>
                <w:color w:val="auto"/>
              </w:rPr>
            </w:pPr>
            <w:r>
              <w:rPr>
                <w:rFonts w:ascii="Times New Roman" w:cs="Times New Roman" w:eastAsia="Times New Roman" w:hAnsi="Times New Roman"/>
                <w:sz w:val="13"/>
                <w:szCs w:val="13"/>
                <w:b w:val="1"/>
                <w:bCs w:val="1"/>
                <w:color w:val="auto"/>
              </w:rPr>
              <w:t>JF Intermediate, LLC (Unaudited):</w:t>
            </w:r>
          </w:p>
        </w:tc>
        <w:tc>
          <w:tcPr>
            <w:tcW w:w="20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56"/>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Sheet</w:t>
            </w:r>
          </w:p>
        </w:tc>
        <w:tc>
          <w:tcPr>
            <w:tcW w:w="2000" w:type="dxa"/>
            <w:vAlign w:val="bottom"/>
          </w:tcPr>
          <w:p>
            <w:pPr>
              <w:spacing w:after="0"/>
              <w:rPr>
                <w:sz w:val="24"/>
                <w:szCs w:val="24"/>
                <w:color w:val="auto"/>
              </w:rPr>
            </w:pPr>
          </w:p>
        </w:tc>
        <w:tc>
          <w:tcPr>
            <w:tcW w:w="2180" w:type="dxa"/>
            <w:vAlign w:val="bottom"/>
          </w:tcPr>
          <w:p>
            <w:pPr>
              <w:jc w:val="right"/>
              <w:ind w:right="734"/>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520" w:type="dxa"/>
            <w:vAlign w:val="bottom"/>
          </w:tcPr>
          <w:p>
            <w:pPr>
              <w:spacing w:after="0"/>
              <w:rPr>
                <w:sz w:val="24"/>
                <w:szCs w:val="24"/>
                <w:color w:val="auto"/>
              </w:rPr>
            </w:pPr>
          </w:p>
        </w:tc>
        <w:tc>
          <w:tcPr>
            <w:tcW w:w="2060" w:type="dxa"/>
            <w:vAlign w:val="bottom"/>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September 30, 2023</w:t>
            </w:r>
          </w:p>
        </w:tc>
      </w:tr>
      <w:tr>
        <w:trPr>
          <w:trHeight w:val="156"/>
        </w:trPr>
        <w:tc>
          <w:tcPr>
            <w:tcW w:w="3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2000" w:type="dxa"/>
            <w:vAlign w:val="bottom"/>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218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278,646</w:t>
            </w:r>
          </w:p>
        </w:tc>
        <w:tc>
          <w:tcPr>
            <w:tcW w:w="520" w:type="dxa"/>
            <w:vAlign w:val="bottom"/>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206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194,468</w:t>
            </w:r>
          </w:p>
        </w:tc>
      </w:tr>
      <w:tr>
        <w:trPr>
          <w:trHeight w:val="156"/>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Noncurrent assets</w:t>
            </w:r>
          </w:p>
        </w:tc>
        <w:tc>
          <w:tcPr>
            <w:tcW w:w="2000" w:type="dxa"/>
            <w:vAlign w:val="bottom"/>
          </w:tcPr>
          <w:p>
            <w:pPr>
              <w:spacing w:after="0"/>
              <w:rPr>
                <w:sz w:val="13"/>
                <w:szCs w:val="13"/>
                <w:color w:val="auto"/>
              </w:rPr>
            </w:pPr>
          </w:p>
        </w:tc>
        <w:tc>
          <w:tcPr>
            <w:tcW w:w="21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120,808</w:t>
            </w:r>
          </w:p>
        </w:tc>
        <w:tc>
          <w:tcPr>
            <w:tcW w:w="520" w:type="dxa"/>
            <w:vAlign w:val="bottom"/>
          </w:tcPr>
          <w:p>
            <w:pPr>
              <w:spacing w:after="0"/>
              <w:rPr>
                <w:sz w:val="13"/>
                <w:szCs w:val="13"/>
                <w:color w:val="auto"/>
              </w:rPr>
            </w:pPr>
          </w:p>
        </w:tc>
        <w:tc>
          <w:tcPr>
            <w:tcW w:w="2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82,492</w:t>
            </w:r>
          </w:p>
        </w:tc>
      </w:tr>
      <w:tr>
        <w:trPr>
          <w:trHeight w:val="156"/>
        </w:trPr>
        <w:tc>
          <w:tcPr>
            <w:tcW w:w="3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2000" w:type="dxa"/>
            <w:vAlign w:val="bottom"/>
            <w:shd w:val="clear" w:color="auto" w:fill="CCECFF"/>
          </w:tcPr>
          <w:p>
            <w:pPr>
              <w:spacing w:after="0"/>
              <w:rPr>
                <w:sz w:val="13"/>
                <w:szCs w:val="13"/>
                <w:color w:val="auto"/>
              </w:rPr>
            </w:pPr>
          </w:p>
        </w:tc>
        <w:tc>
          <w:tcPr>
            <w:tcW w:w="218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181,517</w:t>
            </w:r>
          </w:p>
        </w:tc>
        <w:tc>
          <w:tcPr>
            <w:tcW w:w="520" w:type="dxa"/>
            <w:vAlign w:val="bottom"/>
            <w:shd w:val="clear" w:color="auto" w:fill="CCECFF"/>
          </w:tcPr>
          <w:p>
            <w:pPr>
              <w:spacing w:after="0"/>
              <w:rPr>
                <w:sz w:val="13"/>
                <w:szCs w:val="13"/>
                <w:color w:val="auto"/>
              </w:rPr>
            </w:pPr>
          </w:p>
        </w:tc>
        <w:tc>
          <w:tcPr>
            <w:tcW w:w="206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115,073</w:t>
            </w:r>
          </w:p>
        </w:tc>
      </w:tr>
      <w:tr>
        <w:trPr>
          <w:trHeight w:val="172"/>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Noncurrent liabilities</w:t>
            </w:r>
          </w:p>
        </w:tc>
        <w:tc>
          <w:tcPr>
            <w:tcW w:w="200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21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246,278</w:t>
            </w:r>
          </w:p>
        </w:tc>
        <w:tc>
          <w:tcPr>
            <w:tcW w:w="52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2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170,378</w:t>
            </w:r>
          </w:p>
        </w:tc>
      </w:tr>
      <w:tr>
        <w:trPr>
          <w:trHeight w:val="517"/>
        </w:trPr>
        <w:tc>
          <w:tcPr>
            <w:tcW w:w="3800" w:type="dxa"/>
            <w:vAlign w:val="bottom"/>
          </w:tcPr>
          <w:p>
            <w:pPr>
              <w:spacing w:after="0"/>
              <w:rPr>
                <w:sz w:val="24"/>
                <w:szCs w:val="24"/>
                <w:color w:val="auto"/>
              </w:rPr>
            </w:pPr>
          </w:p>
        </w:tc>
        <w:tc>
          <w:tcPr>
            <w:tcW w:w="2000" w:type="dxa"/>
            <w:vAlign w:val="bottom"/>
          </w:tcPr>
          <w:p>
            <w:pPr>
              <w:jc w:val="right"/>
              <w:ind w:right="354"/>
              <w:spacing w:after="0"/>
              <w:rPr>
                <w:sz w:val="20"/>
                <w:szCs w:val="20"/>
                <w:color w:val="auto"/>
              </w:rPr>
            </w:pPr>
            <w:r>
              <w:rPr>
                <w:rFonts w:ascii="Times New Roman" w:cs="Times New Roman" w:eastAsia="Times New Roman" w:hAnsi="Times New Roman"/>
                <w:sz w:val="13"/>
                <w:szCs w:val="13"/>
                <w:color w:val="auto"/>
              </w:rPr>
              <w:t>102</w:t>
            </w:r>
          </w:p>
        </w:tc>
        <w:tc>
          <w:tcPr>
            <w:tcW w:w="2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680"/>
        </w:trPr>
        <w:tc>
          <w:tcPr>
            <w:tcW w:w="3800" w:type="dxa"/>
            <w:vAlign w:val="bottom"/>
            <w:tcBorders>
              <w:bottom w:val="single" w:sz="8" w:color="EEEEEE"/>
            </w:tcBorders>
          </w:tcPr>
          <w:p>
            <w:pPr>
              <w:spacing w:after="0"/>
              <w:rPr>
                <w:sz w:val="24"/>
                <w:szCs w:val="24"/>
                <w:color w:val="auto"/>
              </w:rPr>
            </w:pPr>
          </w:p>
        </w:tc>
        <w:tc>
          <w:tcPr>
            <w:tcW w:w="2000" w:type="dxa"/>
            <w:vAlign w:val="bottom"/>
            <w:tcBorders>
              <w:bottom w:val="single" w:sz="8" w:color="EEEEEE"/>
            </w:tcBorders>
          </w:tcPr>
          <w:p>
            <w:pPr>
              <w:spacing w:after="0"/>
              <w:rPr>
                <w:sz w:val="24"/>
                <w:szCs w:val="24"/>
                <w:color w:val="auto"/>
              </w:rPr>
            </w:pPr>
          </w:p>
        </w:tc>
        <w:tc>
          <w:tcPr>
            <w:tcW w:w="218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20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2" w:right="660" w:bottom="1440" w:gutter="0" w:footer="0" w:header="0"/>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4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Statement</w:t>
            </w:r>
          </w:p>
        </w:tc>
        <w:tc>
          <w:tcPr>
            <w:tcW w:w="440" w:type="dxa"/>
            <w:vAlign w:val="bottom"/>
          </w:tcPr>
          <w:p>
            <w:pPr>
              <w:spacing w:after="0"/>
              <w:rPr>
                <w:sz w:val="14"/>
                <w:szCs w:val="14"/>
                <w:color w:val="auto"/>
              </w:rPr>
            </w:pPr>
          </w:p>
        </w:tc>
        <w:tc>
          <w:tcPr>
            <w:tcW w:w="1420" w:type="dxa"/>
            <w:vAlign w:val="bottom"/>
          </w:tcPr>
          <w:p>
            <w:pPr>
              <w:jc w:val="right"/>
              <w:ind w:right="739"/>
              <w:spacing w:after="0"/>
              <w:rPr>
                <w:sz w:val="20"/>
                <w:szCs w:val="20"/>
                <w:color w:val="auto"/>
              </w:rPr>
            </w:pPr>
            <w:r>
              <w:rPr>
                <w:rFonts w:ascii="Times New Roman" w:cs="Times New Roman" w:eastAsia="Times New Roman" w:hAnsi="Times New Roman"/>
                <w:sz w:val="13"/>
                <w:szCs w:val="13"/>
                <w:b w:val="1"/>
                <w:bCs w:val="1"/>
                <w:color w:val="auto"/>
              </w:rPr>
              <w:t>2024</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jc w:val="right"/>
              <w:ind w:right="718"/>
              <w:spacing w:after="0"/>
              <w:rPr>
                <w:sz w:val="20"/>
                <w:szCs w:val="20"/>
                <w:color w:val="auto"/>
              </w:rPr>
            </w:pPr>
            <w:r>
              <w:rPr>
                <w:rFonts w:ascii="Times New Roman" w:cs="Times New Roman" w:eastAsia="Times New Roman" w:hAnsi="Times New Roman"/>
                <w:sz w:val="13"/>
                <w:szCs w:val="13"/>
                <w:b w:val="1"/>
                <w:bCs w:val="1"/>
                <w:color w:val="auto"/>
              </w:rPr>
              <w:t>2023</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jc w:val="right"/>
              <w:ind w:right="739"/>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r>
      <w:tr>
        <w:trPr>
          <w:trHeight w:val="156"/>
        </w:trPr>
        <w:tc>
          <w:tcPr>
            <w:tcW w:w="4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revenue</w:t>
            </w:r>
          </w:p>
        </w:tc>
        <w:tc>
          <w:tcPr>
            <w:tcW w:w="440" w:type="dxa"/>
            <w:vAlign w:val="bottom"/>
            <w:shd w:val="clear" w:color="auto" w:fill="CCECFF"/>
          </w:tcPr>
          <w:p>
            <w:pPr>
              <w:jc w:val="right"/>
              <w:ind w:right="294"/>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832,069</w:t>
            </w:r>
          </w:p>
        </w:tc>
        <w:tc>
          <w:tcPr>
            <w:tcW w:w="320" w:type="dxa"/>
            <w:vAlign w:val="bottom"/>
            <w:shd w:val="clear" w:color="auto" w:fill="CCECFF"/>
          </w:tcPr>
          <w:p>
            <w:pPr>
              <w:spacing w:after="0"/>
              <w:rPr>
                <w:sz w:val="13"/>
                <w:szCs w:val="13"/>
                <w:color w:val="auto"/>
              </w:rPr>
            </w:pP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586,579</w:t>
            </w:r>
          </w:p>
        </w:tc>
        <w:tc>
          <w:tcPr>
            <w:tcW w:w="300" w:type="dxa"/>
            <w:vAlign w:val="bottom"/>
            <w:shd w:val="clear" w:color="auto" w:fill="CCECFF"/>
          </w:tcPr>
          <w:p>
            <w:pPr>
              <w:spacing w:after="0"/>
              <w:rPr>
                <w:sz w:val="13"/>
                <w:szCs w:val="13"/>
                <w:color w:val="auto"/>
              </w:rPr>
            </w:pPr>
          </w:p>
        </w:tc>
        <w:tc>
          <w:tcPr>
            <w:tcW w:w="420" w:type="dxa"/>
            <w:vAlign w:val="bottom"/>
            <w:shd w:val="clear" w:color="auto" w:fill="CCECFF"/>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543,186</w:t>
            </w:r>
          </w:p>
        </w:tc>
        <w:tc>
          <w:tcPr>
            <w:tcW w:w="80" w:type="dxa"/>
            <w:vAlign w:val="bottom"/>
            <w:shd w:val="clear" w:color="auto" w:fill="CCECFF"/>
          </w:tcPr>
          <w:p>
            <w:pPr>
              <w:spacing w:after="0"/>
              <w:rPr>
                <w:sz w:val="13"/>
                <w:szCs w:val="13"/>
                <w:color w:val="auto"/>
              </w:rPr>
            </w:pPr>
          </w:p>
        </w:tc>
      </w:tr>
      <w:tr>
        <w:trPr>
          <w:trHeight w:val="156"/>
        </w:trPr>
        <w:tc>
          <w:tcPr>
            <w:tcW w:w="4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expenses</w:t>
            </w:r>
          </w:p>
        </w:tc>
        <w:tc>
          <w:tcPr>
            <w:tcW w:w="4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851,180</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600,412</w:t>
            </w: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549,550</w:t>
            </w:r>
          </w:p>
        </w:tc>
        <w:tc>
          <w:tcPr>
            <w:tcW w:w="80" w:type="dxa"/>
            <w:vAlign w:val="bottom"/>
          </w:tcPr>
          <w:p>
            <w:pPr>
              <w:spacing w:after="0"/>
              <w:rPr>
                <w:sz w:val="13"/>
                <w:szCs w:val="13"/>
                <w:color w:val="auto"/>
              </w:rPr>
            </w:pPr>
          </w:p>
        </w:tc>
      </w:tr>
      <w:tr>
        <w:trPr>
          <w:trHeight w:val="176"/>
        </w:trPr>
        <w:tc>
          <w:tcPr>
            <w:tcW w:w="4340" w:type="dxa"/>
            <w:vAlign w:val="bottom"/>
            <w:shd w:val="clear" w:color="auto" w:fill="CCECFF"/>
          </w:tcPr>
          <w:p>
            <w:pPr>
              <w:ind w:left="20"/>
              <w:spacing w:after="0" w:line="136" w:lineRule="exact"/>
              <w:rPr>
                <w:sz w:val="20"/>
                <w:szCs w:val="20"/>
                <w:color w:val="auto"/>
              </w:rPr>
            </w:pPr>
            <w:r>
              <w:rPr>
                <w:rFonts w:ascii="Times New Roman" w:cs="Times New Roman" w:eastAsia="Times New Roman" w:hAnsi="Times New Roman"/>
                <w:sz w:val="13"/>
                <w:szCs w:val="13"/>
                <w:color w:val="auto"/>
              </w:rPr>
              <w:t>Net loss</w:t>
            </w:r>
          </w:p>
        </w:tc>
        <w:tc>
          <w:tcPr>
            <w:tcW w:w="440" w:type="dxa"/>
            <w:vAlign w:val="bottom"/>
            <w:shd w:val="clear" w:color="auto" w:fill="CCECFF"/>
          </w:tcPr>
          <w:p>
            <w:pPr>
              <w:jc w:val="right"/>
              <w:ind w:right="29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740" w:type="dxa"/>
            <w:vAlign w:val="bottom"/>
            <w:gridSpan w:val="2"/>
            <w:shd w:val="clear" w:color="auto" w:fill="CCECFF"/>
          </w:tcPr>
          <w:p>
            <w:pPr>
              <w:jc w:val="right"/>
              <w:ind w:right="260"/>
              <w:spacing w:after="0" w:line="136" w:lineRule="exact"/>
              <w:rPr>
                <w:sz w:val="20"/>
                <w:szCs w:val="20"/>
                <w:color w:val="auto"/>
              </w:rPr>
            </w:pPr>
            <w:r>
              <w:rPr>
                <w:rFonts w:ascii="Times New Roman" w:cs="Times New Roman" w:eastAsia="Times New Roman" w:hAnsi="Times New Roman"/>
                <w:sz w:val="9"/>
                <w:szCs w:val="9"/>
                <w:color w:val="auto"/>
              </w:rPr>
              <w:t xml:space="preserve">(19,111 </w:t>
            </w:r>
            <w:r>
              <w:rPr>
                <w:rFonts w:ascii="Times New Roman" w:cs="Times New Roman" w:eastAsia="Times New Roman" w:hAnsi="Times New Roman"/>
                <w:sz w:val="15"/>
                <w:szCs w:val="15"/>
                <w:color w:val="auto"/>
                <w:vertAlign w:val="subscript"/>
              </w:rPr>
              <w:t>)</w:t>
            </w: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40" w:type="dxa"/>
            <w:vAlign w:val="bottom"/>
            <w:gridSpan w:val="2"/>
            <w:shd w:val="clear" w:color="auto" w:fill="CCECFF"/>
          </w:tcPr>
          <w:p>
            <w:pPr>
              <w:jc w:val="right"/>
              <w:ind w:right="240"/>
              <w:spacing w:after="0" w:line="136" w:lineRule="exact"/>
              <w:rPr>
                <w:sz w:val="20"/>
                <w:szCs w:val="20"/>
                <w:color w:val="auto"/>
              </w:rPr>
            </w:pPr>
            <w:r>
              <w:rPr>
                <w:rFonts w:ascii="Times New Roman" w:cs="Times New Roman" w:eastAsia="Times New Roman" w:hAnsi="Times New Roman"/>
                <w:sz w:val="9"/>
                <w:szCs w:val="9"/>
                <w:color w:val="auto"/>
              </w:rPr>
              <w:t xml:space="preserve">(13,833 </w:t>
            </w:r>
            <w:r>
              <w:rPr>
                <w:rFonts w:ascii="Times New Roman" w:cs="Times New Roman" w:eastAsia="Times New Roman" w:hAnsi="Times New Roman"/>
                <w:sz w:val="15"/>
                <w:szCs w:val="15"/>
                <w:color w:val="auto"/>
                <w:vertAlign w:val="subscript"/>
              </w:rPr>
              <w:t>)</w:t>
            </w:r>
          </w:p>
        </w:tc>
        <w:tc>
          <w:tcPr>
            <w:tcW w:w="420" w:type="dxa"/>
            <w:vAlign w:val="bottom"/>
            <w:shd w:val="clear" w:color="auto" w:fill="CCECFF"/>
          </w:tcPr>
          <w:p>
            <w:pPr>
              <w:jc w:val="right"/>
              <w:ind w:right="27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gridSpan w:val="2"/>
            <w:shd w:val="clear" w:color="auto" w:fill="CCECFF"/>
          </w:tcPr>
          <w:p>
            <w:pPr>
              <w:jc w:val="right"/>
              <w:ind w:right="40"/>
              <w:spacing w:after="0" w:line="136" w:lineRule="exact"/>
              <w:rPr>
                <w:sz w:val="20"/>
                <w:szCs w:val="20"/>
                <w:color w:val="auto"/>
              </w:rPr>
            </w:pPr>
            <w:r>
              <w:rPr>
                <w:rFonts w:ascii="Times New Roman" w:cs="Times New Roman" w:eastAsia="Times New Roman" w:hAnsi="Times New Roman"/>
                <w:sz w:val="9"/>
                <w:szCs w:val="9"/>
                <w:color w:val="auto"/>
              </w:rPr>
              <w:t xml:space="preserve">(6,364 </w:t>
            </w:r>
            <w:r>
              <w:rPr>
                <w:rFonts w:ascii="Times New Roman" w:cs="Times New Roman" w:eastAsia="Times New Roman" w:hAnsi="Times New Roman"/>
                <w:sz w:val="15"/>
                <w:szCs w:val="15"/>
                <w:color w:val="auto"/>
                <w:vertAlign w:val="subscript"/>
              </w:rPr>
              <w:t>)</w:t>
            </w:r>
          </w:p>
        </w:tc>
      </w:tr>
      <w:tr>
        <w:trPr>
          <w:trHeight w:val="20"/>
        </w:trPr>
        <w:tc>
          <w:tcPr>
            <w:tcW w:w="4340" w:type="dxa"/>
            <w:vAlign w:val="bottom"/>
            <w:tcBorders>
              <w:top w:val="single" w:sz="8" w:color="CCECFF"/>
            </w:tcBorders>
            <w:shd w:val="clear" w:color="auto" w:fill="CCEC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CFF"/>
            </w:tcBorders>
            <w:shd w:val="clear" w:color="auto" w:fill="CCEC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14. STOCK REPURCHASE PROGRAM</w:t>
      </w:r>
    </w:p>
    <w:p>
      <w:pPr>
        <w:spacing w:after="0" w:line="165" w:lineRule="exact"/>
        <w:rPr>
          <w:sz w:val="20"/>
          <w:szCs w:val="20"/>
          <w:color w:val="auto"/>
        </w:rPr>
      </w:pPr>
    </w:p>
    <w:p>
      <w:pPr>
        <w:jc w:val="both"/>
        <w:ind w:right="80" w:firstLine="432"/>
        <w:spacing w:after="0" w:line="268" w:lineRule="auto"/>
        <w:rPr>
          <w:sz w:val="20"/>
          <w:szCs w:val="20"/>
          <w:color w:val="auto"/>
        </w:rPr>
      </w:pPr>
      <w:r>
        <w:rPr>
          <w:rFonts w:ascii="Times New Roman" w:cs="Times New Roman" w:eastAsia="Times New Roman" w:hAnsi="Times New Roman"/>
          <w:sz w:val="13"/>
          <w:szCs w:val="13"/>
          <w:color w:val="auto"/>
        </w:rPr>
        <w:t>On February 9, 2022, we announced a share repurchase program which allows us to repurchase up to $25 million of our outstanding common stock in the open market at prices below our net asset value as reported in our then most recently published consolidated financial statements. The program expired on March 31, 2023. During the year ended September 30, 2024 and September 30, 2023, we did not make any repurchase of our common shares.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3"/>
          <w:szCs w:val="13"/>
          <w:b w:val="1"/>
          <w:bCs w:val="1"/>
          <w:color w:val="auto"/>
        </w:rPr>
        <w:t>Item 9. Changes in and Disagreements with Accountants on Accounting and Financial Disclosure</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None.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9A. Controls and Procedures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a)Evaluation of Disclosure Controls and Procedures</w:t>
      </w:r>
    </w:p>
    <w:p>
      <w:pPr>
        <w:spacing w:after="0" w:line="167" w:lineRule="exact"/>
        <w:rPr>
          <w:sz w:val="20"/>
          <w:szCs w:val="20"/>
          <w:color w:val="auto"/>
        </w:rPr>
      </w:pPr>
    </w:p>
    <w:p>
      <w:pPr>
        <w:ind w:left="420" w:right="80" w:firstLine="198"/>
        <w:spacing w:after="0" w:line="256" w:lineRule="auto"/>
        <w:rPr>
          <w:sz w:val="20"/>
          <w:szCs w:val="20"/>
          <w:color w:val="auto"/>
        </w:rPr>
      </w:pPr>
      <w:r>
        <w:rPr>
          <w:rFonts w:ascii="Times New Roman" w:cs="Times New Roman" w:eastAsia="Times New Roman" w:hAnsi="Times New Roman"/>
          <w:sz w:val="13"/>
          <w:szCs w:val="13"/>
          <w:color w:val="auto"/>
        </w:rPr>
        <w:t>As of September 30, 2024,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to provide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b)Management’s Report on Internal Control Over Financial Reporting</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Management’s Report on Internal Control Over Financial Reporting, which appears on page 61 of this Form 10-K, is incorporated by reference herein.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c)Changes in Internal Controls Over Financial Reporting</w:t>
      </w:r>
    </w:p>
    <w:p>
      <w:pPr>
        <w:spacing w:after="0" w:line="323" w:lineRule="exact"/>
        <w:rPr>
          <w:sz w:val="20"/>
          <w:szCs w:val="20"/>
          <w:color w:val="auto"/>
        </w:rPr>
      </w:pPr>
    </w:p>
    <w:p>
      <w:pPr>
        <w:ind w:left="420" w:firstLine="165"/>
        <w:spacing w:after="0" w:line="262" w:lineRule="auto"/>
        <w:rPr>
          <w:sz w:val="20"/>
          <w:szCs w:val="20"/>
          <w:color w:val="auto"/>
        </w:rPr>
      </w:pPr>
      <w:r>
        <w:rPr>
          <w:rFonts w:ascii="Times New Roman" w:cs="Times New Roman" w:eastAsia="Times New Roman" w:hAnsi="Times New Roman"/>
          <w:sz w:val="13"/>
          <w:szCs w:val="13"/>
          <w:color w:val="auto"/>
        </w:rPr>
        <w:t>As of September 30, 2024, management remediated the material weakness previously identified as of September 30, 2023 relating to(a) the operation of our internal controls over financial reporting relating to our review of interest income and non-accrual classification of investments and (b) in the operation of our internal controls over financial reporting relating to our review of interest income and non-accrual classification of investments. Although this material weakness did not result in any material misstatement of our consolidated financial statements, there is a possibility it could have led to a material misstatement of account balances or disclosures that were not prevented or detected.</w:t>
      </w:r>
    </w:p>
    <w:p>
      <w:pPr>
        <w:spacing w:after="0" w:line="151" w:lineRule="exact"/>
        <w:rPr>
          <w:sz w:val="20"/>
          <w:szCs w:val="20"/>
          <w:color w:val="auto"/>
        </w:rPr>
      </w:pPr>
    </w:p>
    <w:p>
      <w:pPr>
        <w:ind w:left="420" w:right="40" w:firstLine="156"/>
        <w:spacing w:after="0" w:line="262" w:lineRule="auto"/>
        <w:rPr>
          <w:sz w:val="20"/>
          <w:szCs w:val="20"/>
          <w:color w:val="auto"/>
        </w:rPr>
      </w:pPr>
      <w:r>
        <w:rPr>
          <w:rFonts w:ascii="Times New Roman" w:cs="Times New Roman" w:eastAsia="Times New Roman" w:hAnsi="Times New Roman"/>
          <w:sz w:val="13"/>
          <w:szCs w:val="13"/>
          <w:color w:val="auto"/>
        </w:rPr>
        <w:t>Management remediated the material weaknesses identified as of September 30, 2023 by enhancing (a) existing controls to ensure the appropriate review of the quarterly cash and investment reconciliation and that it is adequately documented so as to provide evidence that the controls are operating effectively, (b) existing controls to ensure that our internal controls over financial reporting relating to our analysis of interest income and assessment of investments for classification as non-accrual investments are operating effectively and (c) policies and procedures to demonstrate a commitment to improving our overall control environment.</w:t>
      </w:r>
    </w:p>
    <w:p>
      <w:pPr>
        <w:spacing w:after="0" w:line="151" w:lineRule="exact"/>
        <w:rPr>
          <w:sz w:val="20"/>
          <w:szCs w:val="20"/>
          <w:color w:val="auto"/>
        </w:rPr>
      </w:pPr>
    </w:p>
    <w:p>
      <w:pPr>
        <w:ind w:left="420" w:right="240" w:firstLine="183"/>
        <w:spacing w:after="0" w:line="286" w:lineRule="auto"/>
        <w:rPr>
          <w:sz w:val="20"/>
          <w:szCs w:val="20"/>
          <w:color w:val="auto"/>
        </w:rPr>
      </w:pPr>
      <w:r>
        <w:rPr>
          <w:rFonts w:ascii="Times New Roman" w:cs="Times New Roman" w:eastAsia="Times New Roman" w:hAnsi="Times New Roman"/>
          <w:sz w:val="13"/>
          <w:szCs w:val="13"/>
          <w:color w:val="auto"/>
        </w:rPr>
        <w:t>As a result of the remediation activities, management has determined that management's control were designed appropriately and a sufficient level of precision, and have been operating effectively for a sufficient period of time, such that the material weakness previously identified as of September 30, 2023 has been remediated as of September 30, 2024.</w:t>
      </w:r>
    </w:p>
    <w:p>
      <w:pPr>
        <w:spacing w:after="0" w:line="136" w:lineRule="exact"/>
        <w:rPr>
          <w:sz w:val="20"/>
          <w:szCs w:val="20"/>
          <w:color w:val="auto"/>
        </w:rPr>
      </w:pPr>
    </w:p>
    <w:p>
      <w:pPr>
        <w:ind w:left="420" w:right="420" w:firstLine="165"/>
        <w:spacing w:after="0" w:line="286" w:lineRule="auto"/>
        <w:rPr>
          <w:sz w:val="20"/>
          <w:szCs w:val="20"/>
          <w:color w:val="auto"/>
        </w:rPr>
      </w:pPr>
      <w:r>
        <w:rPr>
          <w:rFonts w:ascii="Times New Roman" w:cs="Times New Roman" w:eastAsia="Times New Roman" w:hAnsi="Times New Roman"/>
          <w:sz w:val="13"/>
          <w:szCs w:val="13"/>
          <w:color w:val="auto"/>
        </w:rPr>
        <w:t>Except as noted above, there have been no changes in our internal control over financial reporting (as defined in Rules 13a-15(f) and 15d-15(f) of the Exchange Act) during our most recently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2" w:right="66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3"/>
          <w:szCs w:val="13"/>
          <w:b w:val="1"/>
          <w:bCs w:val="1"/>
          <w:color w:val="auto"/>
        </w:rPr>
        <w:t>Item 9B. Other Information</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10b5-1 Disclosure</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None of the officers or directors of the Company have adopted or terminated any Rule 10b5-1 trading arrangements applicable to them (if any) or the Company.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9C. Disclosure Regarding Foreign Jurisdictions that Prevent Inspections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432" w:right="1440" w:bottom="1440" w:gutter="0" w:footer="0" w:header="0"/>
        </w:sectPr>
      </w:pPr>
    </w:p>
    <w:bookmarkStart w:id="105" w:name="page106"/>
    <w:bookmarkEnd w:id="105"/>
    <w:p>
      <w:pPr>
        <w:jc w:val="center"/>
        <w:ind w:right="-259"/>
        <w:spacing w:after="0"/>
        <w:rPr>
          <w:sz w:val="20"/>
          <w:szCs w:val="20"/>
          <w:color w:val="auto"/>
        </w:rPr>
      </w:pPr>
      <w:r>
        <w:rPr>
          <w:rFonts w:ascii="Times New Roman" w:cs="Times New Roman" w:eastAsia="Times New Roman" w:hAnsi="Times New Roman"/>
          <w:sz w:val="13"/>
          <w:szCs w:val="13"/>
          <w:b w:val="1"/>
          <w:bCs w:val="1"/>
          <w:color w:val="auto"/>
        </w:rPr>
        <w:t>PART III</w:t>
      </w:r>
    </w:p>
    <w:p>
      <w:pPr>
        <w:spacing w:after="0" w:line="129" w:lineRule="exact"/>
        <w:rPr>
          <w:sz w:val="20"/>
          <w:szCs w:val="20"/>
          <w:color w:val="auto"/>
        </w:rPr>
      </w:pPr>
    </w:p>
    <w:p>
      <w:pPr>
        <w:ind w:left="80" w:firstLine="420"/>
        <w:spacing w:after="0" w:line="268" w:lineRule="auto"/>
        <w:rPr>
          <w:sz w:val="20"/>
          <w:szCs w:val="20"/>
          <w:color w:val="auto"/>
        </w:rPr>
      </w:pPr>
      <w:r>
        <w:rPr>
          <w:rFonts w:ascii="Times New Roman" w:cs="Times New Roman" w:eastAsia="Times New Roman" w:hAnsi="Times New Roman"/>
          <w:sz w:val="13"/>
          <w:szCs w:val="13"/>
          <w:color w:val="auto"/>
        </w:rPr>
        <w:t>We will file a definitive Proxy Statement for our 2025 Annual Meeting of Stockholders with the SEC, pursuant to Regulation 14A, not later than 120 days after the end of our fiscal year. Accordingly, certain information required by Part III has been omitted under General Instruction G (3) to Form 10-K. Only those sections of our definitive Proxy Statement that specifically address the items set forth herein are incorporated by reference.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10. Directors, Executive Officers and Corporate Governance</w:t>
      </w:r>
    </w:p>
    <w:p>
      <w:pPr>
        <w:spacing w:after="0" w:line="129" w:lineRule="exact"/>
        <w:rPr>
          <w:sz w:val="20"/>
          <w:szCs w:val="20"/>
          <w:color w:val="auto"/>
        </w:rPr>
      </w:pPr>
    </w:p>
    <w:p>
      <w:pPr>
        <w:ind w:left="80" w:firstLine="420"/>
        <w:spacing w:after="0" w:line="286" w:lineRule="auto"/>
        <w:rPr>
          <w:sz w:val="20"/>
          <w:szCs w:val="20"/>
          <w:color w:val="auto"/>
        </w:rPr>
      </w:pPr>
      <w:r>
        <w:rPr>
          <w:rFonts w:ascii="Times New Roman" w:cs="Times New Roman" w:eastAsia="Times New Roman" w:hAnsi="Times New Roman"/>
          <w:sz w:val="13"/>
          <w:szCs w:val="13"/>
          <w:color w:val="auto"/>
        </w:rPr>
        <w:t>The information required by Item 10 is hereby incorporated by reference from our definitive Proxy Statement relating to our 2025 Annual Meeting of Stockholders, to be filed with the SEC within 120 days following the end of our fiscal year.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11. Executive Compensation</w:t>
      </w:r>
    </w:p>
    <w:p>
      <w:pPr>
        <w:spacing w:after="0" w:line="129" w:lineRule="exact"/>
        <w:rPr>
          <w:sz w:val="20"/>
          <w:szCs w:val="20"/>
          <w:color w:val="auto"/>
        </w:rPr>
      </w:pPr>
    </w:p>
    <w:p>
      <w:pPr>
        <w:ind w:left="80" w:firstLine="420"/>
        <w:spacing w:after="0" w:line="286" w:lineRule="auto"/>
        <w:rPr>
          <w:sz w:val="20"/>
          <w:szCs w:val="20"/>
          <w:color w:val="auto"/>
        </w:rPr>
      </w:pPr>
      <w:r>
        <w:rPr>
          <w:rFonts w:ascii="Times New Roman" w:cs="Times New Roman" w:eastAsia="Times New Roman" w:hAnsi="Times New Roman"/>
          <w:sz w:val="13"/>
          <w:szCs w:val="13"/>
          <w:color w:val="auto"/>
        </w:rPr>
        <w:t>The information required by Item 11 is hereby incorporated by reference from our definitive Proxy Statement relating to our 2025 Annual Meeting of Stockholders, to be filed with the SEC within 120 days following the end of our fiscal year.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12. Security Ownership of Certain Beneficial Owners and Management and Related Stockholder Matters</w:t>
      </w:r>
    </w:p>
    <w:p>
      <w:pPr>
        <w:spacing w:after="0" w:line="129" w:lineRule="exact"/>
        <w:rPr>
          <w:sz w:val="20"/>
          <w:szCs w:val="20"/>
          <w:color w:val="auto"/>
        </w:rPr>
      </w:pPr>
    </w:p>
    <w:p>
      <w:pPr>
        <w:ind w:left="80" w:firstLine="420"/>
        <w:spacing w:after="0" w:line="286" w:lineRule="auto"/>
        <w:rPr>
          <w:sz w:val="20"/>
          <w:szCs w:val="20"/>
          <w:color w:val="auto"/>
        </w:rPr>
      </w:pPr>
      <w:r>
        <w:rPr>
          <w:rFonts w:ascii="Times New Roman" w:cs="Times New Roman" w:eastAsia="Times New Roman" w:hAnsi="Times New Roman"/>
          <w:sz w:val="13"/>
          <w:szCs w:val="13"/>
          <w:color w:val="auto"/>
        </w:rPr>
        <w:t>The information required by Item 12 is hereby incorporated by reference from our definitive Proxy Statement relating to our 2025 Annual Meeting of Stockholders, to be filed with the SEC within 120 days following the end of our fiscal year.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13. Certain Relationships and Related Transactions, and Director Independence</w:t>
      </w:r>
    </w:p>
    <w:p>
      <w:pPr>
        <w:spacing w:after="0" w:line="129" w:lineRule="exact"/>
        <w:rPr>
          <w:sz w:val="20"/>
          <w:szCs w:val="20"/>
          <w:color w:val="auto"/>
        </w:rPr>
      </w:pPr>
    </w:p>
    <w:p>
      <w:pPr>
        <w:ind w:left="80" w:firstLine="420"/>
        <w:spacing w:after="0" w:line="286" w:lineRule="auto"/>
        <w:rPr>
          <w:sz w:val="20"/>
          <w:szCs w:val="20"/>
          <w:color w:val="auto"/>
        </w:rPr>
      </w:pPr>
      <w:r>
        <w:rPr>
          <w:rFonts w:ascii="Times New Roman" w:cs="Times New Roman" w:eastAsia="Times New Roman" w:hAnsi="Times New Roman"/>
          <w:sz w:val="13"/>
          <w:szCs w:val="13"/>
          <w:color w:val="auto"/>
        </w:rPr>
        <w:t>The information required by Item 13 is hereby incorporated by reference from our definitive Proxy Statement relating to our 2025 Annual Meeting of Stockholders, to be filed with the SEC within 120 days following the end of our fiscal year.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14. Principal Accountant Fees and Services</w:t>
      </w:r>
    </w:p>
    <w:p>
      <w:pPr>
        <w:spacing w:after="0" w:line="129" w:lineRule="exact"/>
        <w:rPr>
          <w:sz w:val="20"/>
          <w:szCs w:val="20"/>
          <w:color w:val="auto"/>
        </w:rPr>
      </w:pPr>
    </w:p>
    <w:p>
      <w:pPr>
        <w:ind w:left="80" w:firstLine="420"/>
        <w:spacing w:after="0" w:line="286" w:lineRule="auto"/>
        <w:rPr>
          <w:sz w:val="20"/>
          <w:szCs w:val="20"/>
          <w:color w:val="auto"/>
        </w:rPr>
      </w:pPr>
      <w:r>
        <w:rPr>
          <w:rFonts w:ascii="Times New Roman" w:cs="Times New Roman" w:eastAsia="Times New Roman" w:hAnsi="Times New Roman"/>
          <w:sz w:val="13"/>
          <w:szCs w:val="13"/>
          <w:color w:val="auto"/>
        </w:rPr>
        <w:t>The information required by Item 14 is hereby incorporated by reference from our definitive Proxy Statement relating to our 2025 Annual Meeting of Stockholders, to be filed with the SEC within 120 days following the end of our fiscal year.</w:t>
      </w:r>
    </w:p>
    <w:p>
      <w:pPr>
        <w:spacing w:after="0" w:line="14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425450</wp:posOffset>
            </wp:positionV>
            <wp:extent cx="6732905"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580" w:top="1312" w:right="860"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PART IV</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15. Exhibits and Financial Statement Schedules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0" w:type="dxa"/>
            <w:vAlign w:val="bottom"/>
          </w:tcPr>
          <w:p>
            <w:pPr>
              <w:spacing w:after="0"/>
              <w:rPr>
                <w:sz w:val="14"/>
                <w:szCs w:val="14"/>
                <w:color w:val="auto"/>
              </w:rPr>
            </w:pPr>
          </w:p>
        </w:tc>
        <w:tc>
          <w:tcPr>
            <w:tcW w:w="10220" w:type="dxa"/>
            <w:vAlign w:val="bottom"/>
            <w:gridSpan w:val="26"/>
          </w:tcPr>
          <w:p>
            <w:pPr>
              <w:ind w:left="80"/>
              <w:spacing w:after="0"/>
              <w:rPr>
                <w:sz w:val="20"/>
                <w:szCs w:val="20"/>
                <w:color w:val="auto"/>
              </w:rPr>
            </w:pPr>
            <w:r>
              <w:rPr>
                <w:rFonts w:ascii="Times New Roman" w:cs="Times New Roman" w:eastAsia="Times New Roman" w:hAnsi="Times New Roman"/>
                <w:sz w:val="13"/>
                <w:szCs w:val="13"/>
                <w:color w:val="auto"/>
              </w:rPr>
              <w:t>The following documents are filed as part of this Annual Report:</w:t>
            </w:r>
          </w:p>
        </w:tc>
      </w:tr>
      <w:tr>
        <w:trPr>
          <w:trHeight w:val="276"/>
        </w:trPr>
        <w:tc>
          <w:tcPr>
            <w:tcW w:w="340" w:type="dxa"/>
            <w:vAlign w:val="bottom"/>
          </w:tcPr>
          <w:p>
            <w:pPr>
              <w:spacing w:after="0"/>
              <w:rPr>
                <w:sz w:val="24"/>
                <w:szCs w:val="24"/>
                <w:color w:val="auto"/>
              </w:rPr>
            </w:pPr>
          </w:p>
        </w:tc>
        <w:tc>
          <w:tcPr>
            <w:tcW w:w="10220" w:type="dxa"/>
            <w:vAlign w:val="bottom"/>
            <w:gridSpan w:val="26"/>
          </w:tcPr>
          <w:p>
            <w:pPr>
              <w:ind w:left="200"/>
              <w:spacing w:after="0"/>
              <w:rPr>
                <w:sz w:val="20"/>
                <w:szCs w:val="20"/>
                <w:color w:val="auto"/>
              </w:rPr>
            </w:pPr>
            <w:r>
              <w:rPr>
                <w:rFonts w:ascii="Times New Roman" w:cs="Times New Roman" w:eastAsia="Times New Roman" w:hAnsi="Times New Roman"/>
                <w:sz w:val="13"/>
                <w:szCs w:val="13"/>
                <w:color w:val="auto"/>
              </w:rPr>
              <w:t>(1)Financial Statements—Refer to Item 8 starting on page 59.</w:t>
            </w:r>
          </w:p>
        </w:tc>
      </w:tr>
      <w:tr>
        <w:trPr>
          <w:trHeight w:val="276"/>
        </w:trPr>
        <w:tc>
          <w:tcPr>
            <w:tcW w:w="340" w:type="dxa"/>
            <w:vAlign w:val="bottom"/>
          </w:tcPr>
          <w:p>
            <w:pPr>
              <w:spacing w:after="0"/>
              <w:rPr>
                <w:sz w:val="24"/>
                <w:szCs w:val="24"/>
                <w:color w:val="auto"/>
              </w:rPr>
            </w:pPr>
          </w:p>
        </w:tc>
        <w:tc>
          <w:tcPr>
            <w:tcW w:w="10220" w:type="dxa"/>
            <w:vAlign w:val="bottom"/>
            <w:gridSpan w:val="26"/>
          </w:tcPr>
          <w:p>
            <w:pPr>
              <w:ind w:left="200"/>
              <w:spacing w:after="0"/>
              <w:rPr>
                <w:sz w:val="20"/>
                <w:szCs w:val="20"/>
                <w:color w:val="auto"/>
              </w:rPr>
            </w:pPr>
            <w:r>
              <w:rPr>
                <w:rFonts w:ascii="Times New Roman" w:cs="Times New Roman" w:eastAsia="Times New Roman" w:hAnsi="Times New Roman"/>
                <w:sz w:val="13"/>
                <w:szCs w:val="13"/>
                <w:color w:val="auto"/>
              </w:rPr>
              <w:t>(2)Financial Statement Schedules—None.</w:t>
            </w:r>
          </w:p>
        </w:tc>
      </w:tr>
      <w:tr>
        <w:trPr>
          <w:trHeight w:val="276"/>
        </w:trPr>
        <w:tc>
          <w:tcPr>
            <w:tcW w:w="340" w:type="dxa"/>
            <w:vAlign w:val="bottom"/>
          </w:tcPr>
          <w:p>
            <w:pPr>
              <w:spacing w:after="0"/>
              <w:rPr>
                <w:sz w:val="24"/>
                <w:szCs w:val="24"/>
                <w:color w:val="auto"/>
              </w:rPr>
            </w:pPr>
          </w:p>
        </w:tc>
        <w:tc>
          <w:tcPr>
            <w:tcW w:w="10220" w:type="dxa"/>
            <w:vAlign w:val="bottom"/>
            <w:gridSpan w:val="26"/>
          </w:tcPr>
          <w:p>
            <w:pPr>
              <w:ind w:left="200"/>
              <w:spacing w:after="0"/>
              <w:rPr>
                <w:sz w:val="20"/>
                <w:szCs w:val="20"/>
                <w:color w:val="auto"/>
              </w:rPr>
            </w:pPr>
            <w:r>
              <w:rPr>
                <w:rFonts w:ascii="Times New Roman" w:cs="Times New Roman" w:eastAsia="Times New Roman" w:hAnsi="Times New Roman"/>
                <w:sz w:val="13"/>
                <w:szCs w:val="13"/>
                <w:color w:val="auto"/>
              </w:rPr>
              <w:t>(3)Exhibits</w:t>
            </w:r>
          </w:p>
        </w:tc>
      </w:tr>
      <w:tr>
        <w:trPr>
          <w:trHeight w:val="308"/>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3.1</w:t>
            </w:r>
          </w:p>
        </w:tc>
        <w:tc>
          <w:tcPr>
            <w:tcW w:w="560" w:type="dxa"/>
            <w:vAlign w:val="bottom"/>
          </w:tcPr>
          <w:p>
            <w:pPr>
              <w:spacing w:after="0"/>
              <w:rPr>
                <w:sz w:val="24"/>
                <w:szCs w:val="24"/>
                <w:color w:val="auto"/>
              </w:rPr>
            </w:pPr>
          </w:p>
        </w:tc>
        <w:tc>
          <w:tcPr>
            <w:tcW w:w="9660" w:type="dxa"/>
            <w:vAlign w:val="bottom"/>
            <w:gridSpan w:val="25"/>
          </w:tcPr>
          <w:p>
            <w:pPr>
              <w:spacing w:after="0"/>
              <w:rPr>
                <w:rFonts w:ascii="Times New Roman" w:cs="Times New Roman" w:eastAsia="Times New Roman" w:hAnsi="Times New Roman"/>
                <w:sz w:val="13"/>
                <w:szCs w:val="13"/>
                <w:color w:val="0000FF"/>
              </w:rPr>
            </w:pPr>
            <w:hyperlink r:id="rId129">
              <w:r>
                <w:rPr>
                  <w:rFonts w:ascii="Times New Roman" w:cs="Times New Roman" w:eastAsia="Times New Roman" w:hAnsi="Times New Roman"/>
                  <w:sz w:val="13"/>
                  <w:szCs w:val="13"/>
                  <w:color w:val="0000FF"/>
                </w:rPr>
                <w:t>Articles of Incorporation (Incorporated by reference to Exhibit 99(a) to the Registrant’s Pre-Effective Amendment No. 3 to the Registration Statement on Form N-2/A (File No. 333</w:t>
              </w:r>
            </w:hyperlink>
            <w:r>
              <w:rPr>
                <w:rFonts w:ascii="Times New Roman" w:cs="Times New Roman" w:eastAsia="Times New Roman" w:hAnsi="Times New Roman"/>
                <w:sz w:val="13"/>
                <w:szCs w:val="13"/>
                <w:color w:val="0000FF"/>
              </w:rPr>
              <w:t>-</w:t>
            </w:r>
          </w:p>
        </w:tc>
      </w:tr>
      <w:tr>
        <w:trPr>
          <w:trHeight w:val="136"/>
        </w:trPr>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00" w:type="dxa"/>
            <w:vAlign w:val="bottom"/>
            <w:tcBorders>
              <w:top w:val="single" w:sz="8" w:color="0000FF"/>
              <w:bottom w:val="single" w:sz="8" w:color="0000FF"/>
            </w:tcBorders>
            <w:gridSpan w:val="3"/>
          </w:tcPr>
          <w:p>
            <w:pPr>
              <w:spacing w:after="0" w:line="136" w:lineRule="exact"/>
              <w:rPr>
                <w:rFonts w:ascii="Times New Roman" w:cs="Times New Roman" w:eastAsia="Times New Roman" w:hAnsi="Times New Roman"/>
                <w:sz w:val="13"/>
                <w:szCs w:val="13"/>
                <w:color w:val="0000FF"/>
                <w:w w:val="98"/>
              </w:rPr>
            </w:pPr>
            <w:hyperlink r:id="rId129">
              <w:r>
                <w:rPr>
                  <w:rFonts w:ascii="Times New Roman" w:cs="Times New Roman" w:eastAsia="Times New Roman" w:hAnsi="Times New Roman"/>
                  <w:sz w:val="13"/>
                  <w:szCs w:val="13"/>
                  <w:color w:val="0000FF"/>
                  <w:w w:val="98"/>
                </w:rPr>
                <w:t>140092)</w:t>
              </w:r>
              <w:r>
                <w:rPr>
                  <w:rFonts w:ascii="Times New Roman" w:cs="Times New Roman" w:eastAsia="Times New Roman" w:hAnsi="Times New Roman"/>
                  <w:sz w:val="13"/>
                  <w:szCs w:val="13"/>
                  <w:u w:val="single" w:color="auto"/>
                  <w:color w:val="0000FF"/>
                  <w:w w:val="98"/>
                </w:rPr>
                <w:t>,</w:t>
              </w:r>
              <w:r>
                <w:rPr>
                  <w:rFonts w:ascii="Times New Roman" w:cs="Times New Roman" w:eastAsia="Times New Roman" w:hAnsi="Times New Roman"/>
                  <w:sz w:val="13"/>
                  <w:szCs w:val="13"/>
                  <w:color w:val="0000FF"/>
                  <w:w w:val="98"/>
                </w:rPr>
                <w:t xml:space="preserve"> filed on April 5, 2007).</w:t>
              </w:r>
            </w:hyperlink>
          </w:p>
        </w:tc>
        <w:tc>
          <w:tcPr>
            <w:tcW w:w="7840" w:type="dxa"/>
            <w:vAlign w:val="bottom"/>
            <w:tcBorders>
              <w:top w:val="single" w:sz="8" w:color="0000FF"/>
            </w:tcBorders>
            <w:gridSpan w:val="18"/>
          </w:tcPr>
          <w:p>
            <w:pPr>
              <w:spacing w:after="0"/>
              <w:rPr>
                <w:sz w:val="11"/>
                <w:szCs w:val="11"/>
                <w:color w:val="auto"/>
              </w:rPr>
            </w:pPr>
          </w:p>
        </w:tc>
        <w:tc>
          <w:tcPr>
            <w:tcW w:w="120" w:type="dxa"/>
            <w:vAlign w:val="bottom"/>
            <w:gridSpan w:val="4"/>
          </w:tcPr>
          <w:p>
            <w:pPr>
              <w:spacing w:after="0"/>
              <w:rPr>
                <w:sz w:val="11"/>
                <w:szCs w:val="11"/>
                <w:color w:val="auto"/>
              </w:rPr>
            </w:pPr>
          </w:p>
        </w:tc>
      </w:tr>
      <w:tr>
        <w:trPr>
          <w:trHeight w:val="256"/>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3.2</w:t>
            </w:r>
          </w:p>
        </w:tc>
        <w:tc>
          <w:tcPr>
            <w:tcW w:w="560" w:type="dxa"/>
            <w:vAlign w:val="bottom"/>
          </w:tcPr>
          <w:p>
            <w:pPr>
              <w:spacing w:after="0"/>
              <w:rPr>
                <w:sz w:val="22"/>
                <w:szCs w:val="22"/>
                <w:color w:val="auto"/>
              </w:rPr>
            </w:pPr>
          </w:p>
        </w:tc>
        <w:tc>
          <w:tcPr>
            <w:tcW w:w="9320" w:type="dxa"/>
            <w:vAlign w:val="bottom"/>
            <w:tcBorders>
              <w:bottom w:val="single" w:sz="8" w:color="0000FF"/>
            </w:tcBorders>
            <w:gridSpan w:val="18"/>
          </w:tcPr>
          <w:p>
            <w:pPr>
              <w:spacing w:after="0"/>
              <w:rPr>
                <w:rFonts w:ascii="Times New Roman" w:cs="Times New Roman" w:eastAsia="Times New Roman" w:hAnsi="Times New Roman"/>
                <w:sz w:val="13"/>
                <w:szCs w:val="13"/>
                <w:color w:val="0000FF"/>
              </w:rPr>
            </w:pPr>
            <w:hyperlink r:id="rId130">
              <w:r>
                <w:rPr>
                  <w:rFonts w:ascii="Times New Roman" w:cs="Times New Roman" w:eastAsia="Times New Roman" w:hAnsi="Times New Roman"/>
                  <w:sz w:val="13"/>
                  <w:szCs w:val="13"/>
                  <w:color w:val="0000FF"/>
                </w:rPr>
                <w:t>Articles of Amendment to Articles of Incorporation of the Registrant (Incorporated by reference to Exhibit 3.2 to the Registrant’s Quarterly Report on Form 10-Q (File No. 814-</w:t>
              </w:r>
            </w:hyperlink>
          </w:p>
        </w:tc>
        <w:tc>
          <w:tcPr>
            <w:tcW w:w="340" w:type="dxa"/>
            <w:vAlign w:val="bottom"/>
            <w:gridSpan w:val="7"/>
          </w:tcPr>
          <w:p>
            <w:pPr>
              <w:spacing w:after="0"/>
              <w:rPr>
                <w:sz w:val="22"/>
                <w:szCs w:val="22"/>
                <w:color w:val="auto"/>
              </w:rPr>
            </w:pPr>
          </w:p>
        </w:tc>
      </w:tr>
      <w:tr>
        <w:trPr>
          <w:trHeight w:val="136"/>
        </w:trPr>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40" w:type="dxa"/>
            <w:vAlign w:val="bottom"/>
            <w:tcBorders>
              <w:bottom w:val="single" w:sz="8" w:color="0000FF"/>
            </w:tcBorders>
            <w:gridSpan w:val="4"/>
          </w:tcPr>
          <w:p>
            <w:pPr>
              <w:spacing w:after="0" w:line="136" w:lineRule="exact"/>
              <w:rPr>
                <w:rFonts w:ascii="Times New Roman" w:cs="Times New Roman" w:eastAsia="Times New Roman" w:hAnsi="Times New Roman"/>
                <w:sz w:val="13"/>
                <w:szCs w:val="13"/>
                <w:color w:val="0000FF"/>
                <w:w w:val="98"/>
              </w:rPr>
            </w:pPr>
            <w:hyperlink r:id="rId130">
              <w:r>
                <w:rPr>
                  <w:rFonts w:ascii="Times New Roman" w:cs="Times New Roman" w:eastAsia="Times New Roman" w:hAnsi="Times New Roman"/>
                  <w:sz w:val="13"/>
                  <w:szCs w:val="13"/>
                  <w:color w:val="0000FF"/>
                  <w:w w:val="98"/>
                </w:rPr>
                <w:t>00736)</w:t>
              </w:r>
              <w:r>
                <w:rPr>
                  <w:rFonts w:ascii="Times New Roman" w:cs="Times New Roman" w:eastAsia="Times New Roman" w:hAnsi="Times New Roman"/>
                  <w:sz w:val="13"/>
                  <w:szCs w:val="13"/>
                  <w:u w:val="single" w:color="auto"/>
                  <w:color w:val="0000FF"/>
                  <w:w w:val="98"/>
                </w:rPr>
                <w:t>,</w:t>
              </w:r>
              <w:r>
                <w:rPr>
                  <w:rFonts w:ascii="Times New Roman" w:cs="Times New Roman" w:eastAsia="Times New Roman" w:hAnsi="Times New Roman"/>
                  <w:sz w:val="13"/>
                  <w:szCs w:val="13"/>
                  <w:color w:val="0000FF"/>
                  <w:w w:val="98"/>
                </w:rPr>
                <w:t xml:space="preserve"> filed on August 7, 2024).</w:t>
              </w:r>
            </w:hyperlink>
          </w:p>
        </w:tc>
        <w:tc>
          <w:tcPr>
            <w:tcW w:w="7920" w:type="dxa"/>
            <w:vAlign w:val="bottom"/>
            <w:gridSpan w:val="21"/>
          </w:tcPr>
          <w:p>
            <w:pPr>
              <w:spacing w:after="0"/>
              <w:rPr>
                <w:sz w:val="11"/>
                <w:szCs w:val="11"/>
                <w:color w:val="auto"/>
              </w:rPr>
            </w:pPr>
          </w:p>
        </w:tc>
      </w:tr>
      <w:tr>
        <w:trPr>
          <w:trHeight w:val="304"/>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3.3</w:t>
            </w:r>
          </w:p>
        </w:tc>
        <w:tc>
          <w:tcPr>
            <w:tcW w:w="560" w:type="dxa"/>
            <w:vAlign w:val="bottom"/>
          </w:tcPr>
          <w:p>
            <w:pPr>
              <w:spacing w:after="0"/>
              <w:rPr>
                <w:sz w:val="24"/>
                <w:szCs w:val="24"/>
                <w:color w:val="auto"/>
              </w:rPr>
            </w:pPr>
          </w:p>
        </w:tc>
        <w:tc>
          <w:tcPr>
            <w:tcW w:w="9540" w:type="dxa"/>
            <w:vAlign w:val="bottom"/>
            <w:tcBorders>
              <w:bottom w:val="single" w:sz="8" w:color="0000FF"/>
            </w:tcBorders>
            <w:gridSpan w:val="21"/>
          </w:tcPr>
          <w:p>
            <w:pPr>
              <w:spacing w:after="0"/>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Second Amended and Restated Bylaws of the Registrant (Incorporated by reference to Exhibit 3.2 to the Registrant’s Quarterly Report on Form 10-Q (File No. 814-00736), filed on</w:t>
              </w:r>
            </w:hyperlink>
          </w:p>
        </w:tc>
        <w:tc>
          <w:tcPr>
            <w:tcW w:w="120" w:type="dxa"/>
            <w:vAlign w:val="bottom"/>
            <w:gridSpan w:val="4"/>
          </w:tcPr>
          <w:p>
            <w:pPr>
              <w:spacing w:after="0"/>
              <w:rPr>
                <w:sz w:val="24"/>
                <w:szCs w:val="24"/>
                <w:color w:val="auto"/>
              </w:rPr>
            </w:pPr>
          </w:p>
        </w:tc>
      </w:tr>
      <w:tr>
        <w:trPr>
          <w:trHeight w:val="136"/>
        </w:trPr>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60" w:type="dxa"/>
            <w:vAlign w:val="bottom"/>
            <w:gridSpan w:val="25"/>
          </w:tcPr>
          <w:p>
            <w:pPr>
              <w:spacing w:after="0" w:line="136"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May 11, 2020).</w:t>
              </w:r>
            </w:hyperlink>
          </w:p>
        </w:tc>
      </w:tr>
      <w:tr>
        <w:trPr>
          <w:trHeight w:val="20"/>
        </w:trPr>
        <w:tc>
          <w:tcPr>
            <w:tcW w:w="34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0"/>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4.1</w:t>
            </w:r>
          </w:p>
        </w:tc>
        <w:tc>
          <w:tcPr>
            <w:tcW w:w="560" w:type="dxa"/>
            <w:vAlign w:val="bottom"/>
          </w:tcPr>
          <w:p>
            <w:pPr>
              <w:spacing w:after="0"/>
              <w:rPr>
                <w:sz w:val="24"/>
                <w:szCs w:val="24"/>
                <w:color w:val="auto"/>
              </w:rPr>
            </w:pPr>
          </w:p>
        </w:tc>
        <w:tc>
          <w:tcPr>
            <w:tcW w:w="9660" w:type="dxa"/>
            <w:vAlign w:val="bottom"/>
            <w:gridSpan w:val="25"/>
          </w:tcPr>
          <w:p>
            <w:pPr>
              <w:spacing w:after="0"/>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Form of Share Certificate (Incorporated by reference to Exhibit 99(d)(1) to the Registrant’s Registration Statement on Form N-2 (File No. 333-150033), filed on April 2, 2008)</w:t>
              </w:r>
            </w:hyperlink>
            <w:r>
              <w:rPr>
                <w:rFonts w:ascii="Times New Roman" w:cs="Times New Roman" w:eastAsia="Times New Roman" w:hAnsi="Times New Roman"/>
                <w:sz w:val="13"/>
                <w:szCs w:val="13"/>
                <w:color w:val="0000FF"/>
              </w:rPr>
              <w:t>.</w:t>
            </w:r>
          </w:p>
        </w:tc>
      </w:tr>
      <w:tr>
        <w:trPr>
          <w:trHeight w:val="20"/>
        </w:trPr>
        <w:tc>
          <w:tcPr>
            <w:tcW w:w="34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4.2</w:t>
            </w:r>
          </w:p>
        </w:tc>
        <w:tc>
          <w:tcPr>
            <w:tcW w:w="560" w:type="dxa"/>
            <w:vAlign w:val="bottom"/>
          </w:tcPr>
          <w:p>
            <w:pPr>
              <w:spacing w:after="0"/>
              <w:rPr>
                <w:sz w:val="22"/>
                <w:szCs w:val="22"/>
                <w:color w:val="auto"/>
              </w:rPr>
            </w:pPr>
          </w:p>
        </w:tc>
        <w:tc>
          <w:tcPr>
            <w:tcW w:w="9520" w:type="dxa"/>
            <w:vAlign w:val="bottom"/>
            <w:tcBorders>
              <w:bottom w:val="single" w:sz="8" w:color="0000FF"/>
            </w:tcBorders>
            <w:gridSpan w:val="20"/>
          </w:tcPr>
          <w:p>
            <w:pPr>
              <w:spacing w:after="0"/>
              <w:rPr>
                <w:rFonts w:ascii="Times New Roman" w:cs="Times New Roman" w:eastAsia="Times New Roman" w:hAnsi="Times New Roman"/>
                <w:sz w:val="13"/>
                <w:szCs w:val="13"/>
                <w:color w:val="0000FF"/>
              </w:rPr>
            </w:pPr>
            <w:hyperlink r:id="rId133">
              <w:r>
                <w:rPr>
                  <w:rFonts w:ascii="Times New Roman" w:cs="Times New Roman" w:eastAsia="Times New Roman" w:hAnsi="Times New Roman"/>
                  <w:sz w:val="13"/>
                  <w:szCs w:val="13"/>
                  <w:color w:val="0000FF"/>
                </w:rPr>
                <w:t>Base Indenture, dated as of January 22, 2013, relating to the 6.25% Senior Notes due 2025, between the Registrant and American Stock Transfer &amp; Trust Company, LLC, as trustee</w:t>
              </w:r>
            </w:hyperlink>
          </w:p>
        </w:tc>
        <w:tc>
          <w:tcPr>
            <w:tcW w:w="140" w:type="dxa"/>
            <w:vAlign w:val="bottom"/>
            <w:gridSpan w:val="5"/>
          </w:tcPr>
          <w:p>
            <w:pPr>
              <w:spacing w:after="0"/>
              <w:rPr>
                <w:sz w:val="22"/>
                <w:szCs w:val="22"/>
                <w:color w:val="auto"/>
              </w:rPr>
            </w:pPr>
          </w:p>
        </w:tc>
      </w:tr>
      <w:tr>
        <w:trPr>
          <w:trHeight w:val="136"/>
        </w:trPr>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300" w:type="dxa"/>
            <w:vAlign w:val="bottom"/>
            <w:tcBorders>
              <w:bottom w:val="single" w:sz="8" w:color="0000FF"/>
            </w:tcBorders>
            <w:gridSpan w:val="17"/>
          </w:tcPr>
          <w:p>
            <w:pPr>
              <w:spacing w:after="0" w:line="136" w:lineRule="exact"/>
              <w:rPr>
                <w:rFonts w:ascii="Times New Roman" w:cs="Times New Roman" w:eastAsia="Times New Roman" w:hAnsi="Times New Roman"/>
                <w:sz w:val="13"/>
                <w:szCs w:val="13"/>
                <w:color w:val="0000FF"/>
              </w:rPr>
            </w:pPr>
            <w:hyperlink r:id="rId133">
              <w:r>
                <w:rPr>
                  <w:rFonts w:ascii="Times New Roman" w:cs="Times New Roman" w:eastAsia="Times New Roman" w:hAnsi="Times New Roman"/>
                  <w:sz w:val="13"/>
                  <w:szCs w:val="13"/>
                  <w:color w:val="0000FF"/>
                </w:rPr>
                <w:t>(Incorporated by reference to Exhibit 99(d)(8) to the Registrant’s Post-Effective Amendment No.4 to the Registration Statement on Form N-2/A (File No.333-172524), filed on</w:t>
              </w:r>
            </w:hyperlink>
          </w:p>
        </w:tc>
        <w:tc>
          <w:tcPr>
            <w:tcW w:w="360" w:type="dxa"/>
            <w:vAlign w:val="bottom"/>
            <w:gridSpan w:val="8"/>
          </w:tcPr>
          <w:p>
            <w:pPr>
              <w:spacing w:after="0"/>
              <w:rPr>
                <w:sz w:val="11"/>
                <w:szCs w:val="11"/>
                <w:color w:val="auto"/>
              </w:rPr>
            </w:pPr>
          </w:p>
        </w:tc>
      </w:tr>
      <w:tr>
        <w:trPr>
          <w:trHeight w:val="136"/>
        </w:trPr>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Borders>
              <w:bottom w:val="single" w:sz="8" w:color="0000FF"/>
            </w:tcBorders>
            <w:gridSpan w:val="2"/>
          </w:tcPr>
          <w:p>
            <w:pPr>
              <w:spacing w:after="0" w:line="136" w:lineRule="exact"/>
              <w:rPr>
                <w:rFonts w:ascii="Times New Roman" w:cs="Times New Roman" w:eastAsia="Times New Roman" w:hAnsi="Times New Roman"/>
                <w:sz w:val="13"/>
                <w:szCs w:val="13"/>
                <w:color w:val="0000FF"/>
                <w:w w:val="97"/>
              </w:rPr>
            </w:pPr>
            <w:hyperlink r:id="rId133">
              <w:r>
                <w:rPr>
                  <w:rFonts w:ascii="Times New Roman" w:cs="Times New Roman" w:eastAsia="Times New Roman" w:hAnsi="Times New Roman"/>
                  <w:sz w:val="13"/>
                  <w:szCs w:val="13"/>
                  <w:color w:val="0000FF"/>
                  <w:w w:val="97"/>
                </w:rPr>
                <w:t>January 22, 2013).</w:t>
              </w:r>
            </w:hyperlink>
          </w:p>
        </w:tc>
        <w:tc>
          <w:tcPr>
            <w:tcW w:w="8700" w:type="dxa"/>
            <w:vAlign w:val="bottom"/>
            <w:gridSpan w:val="23"/>
          </w:tcPr>
          <w:p>
            <w:pPr>
              <w:spacing w:after="0"/>
              <w:rPr>
                <w:sz w:val="11"/>
                <w:szCs w:val="11"/>
                <w:color w:val="auto"/>
              </w:rPr>
            </w:pPr>
          </w:p>
        </w:tc>
      </w:tr>
      <w:tr>
        <w:trPr>
          <w:trHeight w:val="256"/>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4.3</w:t>
            </w:r>
          </w:p>
        </w:tc>
        <w:tc>
          <w:tcPr>
            <w:tcW w:w="560" w:type="dxa"/>
            <w:vAlign w:val="bottom"/>
          </w:tcPr>
          <w:p>
            <w:pPr>
              <w:spacing w:after="0"/>
              <w:rPr>
                <w:sz w:val="22"/>
                <w:szCs w:val="22"/>
                <w:color w:val="auto"/>
              </w:rPr>
            </w:pPr>
          </w:p>
        </w:tc>
        <w:tc>
          <w:tcPr>
            <w:tcW w:w="9640" w:type="dxa"/>
            <w:vAlign w:val="bottom"/>
            <w:tcBorders>
              <w:bottom w:val="single" w:sz="8" w:color="0000FF"/>
            </w:tcBorders>
            <w:gridSpan w:val="24"/>
          </w:tcPr>
          <w:p>
            <w:pPr>
              <w:spacing w:after="0"/>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Fourth Supplemental Indenture, dated as of April 21, 2021, by and between the Company and American Stock Transfer &amp; Trust Company, LLC, as trustee (Incorporated by reference</w:t>
              </w:r>
            </w:hyperlink>
          </w:p>
        </w:tc>
        <w:tc>
          <w:tcPr>
            <w:tcW w:w="20" w:type="dxa"/>
            <w:vAlign w:val="bottom"/>
          </w:tcPr>
          <w:p>
            <w:pPr>
              <w:spacing w:after="0"/>
              <w:rPr>
                <w:sz w:val="22"/>
                <w:szCs w:val="22"/>
                <w:color w:val="auto"/>
              </w:rPr>
            </w:pPr>
          </w:p>
        </w:tc>
      </w:tr>
      <w:tr>
        <w:trPr>
          <w:trHeight w:val="136"/>
        </w:trPr>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0" w:type="dxa"/>
            <w:vAlign w:val="bottom"/>
            <w:tcBorders>
              <w:bottom w:val="single" w:sz="8" w:color="0000FF"/>
            </w:tcBorders>
            <w:gridSpan w:val="6"/>
          </w:tcPr>
          <w:p>
            <w:pPr>
              <w:spacing w:after="0" w:line="136" w:lineRule="exact"/>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to Exhibit 4.1 to the Registrant’s Form 8-K (File No. 814-00736), filed April 22, 2021).</w:t>
              </w:r>
            </w:hyperlink>
          </w:p>
        </w:tc>
        <w:tc>
          <w:tcPr>
            <w:tcW w:w="5060" w:type="dxa"/>
            <w:vAlign w:val="bottom"/>
            <w:gridSpan w:val="19"/>
          </w:tcPr>
          <w:p>
            <w:pPr>
              <w:spacing w:after="0"/>
              <w:rPr>
                <w:sz w:val="11"/>
                <w:szCs w:val="11"/>
                <w:color w:val="auto"/>
              </w:rPr>
            </w:pPr>
          </w:p>
        </w:tc>
      </w:tr>
      <w:tr>
        <w:trPr>
          <w:trHeight w:val="256"/>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4.4</w:t>
            </w:r>
          </w:p>
        </w:tc>
        <w:tc>
          <w:tcPr>
            <w:tcW w:w="560" w:type="dxa"/>
            <w:vAlign w:val="bottom"/>
          </w:tcPr>
          <w:p>
            <w:pPr>
              <w:spacing w:after="0"/>
              <w:rPr>
                <w:sz w:val="22"/>
                <w:szCs w:val="22"/>
                <w:color w:val="auto"/>
              </w:rPr>
            </w:pPr>
          </w:p>
        </w:tc>
        <w:tc>
          <w:tcPr>
            <w:tcW w:w="3400" w:type="dxa"/>
            <w:vAlign w:val="bottom"/>
            <w:tcBorders>
              <w:bottom w:val="single" w:sz="8" w:color="0000FF"/>
            </w:tcBorders>
            <w:gridSpan w:val="5"/>
          </w:tcPr>
          <w:p>
            <w:pPr>
              <w:spacing w:after="0"/>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Form of 4.50% Notes due 2026 (included as part of Exhibit 4.3).</w:t>
              </w:r>
            </w:hyperlink>
          </w:p>
        </w:tc>
        <w:tc>
          <w:tcPr>
            <w:tcW w:w="6260" w:type="dxa"/>
            <w:vAlign w:val="bottom"/>
            <w:gridSpan w:val="20"/>
          </w:tcPr>
          <w:p>
            <w:pPr>
              <w:spacing w:after="0"/>
              <w:rPr>
                <w:sz w:val="22"/>
                <w:szCs w:val="22"/>
                <w:color w:val="auto"/>
              </w:rPr>
            </w:pPr>
          </w:p>
        </w:tc>
      </w:tr>
      <w:tr>
        <w:trPr>
          <w:trHeight w:val="256"/>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4.5</w:t>
            </w:r>
          </w:p>
        </w:tc>
        <w:tc>
          <w:tcPr>
            <w:tcW w:w="560" w:type="dxa"/>
            <w:vAlign w:val="bottom"/>
          </w:tcPr>
          <w:p>
            <w:pPr>
              <w:spacing w:after="0"/>
              <w:rPr>
                <w:sz w:val="22"/>
                <w:szCs w:val="22"/>
                <w:color w:val="auto"/>
              </w:rPr>
            </w:pPr>
          </w:p>
        </w:tc>
        <w:tc>
          <w:tcPr>
            <w:tcW w:w="9160" w:type="dxa"/>
            <w:vAlign w:val="bottom"/>
            <w:tcBorders>
              <w:bottom w:val="single" w:sz="8" w:color="0000FF"/>
            </w:tcBorders>
            <w:gridSpan w:val="13"/>
          </w:tcPr>
          <w:p>
            <w:pPr>
              <w:spacing w:after="0"/>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Fifth Supplemental Indenture, dated as of October 21, 2021, by and between the Company and American Stock Transfer &amp; Trust Company, LLC, as trustee (Incorporated by</w:t>
              </w:r>
            </w:hyperlink>
          </w:p>
        </w:tc>
        <w:tc>
          <w:tcPr>
            <w:tcW w:w="500" w:type="dxa"/>
            <w:vAlign w:val="bottom"/>
            <w:gridSpan w:val="12"/>
          </w:tcPr>
          <w:p>
            <w:pPr>
              <w:spacing w:after="0"/>
              <w:rPr>
                <w:sz w:val="22"/>
                <w:szCs w:val="22"/>
                <w:color w:val="auto"/>
              </w:rPr>
            </w:pPr>
          </w:p>
        </w:tc>
      </w:tr>
      <w:tr>
        <w:trPr>
          <w:trHeight w:val="136"/>
        </w:trPr>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40" w:type="dxa"/>
            <w:vAlign w:val="bottom"/>
            <w:tcBorders>
              <w:bottom w:val="single" w:sz="8" w:color="0000FF"/>
            </w:tcBorders>
            <w:gridSpan w:val="8"/>
          </w:tcPr>
          <w:p>
            <w:pPr>
              <w:spacing w:after="0" w:line="136" w:lineRule="exact"/>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reference to Exhibit 4.1 to the Registrant’s Form 8-K (File No. 814-00736), filed on October 21, 2021).</w:t>
              </w:r>
            </w:hyperlink>
          </w:p>
        </w:tc>
        <w:tc>
          <w:tcPr>
            <w:tcW w:w="4220" w:type="dxa"/>
            <w:vAlign w:val="bottom"/>
            <w:gridSpan w:val="17"/>
          </w:tcPr>
          <w:p>
            <w:pPr>
              <w:spacing w:after="0"/>
              <w:rPr>
                <w:sz w:val="11"/>
                <w:szCs w:val="11"/>
                <w:color w:val="auto"/>
              </w:rPr>
            </w:pPr>
          </w:p>
        </w:tc>
      </w:tr>
      <w:tr>
        <w:trPr>
          <w:trHeight w:val="256"/>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4.6</w:t>
            </w:r>
          </w:p>
        </w:tc>
        <w:tc>
          <w:tcPr>
            <w:tcW w:w="560" w:type="dxa"/>
            <w:vAlign w:val="bottom"/>
          </w:tcPr>
          <w:p>
            <w:pPr>
              <w:spacing w:after="0"/>
              <w:rPr>
                <w:sz w:val="22"/>
                <w:szCs w:val="22"/>
                <w:color w:val="auto"/>
              </w:rPr>
            </w:pPr>
          </w:p>
        </w:tc>
        <w:tc>
          <w:tcPr>
            <w:tcW w:w="3400" w:type="dxa"/>
            <w:vAlign w:val="bottom"/>
            <w:tcBorders>
              <w:bottom w:val="single" w:sz="8" w:color="0000FF"/>
            </w:tcBorders>
            <w:gridSpan w:val="5"/>
          </w:tcPr>
          <w:p>
            <w:pPr>
              <w:spacing w:after="0"/>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Form of 4.00% Notes due 2026 (included as part of Exhibit 4.5).</w:t>
              </w:r>
            </w:hyperlink>
          </w:p>
        </w:tc>
        <w:tc>
          <w:tcPr>
            <w:tcW w:w="6260" w:type="dxa"/>
            <w:vAlign w:val="bottom"/>
            <w:gridSpan w:val="20"/>
          </w:tcPr>
          <w:p>
            <w:pPr>
              <w:spacing w:after="0"/>
              <w:rPr>
                <w:sz w:val="22"/>
                <w:szCs w:val="22"/>
                <w:color w:val="auto"/>
              </w:rPr>
            </w:pPr>
          </w:p>
        </w:tc>
      </w:tr>
      <w:tr>
        <w:trPr>
          <w:trHeight w:val="256"/>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4.7</w:t>
            </w:r>
          </w:p>
        </w:tc>
        <w:tc>
          <w:tcPr>
            <w:tcW w:w="560" w:type="dxa"/>
            <w:vAlign w:val="bottom"/>
          </w:tcPr>
          <w:p>
            <w:pPr>
              <w:spacing w:after="0"/>
              <w:rPr>
                <w:sz w:val="22"/>
                <w:szCs w:val="22"/>
                <w:color w:val="auto"/>
              </w:rPr>
            </w:pPr>
          </w:p>
        </w:tc>
        <w:tc>
          <w:tcPr>
            <w:tcW w:w="9660" w:type="dxa"/>
            <w:vAlign w:val="bottom"/>
            <w:gridSpan w:val="25"/>
          </w:tcPr>
          <w:p>
            <w:pPr>
              <w:spacing w:after="0"/>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Description of Securities (Incorporated by reference to Exhibit 4.7 to the Registrant’s Form 10-K (File No. 814-00736), filed November 21, 2019)</w:t>
              </w:r>
            </w:hyperlink>
            <w:r>
              <w:rPr>
                <w:rFonts w:ascii="Times New Roman" w:cs="Times New Roman" w:eastAsia="Times New Roman" w:hAnsi="Times New Roman"/>
                <w:sz w:val="13"/>
                <w:szCs w:val="13"/>
                <w:color w:val="0000FF"/>
              </w:rPr>
              <w:t>.</w:t>
            </w:r>
          </w:p>
        </w:tc>
      </w:tr>
      <w:tr>
        <w:trPr>
          <w:trHeight w:val="20"/>
        </w:trPr>
        <w:tc>
          <w:tcPr>
            <w:tcW w:w="34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4880" w:type="dxa"/>
            <w:vAlign w:val="bottom"/>
            <w:gridSpan w:val="7"/>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56"/>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6"/>
              </w:rPr>
              <w:t>10.1</w:t>
            </w:r>
          </w:p>
        </w:tc>
        <w:tc>
          <w:tcPr>
            <w:tcW w:w="560" w:type="dxa"/>
            <w:vAlign w:val="bottom"/>
          </w:tcPr>
          <w:p>
            <w:pPr>
              <w:spacing w:after="0"/>
              <w:rPr>
                <w:sz w:val="22"/>
                <w:szCs w:val="22"/>
                <w:color w:val="auto"/>
              </w:rPr>
            </w:pPr>
          </w:p>
        </w:tc>
        <w:tc>
          <w:tcPr>
            <w:tcW w:w="9560" w:type="dxa"/>
            <w:vAlign w:val="bottom"/>
            <w:tcBorders>
              <w:bottom w:val="single" w:sz="8" w:color="0000FF"/>
            </w:tcBorders>
            <w:gridSpan w:val="22"/>
          </w:tcPr>
          <w:p>
            <w:pPr>
              <w:spacing w:after="0"/>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Amended and Restated Administration Agreement, dated as of May 20, 2024, between the Registrant and PennantPark Investment Administration, LLC (Incorporated by reference</w:t>
              </w:r>
            </w:hyperlink>
          </w:p>
        </w:tc>
        <w:tc>
          <w:tcPr>
            <w:tcW w:w="100" w:type="dxa"/>
            <w:vAlign w:val="bottom"/>
            <w:gridSpan w:val="3"/>
          </w:tcPr>
          <w:p>
            <w:pPr>
              <w:spacing w:after="0"/>
              <w:rPr>
                <w:sz w:val="22"/>
                <w:szCs w:val="22"/>
                <w:color w:val="auto"/>
              </w:rPr>
            </w:pPr>
          </w:p>
        </w:tc>
      </w:tr>
      <w:tr>
        <w:trPr>
          <w:trHeight w:val="136"/>
        </w:trPr>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40" w:type="dxa"/>
            <w:vAlign w:val="bottom"/>
            <w:tcBorders>
              <w:bottom w:val="single" w:sz="8" w:color="0000FF"/>
            </w:tcBorders>
            <w:gridSpan w:val="9"/>
          </w:tcPr>
          <w:p>
            <w:pPr>
              <w:spacing w:after="0" w:line="136"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to Exhibit 10.2 to the Registrant’s Quarterly Report on Form 10-Q (File No. 814-00736), filed on August 7, 2024).</w:t>
              </w:r>
            </w:hyperlink>
          </w:p>
        </w:tc>
        <w:tc>
          <w:tcPr>
            <w:tcW w:w="3620" w:type="dxa"/>
            <w:vAlign w:val="bottom"/>
            <w:gridSpan w:val="16"/>
          </w:tcPr>
          <w:p>
            <w:pPr>
              <w:spacing w:after="0"/>
              <w:rPr>
                <w:sz w:val="11"/>
                <w:szCs w:val="11"/>
                <w:color w:val="auto"/>
              </w:rPr>
            </w:pPr>
          </w:p>
        </w:tc>
      </w:tr>
      <w:tr>
        <w:trPr>
          <w:trHeight w:val="256"/>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6"/>
              </w:rPr>
              <w:t>10.2</w:t>
            </w:r>
          </w:p>
        </w:tc>
        <w:tc>
          <w:tcPr>
            <w:tcW w:w="560" w:type="dxa"/>
            <w:vAlign w:val="bottom"/>
          </w:tcPr>
          <w:p>
            <w:pPr>
              <w:spacing w:after="0"/>
              <w:rPr>
                <w:sz w:val="22"/>
                <w:szCs w:val="22"/>
                <w:color w:val="auto"/>
              </w:rPr>
            </w:pPr>
          </w:p>
        </w:tc>
        <w:tc>
          <w:tcPr>
            <w:tcW w:w="9280" w:type="dxa"/>
            <w:vAlign w:val="bottom"/>
            <w:tcBorders>
              <w:bottom w:val="single" w:sz="8" w:color="0000FF"/>
            </w:tcBorders>
            <w:gridSpan w:val="16"/>
          </w:tcPr>
          <w:p>
            <w:pPr>
              <w:spacing w:after="0"/>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Dividend Reinvestment Plan (Incorporated by reference to Exhibit 99(e) to the Registrant’s Registration Statement on Form N-2 (File No. 333-150033), filed on April 2, 2008).</w:t>
              </w:r>
            </w:hyperlink>
          </w:p>
        </w:tc>
        <w:tc>
          <w:tcPr>
            <w:tcW w:w="380" w:type="dxa"/>
            <w:vAlign w:val="bottom"/>
            <w:gridSpan w:val="9"/>
          </w:tcPr>
          <w:p>
            <w:pPr>
              <w:spacing w:after="0"/>
              <w:rPr>
                <w:sz w:val="22"/>
                <w:szCs w:val="22"/>
                <w:color w:val="auto"/>
              </w:rPr>
            </w:pPr>
          </w:p>
        </w:tc>
      </w:tr>
      <w:tr>
        <w:trPr>
          <w:trHeight w:val="256"/>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6"/>
              </w:rPr>
              <w:t>10.3</w:t>
            </w:r>
          </w:p>
        </w:tc>
        <w:tc>
          <w:tcPr>
            <w:tcW w:w="560" w:type="dxa"/>
            <w:vAlign w:val="bottom"/>
          </w:tcPr>
          <w:p>
            <w:pPr>
              <w:spacing w:after="0"/>
              <w:rPr>
                <w:sz w:val="22"/>
                <w:szCs w:val="22"/>
                <w:color w:val="auto"/>
              </w:rPr>
            </w:pPr>
          </w:p>
        </w:tc>
        <w:tc>
          <w:tcPr>
            <w:tcW w:w="9480" w:type="dxa"/>
            <w:vAlign w:val="bottom"/>
            <w:tcBorders>
              <w:bottom w:val="single" w:sz="8" w:color="0000FF"/>
            </w:tcBorders>
            <w:gridSpan w:val="19"/>
          </w:tcPr>
          <w:p>
            <w:pPr>
              <w:spacing w:after="0"/>
              <w:rPr>
                <w:rFonts w:ascii="Times New Roman" w:cs="Times New Roman" w:eastAsia="Times New Roman" w:hAnsi="Times New Roman"/>
                <w:sz w:val="13"/>
                <w:szCs w:val="13"/>
                <w:color w:val="0000FF"/>
              </w:rPr>
            </w:pPr>
            <w:hyperlink r:id="rId139">
              <w:r>
                <w:rPr>
                  <w:rFonts w:ascii="Times New Roman" w:cs="Times New Roman" w:eastAsia="Times New Roman" w:hAnsi="Times New Roman"/>
                  <w:sz w:val="13"/>
                  <w:szCs w:val="13"/>
                  <w:color w:val="0000FF"/>
                </w:rPr>
                <w:t>First Omnibus Amendment to Second Amended and Restated Senior Secured Revolving Credit Agreement and Second Amended and Restated Guarantee and Security Agreement,</w:t>
              </w:r>
            </w:hyperlink>
          </w:p>
        </w:tc>
        <w:tc>
          <w:tcPr>
            <w:tcW w:w="180" w:type="dxa"/>
            <w:vAlign w:val="bottom"/>
            <w:gridSpan w:val="6"/>
          </w:tcPr>
          <w:p>
            <w:pPr>
              <w:spacing w:after="0"/>
              <w:rPr>
                <w:sz w:val="22"/>
                <w:szCs w:val="22"/>
                <w:color w:val="auto"/>
              </w:rPr>
            </w:pPr>
          </w:p>
        </w:tc>
      </w:tr>
      <w:tr>
        <w:trPr>
          <w:trHeight w:val="136"/>
        </w:trPr>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0" w:type="dxa"/>
            <w:vAlign w:val="bottom"/>
            <w:tcBorders>
              <w:bottom w:val="single" w:sz="8" w:color="0000FF"/>
            </w:tcBorders>
            <w:gridSpan w:val="23"/>
          </w:tcPr>
          <w:p>
            <w:pPr>
              <w:spacing w:after="0" w:line="136" w:lineRule="exact"/>
              <w:rPr>
                <w:rFonts w:ascii="Times New Roman" w:cs="Times New Roman" w:eastAsia="Times New Roman" w:hAnsi="Times New Roman"/>
                <w:sz w:val="13"/>
                <w:szCs w:val="13"/>
                <w:color w:val="0000FF"/>
              </w:rPr>
            </w:pPr>
            <w:hyperlink r:id="rId139">
              <w:r>
                <w:rPr>
                  <w:rFonts w:ascii="Times New Roman" w:cs="Times New Roman" w:eastAsia="Times New Roman" w:hAnsi="Times New Roman"/>
                  <w:sz w:val="13"/>
                  <w:szCs w:val="13"/>
                  <w:color w:val="0000FF"/>
                </w:rPr>
                <w:t>dated as of May 25, 2017, among the Registrant, the lenders party thereto and SunTrust Bank, as administrative agent for the lenders (Incorporated by reference to Exhibit 10.1 to the</w:t>
              </w:r>
            </w:hyperlink>
          </w:p>
        </w:tc>
        <w:tc>
          <w:tcPr>
            <w:tcW w:w="60" w:type="dxa"/>
            <w:vAlign w:val="bottom"/>
            <w:gridSpan w:val="2"/>
          </w:tcPr>
          <w:p>
            <w:pPr>
              <w:spacing w:after="0"/>
              <w:rPr>
                <w:sz w:val="11"/>
                <w:szCs w:val="11"/>
                <w:color w:val="auto"/>
              </w:rPr>
            </w:pPr>
          </w:p>
        </w:tc>
      </w:tr>
      <w:tr>
        <w:trPr>
          <w:trHeight w:val="136"/>
        </w:trPr>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80" w:type="dxa"/>
            <w:vAlign w:val="bottom"/>
            <w:tcBorders>
              <w:bottom w:val="single" w:sz="8" w:color="0000FF"/>
            </w:tcBorders>
            <w:gridSpan w:val="7"/>
          </w:tcPr>
          <w:p>
            <w:pPr>
              <w:spacing w:after="0" w:line="136" w:lineRule="exact"/>
              <w:rPr>
                <w:rFonts w:ascii="Times New Roman" w:cs="Times New Roman" w:eastAsia="Times New Roman" w:hAnsi="Times New Roman"/>
                <w:sz w:val="13"/>
                <w:szCs w:val="13"/>
                <w:color w:val="0000FF"/>
              </w:rPr>
            </w:pPr>
            <w:hyperlink r:id="rId139">
              <w:r>
                <w:rPr>
                  <w:rFonts w:ascii="Times New Roman" w:cs="Times New Roman" w:eastAsia="Times New Roman" w:hAnsi="Times New Roman"/>
                  <w:sz w:val="13"/>
                  <w:szCs w:val="13"/>
                  <w:color w:val="0000FF"/>
                </w:rPr>
                <w:t>Registrant’s Quarterly Report on Form 10-Q (File No. 814-00736), filed on August 7, 2017).</w:t>
              </w:r>
            </w:hyperlink>
          </w:p>
        </w:tc>
        <w:tc>
          <w:tcPr>
            <w:tcW w:w="4780" w:type="dxa"/>
            <w:vAlign w:val="bottom"/>
            <w:gridSpan w:val="18"/>
          </w:tcPr>
          <w:p>
            <w:pPr>
              <w:spacing w:after="0"/>
              <w:rPr>
                <w:sz w:val="11"/>
                <w:szCs w:val="11"/>
                <w:color w:val="auto"/>
              </w:rPr>
            </w:pPr>
          </w:p>
        </w:tc>
      </w:tr>
      <w:tr>
        <w:trPr>
          <w:trHeight w:val="256"/>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6"/>
              </w:rPr>
              <w:t>10.4</w:t>
            </w:r>
          </w:p>
        </w:tc>
        <w:tc>
          <w:tcPr>
            <w:tcW w:w="560" w:type="dxa"/>
            <w:vAlign w:val="bottom"/>
          </w:tcPr>
          <w:p>
            <w:pPr>
              <w:spacing w:after="0"/>
              <w:rPr>
                <w:sz w:val="22"/>
                <w:szCs w:val="22"/>
                <w:color w:val="auto"/>
              </w:rPr>
            </w:pPr>
          </w:p>
        </w:tc>
        <w:tc>
          <w:tcPr>
            <w:tcW w:w="9660" w:type="dxa"/>
            <w:vAlign w:val="bottom"/>
            <w:tcBorders>
              <w:bottom w:val="single" w:sz="8" w:color="0000FF"/>
            </w:tcBorders>
            <w:gridSpan w:val="25"/>
          </w:tcPr>
          <w:p>
            <w:pPr>
              <w:spacing w:after="0"/>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Indemnification Agreement, dated as of November 15, 2016, between PennantPark Investment Corporation and each of the directors and officers listed on Schedule A attached thereto</w:t>
              </w:r>
            </w:hyperlink>
          </w:p>
        </w:tc>
      </w:tr>
      <w:tr>
        <w:trPr>
          <w:trHeight w:val="136"/>
        </w:trPr>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560" w:type="dxa"/>
            <w:vAlign w:val="bottom"/>
            <w:tcBorders>
              <w:bottom w:val="single" w:sz="8" w:color="0000FF"/>
            </w:tcBorders>
            <w:gridSpan w:val="11"/>
          </w:tcPr>
          <w:p>
            <w:pPr>
              <w:spacing w:after="0" w:line="136"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(Incorporated by reference to Exhibit 10.5 to the Registrant’s Annual Report on Form 10-K (File No. 814-00736) filed on November 21, 2016).</w:t>
              </w:r>
            </w:hyperlink>
          </w:p>
        </w:tc>
        <w:tc>
          <w:tcPr>
            <w:tcW w:w="2100" w:type="dxa"/>
            <w:vAlign w:val="bottom"/>
            <w:gridSpan w:val="14"/>
          </w:tcPr>
          <w:p>
            <w:pPr>
              <w:spacing w:after="0"/>
              <w:rPr>
                <w:sz w:val="11"/>
                <w:szCs w:val="11"/>
                <w:color w:val="auto"/>
              </w:rPr>
            </w:pPr>
          </w:p>
        </w:tc>
      </w:tr>
      <w:tr>
        <w:trPr>
          <w:trHeight w:val="340"/>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6"/>
              </w:rPr>
              <w:t>10.5</w:t>
            </w:r>
          </w:p>
        </w:tc>
        <w:tc>
          <w:tcPr>
            <w:tcW w:w="560" w:type="dxa"/>
            <w:vAlign w:val="bottom"/>
          </w:tcPr>
          <w:p>
            <w:pPr>
              <w:spacing w:after="0"/>
              <w:rPr>
                <w:sz w:val="24"/>
                <w:szCs w:val="24"/>
                <w:color w:val="auto"/>
              </w:rPr>
            </w:pPr>
          </w:p>
        </w:tc>
        <w:tc>
          <w:tcPr>
            <w:tcW w:w="9180" w:type="dxa"/>
            <w:vAlign w:val="bottom"/>
            <w:tcBorders>
              <w:bottom w:val="single" w:sz="8" w:color="0000FF"/>
            </w:tcBorders>
            <w:gridSpan w:val="14"/>
          </w:tcPr>
          <w:p>
            <w:pPr>
              <w:spacing w:after="0"/>
              <w:rPr>
                <w:rFonts w:ascii="Times New Roman" w:cs="Times New Roman" w:eastAsia="Times New Roman" w:hAnsi="Times New Roman"/>
                <w:sz w:val="13"/>
                <w:szCs w:val="13"/>
                <w:color w:val="0000FF"/>
              </w:rPr>
            </w:pPr>
            <w:hyperlink r:id="rId141">
              <w:r>
                <w:rPr>
                  <w:rFonts w:ascii="Times New Roman" w:cs="Times New Roman" w:eastAsia="Times New Roman" w:hAnsi="Times New Roman"/>
                  <w:sz w:val="13"/>
                  <w:szCs w:val="13"/>
                  <w:color w:val="0000FF"/>
                </w:rPr>
                <w:t>Fourth Amended and Restated Investment Advisory Management Agreement, dated as of May 20, 2024, between the Registrant and PennantPark Investment Advisers, LLC</w:t>
              </w:r>
            </w:hyperlink>
          </w:p>
        </w:tc>
        <w:tc>
          <w:tcPr>
            <w:tcW w:w="480" w:type="dxa"/>
            <w:vAlign w:val="bottom"/>
            <w:gridSpan w:val="11"/>
          </w:tcPr>
          <w:p>
            <w:pPr>
              <w:spacing w:after="0"/>
              <w:rPr>
                <w:sz w:val="24"/>
                <w:szCs w:val="24"/>
                <w:color w:val="auto"/>
              </w:rPr>
            </w:pPr>
          </w:p>
        </w:tc>
      </w:tr>
      <w:tr>
        <w:trPr>
          <w:trHeight w:val="136"/>
        </w:trPr>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60" w:type="dxa"/>
            <w:vAlign w:val="bottom"/>
            <w:gridSpan w:val="25"/>
          </w:tcPr>
          <w:p>
            <w:pPr>
              <w:spacing w:after="0" w:line="136" w:lineRule="exact"/>
              <w:rPr>
                <w:rFonts w:ascii="Times New Roman" w:cs="Times New Roman" w:eastAsia="Times New Roman" w:hAnsi="Times New Roman"/>
                <w:sz w:val="13"/>
                <w:szCs w:val="13"/>
                <w:color w:val="0000FF"/>
              </w:rPr>
            </w:pPr>
            <w:hyperlink r:id="rId141">
              <w:r>
                <w:rPr>
                  <w:rFonts w:ascii="Times New Roman" w:cs="Times New Roman" w:eastAsia="Times New Roman" w:hAnsi="Times New Roman"/>
                  <w:sz w:val="13"/>
                  <w:szCs w:val="13"/>
                  <w:color w:val="0000FF"/>
                </w:rPr>
                <w:t>(Incorporated by reference to Exhibit 10.1 to the Registrant’s Quarterly Report on Form 10-Q (File No. 814-00736) filed on August 7, 2024).</w:t>
              </w:r>
            </w:hyperlink>
          </w:p>
        </w:tc>
      </w:tr>
      <w:tr>
        <w:trPr>
          <w:trHeight w:val="512"/>
        </w:trPr>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0" w:type="dxa"/>
            <w:vAlign w:val="bottom"/>
            <w:tcBorders>
              <w:top w:val="single" w:sz="8" w:color="0000FF"/>
            </w:tcBorders>
            <w:gridSpan w:val="6"/>
          </w:tcPr>
          <w:p>
            <w:pPr>
              <w:jc w:val="right"/>
              <w:ind w:right="120"/>
              <w:spacing w:after="0"/>
              <w:rPr>
                <w:sz w:val="20"/>
                <w:szCs w:val="20"/>
                <w:color w:val="auto"/>
              </w:rPr>
            </w:pPr>
            <w:r>
              <w:rPr>
                <w:rFonts w:ascii="Times New Roman" w:cs="Times New Roman" w:eastAsia="Times New Roman" w:hAnsi="Times New Roman"/>
                <w:sz w:val="13"/>
                <w:szCs w:val="13"/>
                <w:color w:val="auto"/>
              </w:rPr>
              <w:t>107</w:t>
            </w:r>
          </w:p>
        </w:tc>
        <w:tc>
          <w:tcPr>
            <w:tcW w:w="2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4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0"/>
        </w:trPr>
        <w:tc>
          <w:tcPr>
            <w:tcW w:w="34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78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660" w:type="dxa"/>
            <w:vAlign w:val="bottom"/>
            <w:tcBorders>
              <w:bottom w:val="single" w:sz="8" w:color="EEEEEE"/>
            </w:tcBorders>
          </w:tcPr>
          <w:p>
            <w:pPr>
              <w:spacing w:after="0"/>
              <w:rPr>
                <w:sz w:val="24"/>
                <w:szCs w:val="24"/>
                <w:color w:val="auto"/>
              </w:rPr>
            </w:pPr>
          </w:p>
        </w:tc>
        <w:tc>
          <w:tcPr>
            <w:tcW w:w="120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c>
          <w:tcPr>
            <w:tcW w:w="14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4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1673225</wp:posOffset>
            </wp:positionH>
            <wp:positionV relativeFrom="paragraph">
              <wp:posOffset>-4145915</wp:posOffset>
            </wp:positionV>
            <wp:extent cx="2286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22860" cy="762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107" w:name="page108"/>
    <w:bookmarkEnd w:id="107"/>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10.6</w:t>
            </w:r>
          </w:p>
        </w:tc>
        <w:tc>
          <w:tcPr>
            <w:tcW w:w="9140" w:type="dxa"/>
            <w:vAlign w:val="bottom"/>
            <w:tcBorders>
              <w:bottom w:val="single" w:sz="8" w:color="0000FF"/>
            </w:tcBorders>
            <w:gridSpan w:val="18"/>
          </w:tcPr>
          <w:p>
            <w:pPr>
              <w:spacing w:after="0"/>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Second Amendment to Second Amended and Restated Senior Secured Revolving Credit Agreement, dated as of September 4, 2019, by and among PennantPark Investment</w:t>
              </w:r>
            </w:hyperlink>
          </w:p>
        </w:tc>
        <w:tc>
          <w:tcPr>
            <w:tcW w:w="540" w:type="dxa"/>
            <w:vAlign w:val="bottom"/>
            <w:gridSpan w:val="16"/>
          </w:tcPr>
          <w:p>
            <w:pPr>
              <w:spacing w:after="0"/>
              <w:rPr>
                <w:sz w:val="12"/>
                <w:szCs w:val="12"/>
                <w:color w:val="auto"/>
              </w:rPr>
            </w:pPr>
          </w:p>
        </w:tc>
      </w:tr>
      <w:tr>
        <w:trPr>
          <w:trHeight w:val="136"/>
        </w:trPr>
        <w:tc>
          <w:tcPr>
            <w:tcW w:w="880" w:type="dxa"/>
            <w:vAlign w:val="bottom"/>
          </w:tcPr>
          <w:p>
            <w:pPr>
              <w:spacing w:after="0"/>
              <w:rPr>
                <w:sz w:val="11"/>
                <w:szCs w:val="11"/>
                <w:color w:val="auto"/>
              </w:rPr>
            </w:pPr>
          </w:p>
        </w:tc>
        <w:tc>
          <w:tcPr>
            <w:tcW w:w="9440" w:type="dxa"/>
            <w:vAlign w:val="bottom"/>
            <w:tcBorders>
              <w:bottom w:val="single" w:sz="8" w:color="0000FF"/>
            </w:tcBorders>
            <w:gridSpan w:val="24"/>
          </w:tcPr>
          <w:p>
            <w:pPr>
              <w:spacing w:after="0" w:line="136" w:lineRule="exact"/>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Corporation, as borrower, the lenders party thereto, SunTrust Bank, as administrative agent and collateral agent, and solely with respect to Section 4.9, PNNT CI (GALLS) Prime</w:t>
              </w:r>
            </w:hyperlink>
          </w:p>
        </w:tc>
        <w:tc>
          <w:tcPr>
            <w:tcW w:w="240" w:type="dxa"/>
            <w:vAlign w:val="bottom"/>
            <w:gridSpan w:val="10"/>
          </w:tcPr>
          <w:p>
            <w:pPr>
              <w:spacing w:after="0"/>
              <w:rPr>
                <w:sz w:val="11"/>
                <w:szCs w:val="11"/>
                <w:color w:val="auto"/>
              </w:rPr>
            </w:pPr>
          </w:p>
        </w:tc>
      </w:tr>
      <w:tr>
        <w:trPr>
          <w:trHeight w:val="136"/>
        </w:trPr>
        <w:tc>
          <w:tcPr>
            <w:tcW w:w="880" w:type="dxa"/>
            <w:vAlign w:val="bottom"/>
          </w:tcPr>
          <w:p>
            <w:pPr>
              <w:spacing w:after="0"/>
              <w:rPr>
                <w:sz w:val="11"/>
                <w:szCs w:val="11"/>
                <w:color w:val="auto"/>
              </w:rPr>
            </w:pPr>
          </w:p>
        </w:tc>
        <w:tc>
          <w:tcPr>
            <w:tcW w:w="9140" w:type="dxa"/>
            <w:vAlign w:val="bottom"/>
            <w:tcBorders>
              <w:bottom w:val="single" w:sz="8" w:color="0000FF"/>
            </w:tcBorders>
            <w:gridSpan w:val="18"/>
          </w:tcPr>
          <w:p>
            <w:pPr>
              <w:spacing w:after="0" w:line="136" w:lineRule="exact"/>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Investment Holdings, LLC, PNNT Investment Holdings, LLC, PNNT New Gulf Resources, LLC, PNNT ecoserve, LLC and PNNT Cascade Environmental Holdings, LLC</w:t>
              </w:r>
            </w:hyperlink>
          </w:p>
        </w:tc>
        <w:tc>
          <w:tcPr>
            <w:tcW w:w="540" w:type="dxa"/>
            <w:vAlign w:val="bottom"/>
            <w:gridSpan w:val="16"/>
          </w:tcPr>
          <w:p>
            <w:pPr>
              <w:spacing w:after="0"/>
              <w:rPr>
                <w:sz w:val="11"/>
                <w:szCs w:val="11"/>
                <w:color w:val="auto"/>
              </w:rPr>
            </w:pPr>
          </w:p>
        </w:tc>
      </w:tr>
      <w:tr>
        <w:trPr>
          <w:trHeight w:val="136"/>
        </w:trPr>
        <w:tc>
          <w:tcPr>
            <w:tcW w:w="880" w:type="dxa"/>
            <w:vAlign w:val="bottom"/>
          </w:tcPr>
          <w:p>
            <w:pPr>
              <w:spacing w:after="0"/>
              <w:rPr>
                <w:sz w:val="11"/>
                <w:szCs w:val="11"/>
                <w:color w:val="auto"/>
              </w:rPr>
            </w:pPr>
          </w:p>
        </w:tc>
        <w:tc>
          <w:tcPr>
            <w:tcW w:w="7540" w:type="dxa"/>
            <w:vAlign w:val="bottom"/>
            <w:tcBorders>
              <w:bottom w:val="single" w:sz="8" w:color="0000FF"/>
            </w:tcBorders>
            <w:gridSpan w:val="13"/>
          </w:tcPr>
          <w:p>
            <w:pPr>
              <w:spacing w:after="0" w:line="136" w:lineRule="exact"/>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(Incorporated by reference to Exhibit 10.1 to the Registrant’s Current Report on Form 8-K (File No. 814-00736), filed on September 4, 2019).</w:t>
              </w:r>
            </w:hyperlink>
          </w:p>
        </w:tc>
        <w:tc>
          <w:tcPr>
            <w:tcW w:w="2140" w:type="dxa"/>
            <w:vAlign w:val="bottom"/>
            <w:gridSpan w:val="21"/>
          </w:tcPr>
          <w:p>
            <w:pPr>
              <w:spacing w:after="0"/>
              <w:rPr>
                <w:sz w:val="11"/>
                <w:szCs w:val="11"/>
                <w:color w:val="auto"/>
              </w:rPr>
            </w:pPr>
          </w:p>
        </w:tc>
      </w:tr>
      <w:tr>
        <w:trPr>
          <w:trHeight w:val="256"/>
        </w:trPr>
        <w:tc>
          <w:tcPr>
            <w:tcW w:w="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10.7</w:t>
            </w:r>
          </w:p>
        </w:tc>
        <w:tc>
          <w:tcPr>
            <w:tcW w:w="9060" w:type="dxa"/>
            <w:vAlign w:val="bottom"/>
            <w:tcBorders>
              <w:bottom w:val="single" w:sz="8" w:color="0000FF"/>
            </w:tcBorders>
            <w:gridSpan w:val="17"/>
          </w:tcPr>
          <w:p>
            <w:pPr>
              <w:spacing w:after="0"/>
              <w:rPr>
                <w:rFonts w:ascii="Times New Roman" w:cs="Times New Roman" w:eastAsia="Times New Roman" w:hAnsi="Times New Roman"/>
                <w:sz w:val="13"/>
                <w:szCs w:val="13"/>
                <w:color w:val="0000FF"/>
              </w:rPr>
            </w:pPr>
            <w:hyperlink r:id="rId145">
              <w:r>
                <w:rPr>
                  <w:rFonts w:ascii="Times New Roman" w:cs="Times New Roman" w:eastAsia="Times New Roman" w:hAnsi="Times New Roman"/>
                  <w:sz w:val="13"/>
                  <w:szCs w:val="13"/>
                  <w:color w:val="0000FF"/>
                </w:rPr>
                <w:t>Amended and Restated Limited Liability Company Agreement of PennantPark Senior Loan Fund, LLC, dated as of July 31, 2020, by and among PennantPark Investment</w:t>
              </w:r>
            </w:hyperlink>
          </w:p>
        </w:tc>
        <w:tc>
          <w:tcPr>
            <w:tcW w:w="620" w:type="dxa"/>
            <w:vAlign w:val="bottom"/>
            <w:gridSpan w:val="17"/>
          </w:tcPr>
          <w:p>
            <w:pPr>
              <w:spacing w:after="0"/>
              <w:rPr>
                <w:sz w:val="22"/>
                <w:szCs w:val="22"/>
                <w:color w:val="auto"/>
              </w:rPr>
            </w:pPr>
          </w:p>
        </w:tc>
      </w:tr>
      <w:tr>
        <w:trPr>
          <w:trHeight w:val="136"/>
        </w:trPr>
        <w:tc>
          <w:tcPr>
            <w:tcW w:w="880" w:type="dxa"/>
            <w:vAlign w:val="bottom"/>
          </w:tcPr>
          <w:p>
            <w:pPr>
              <w:spacing w:after="0"/>
              <w:rPr>
                <w:sz w:val="11"/>
                <w:szCs w:val="11"/>
                <w:color w:val="auto"/>
              </w:rPr>
            </w:pPr>
          </w:p>
        </w:tc>
        <w:tc>
          <w:tcPr>
            <w:tcW w:w="9620" w:type="dxa"/>
            <w:vAlign w:val="bottom"/>
            <w:tcBorders>
              <w:bottom w:val="single" w:sz="8" w:color="0000FF"/>
            </w:tcBorders>
            <w:gridSpan w:val="31"/>
          </w:tcPr>
          <w:p>
            <w:pPr>
              <w:spacing w:after="0" w:line="136" w:lineRule="exact"/>
              <w:rPr>
                <w:rFonts w:ascii="Times New Roman" w:cs="Times New Roman" w:eastAsia="Times New Roman" w:hAnsi="Times New Roman"/>
                <w:sz w:val="13"/>
                <w:szCs w:val="13"/>
                <w:color w:val="0000FF"/>
              </w:rPr>
            </w:pPr>
            <w:hyperlink r:id="rId145">
              <w:r>
                <w:rPr>
                  <w:rFonts w:ascii="Times New Roman" w:cs="Times New Roman" w:eastAsia="Times New Roman" w:hAnsi="Times New Roman"/>
                  <w:sz w:val="13"/>
                  <w:szCs w:val="13"/>
                  <w:color w:val="0000FF"/>
                </w:rPr>
                <w:t>Corporation, Pantheon Private Debt Program SCSp SICAV – RAIF In Respect Of Its Compartment Pantheon Senior Debt Secondaries II (USD) and Solutio Premium Private Debt I</w:t>
              </w:r>
            </w:hyperlink>
          </w:p>
        </w:tc>
        <w:tc>
          <w:tcPr>
            <w:tcW w:w="60" w:type="dxa"/>
            <w:vAlign w:val="bottom"/>
            <w:gridSpan w:val="3"/>
          </w:tcPr>
          <w:p>
            <w:pPr>
              <w:spacing w:after="0"/>
              <w:rPr>
                <w:sz w:val="11"/>
                <w:szCs w:val="11"/>
                <w:color w:val="auto"/>
              </w:rPr>
            </w:pPr>
          </w:p>
        </w:tc>
      </w:tr>
      <w:tr>
        <w:trPr>
          <w:trHeight w:val="136"/>
        </w:trPr>
        <w:tc>
          <w:tcPr>
            <w:tcW w:w="880" w:type="dxa"/>
            <w:vAlign w:val="bottom"/>
          </w:tcPr>
          <w:p>
            <w:pPr>
              <w:spacing w:after="0"/>
              <w:rPr>
                <w:sz w:val="11"/>
                <w:szCs w:val="11"/>
                <w:color w:val="auto"/>
              </w:rPr>
            </w:pPr>
          </w:p>
        </w:tc>
        <w:tc>
          <w:tcPr>
            <w:tcW w:w="9680" w:type="dxa"/>
            <w:vAlign w:val="bottom"/>
            <w:gridSpan w:val="34"/>
          </w:tcPr>
          <w:p>
            <w:pPr>
              <w:spacing w:after="0" w:line="136" w:lineRule="exact"/>
              <w:rPr>
                <w:rFonts w:ascii="Times New Roman" w:cs="Times New Roman" w:eastAsia="Times New Roman" w:hAnsi="Times New Roman"/>
                <w:sz w:val="13"/>
                <w:szCs w:val="13"/>
                <w:color w:val="0000FF"/>
              </w:rPr>
            </w:pPr>
            <w:hyperlink r:id="rId145">
              <w:r>
                <w:rPr>
                  <w:rFonts w:ascii="Times New Roman" w:cs="Times New Roman" w:eastAsia="Times New Roman" w:hAnsi="Times New Roman"/>
                  <w:sz w:val="13"/>
                  <w:szCs w:val="13"/>
                  <w:color w:val="0000FF"/>
                </w:rPr>
                <w:t>SCSp (Incorporated by reference to Exhibit 10.1 to the Registrant’s Current Report on Form 8-K (File No. 814-00736), filed on August 4, 2020).</w:t>
              </w:r>
            </w:hyperlink>
          </w:p>
        </w:tc>
      </w:tr>
      <w:tr>
        <w:trPr>
          <w:trHeight w:val="20"/>
        </w:trPr>
        <w:tc>
          <w:tcPr>
            <w:tcW w:w="8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10.8</w:t>
            </w:r>
          </w:p>
        </w:tc>
        <w:tc>
          <w:tcPr>
            <w:tcW w:w="9260" w:type="dxa"/>
            <w:vAlign w:val="bottom"/>
            <w:tcBorders>
              <w:bottom w:val="single" w:sz="8" w:color="0000FF"/>
            </w:tcBorders>
            <w:gridSpan w:val="20"/>
          </w:tcPr>
          <w:p>
            <w:pPr>
              <w:spacing w:after="0"/>
              <w:rPr>
                <w:rFonts w:ascii="Times New Roman" w:cs="Times New Roman" w:eastAsia="Times New Roman" w:hAnsi="Times New Roman"/>
                <w:sz w:val="13"/>
                <w:szCs w:val="13"/>
                <w:color w:val="0000FF"/>
              </w:rPr>
            </w:pPr>
            <w:hyperlink r:id="rId146">
              <w:r>
                <w:rPr>
                  <w:rFonts w:ascii="Times New Roman" w:cs="Times New Roman" w:eastAsia="Times New Roman" w:hAnsi="Times New Roman"/>
                  <w:sz w:val="13"/>
                  <w:szCs w:val="13"/>
                  <w:color w:val="0000FF"/>
                </w:rPr>
                <w:t>First Amendment to the Amended and Restated Limited Liability Company Agreement of PennantPark Senior Loan Fund, LLC, dated as of October 31, 2020, by and among</w:t>
              </w:r>
            </w:hyperlink>
          </w:p>
        </w:tc>
        <w:tc>
          <w:tcPr>
            <w:tcW w:w="420" w:type="dxa"/>
            <w:vAlign w:val="bottom"/>
            <w:gridSpan w:val="14"/>
          </w:tcPr>
          <w:p>
            <w:pPr>
              <w:spacing w:after="0"/>
              <w:rPr>
                <w:sz w:val="22"/>
                <w:szCs w:val="22"/>
                <w:color w:val="auto"/>
              </w:rPr>
            </w:pPr>
          </w:p>
        </w:tc>
      </w:tr>
      <w:tr>
        <w:trPr>
          <w:trHeight w:val="136"/>
        </w:trPr>
        <w:tc>
          <w:tcPr>
            <w:tcW w:w="880" w:type="dxa"/>
            <w:vAlign w:val="bottom"/>
          </w:tcPr>
          <w:p>
            <w:pPr>
              <w:spacing w:after="0"/>
              <w:rPr>
                <w:sz w:val="11"/>
                <w:szCs w:val="11"/>
                <w:color w:val="auto"/>
              </w:rPr>
            </w:pPr>
          </w:p>
        </w:tc>
        <w:tc>
          <w:tcPr>
            <w:tcW w:w="9560" w:type="dxa"/>
            <w:vAlign w:val="bottom"/>
            <w:tcBorders>
              <w:bottom w:val="single" w:sz="8" w:color="0000FF"/>
            </w:tcBorders>
            <w:gridSpan w:val="29"/>
          </w:tcPr>
          <w:p>
            <w:pPr>
              <w:spacing w:after="0" w:line="136" w:lineRule="exact"/>
              <w:rPr>
                <w:rFonts w:ascii="Times New Roman" w:cs="Times New Roman" w:eastAsia="Times New Roman" w:hAnsi="Times New Roman"/>
                <w:sz w:val="13"/>
                <w:szCs w:val="13"/>
                <w:color w:val="0000FF"/>
              </w:rPr>
            </w:pPr>
            <w:hyperlink r:id="rId146">
              <w:r>
                <w:rPr>
                  <w:rFonts w:ascii="Times New Roman" w:cs="Times New Roman" w:eastAsia="Times New Roman" w:hAnsi="Times New Roman"/>
                  <w:sz w:val="13"/>
                  <w:szCs w:val="13"/>
                  <w:color w:val="0000FF"/>
                </w:rPr>
                <w:t>PennantPark Investment Corporation, Pantheon Private Debt Program SCSp SICAV – RAIF In Respect Of Its Compartment Pantheon Senior Debt Secondaries II (USD), Pantheon</w:t>
              </w:r>
            </w:hyperlink>
          </w:p>
        </w:tc>
        <w:tc>
          <w:tcPr>
            <w:tcW w:w="120" w:type="dxa"/>
            <w:vAlign w:val="bottom"/>
            <w:gridSpan w:val="5"/>
          </w:tcPr>
          <w:p>
            <w:pPr>
              <w:spacing w:after="0"/>
              <w:rPr>
                <w:sz w:val="11"/>
                <w:szCs w:val="11"/>
                <w:color w:val="auto"/>
              </w:rPr>
            </w:pPr>
          </w:p>
        </w:tc>
      </w:tr>
      <w:tr>
        <w:trPr>
          <w:trHeight w:val="136"/>
        </w:trPr>
        <w:tc>
          <w:tcPr>
            <w:tcW w:w="880" w:type="dxa"/>
            <w:vAlign w:val="bottom"/>
          </w:tcPr>
          <w:p>
            <w:pPr>
              <w:spacing w:after="0"/>
              <w:rPr>
                <w:sz w:val="11"/>
                <w:szCs w:val="11"/>
                <w:color w:val="auto"/>
              </w:rPr>
            </w:pPr>
          </w:p>
        </w:tc>
        <w:tc>
          <w:tcPr>
            <w:tcW w:w="9600" w:type="dxa"/>
            <w:vAlign w:val="bottom"/>
            <w:tcBorders>
              <w:bottom w:val="single" w:sz="8" w:color="0000FF"/>
            </w:tcBorders>
            <w:gridSpan w:val="30"/>
          </w:tcPr>
          <w:p>
            <w:pPr>
              <w:spacing w:after="0" w:line="136" w:lineRule="exact"/>
              <w:rPr>
                <w:rFonts w:ascii="Times New Roman" w:cs="Times New Roman" w:eastAsia="Times New Roman" w:hAnsi="Times New Roman"/>
                <w:sz w:val="13"/>
                <w:szCs w:val="13"/>
                <w:color w:val="0000FF"/>
              </w:rPr>
            </w:pPr>
            <w:hyperlink r:id="rId146">
              <w:r>
                <w:rPr>
                  <w:rFonts w:ascii="Times New Roman" w:cs="Times New Roman" w:eastAsia="Times New Roman" w:hAnsi="Times New Roman"/>
                  <w:sz w:val="13"/>
                  <w:szCs w:val="13"/>
                  <w:color w:val="0000FF"/>
                </w:rPr>
                <w:t>Private Debt Program SCSp SICAV-RAIF In Respect Of Its Compartment Pantheon Credit Opportunities II (USD), Pantheon Private Debt Program SCSp SICAV-RAIF In Respect</w:t>
              </w:r>
            </w:hyperlink>
          </w:p>
        </w:tc>
        <w:tc>
          <w:tcPr>
            <w:tcW w:w="80" w:type="dxa"/>
            <w:vAlign w:val="bottom"/>
            <w:gridSpan w:val="4"/>
          </w:tcPr>
          <w:p>
            <w:pPr>
              <w:spacing w:after="0"/>
              <w:rPr>
                <w:sz w:val="11"/>
                <w:szCs w:val="11"/>
                <w:color w:val="auto"/>
              </w:rPr>
            </w:pPr>
          </w:p>
        </w:tc>
      </w:tr>
      <w:tr>
        <w:trPr>
          <w:trHeight w:val="136"/>
        </w:trPr>
        <w:tc>
          <w:tcPr>
            <w:tcW w:w="880" w:type="dxa"/>
            <w:vAlign w:val="bottom"/>
          </w:tcPr>
          <w:p>
            <w:pPr>
              <w:spacing w:after="0"/>
              <w:rPr>
                <w:sz w:val="11"/>
                <w:szCs w:val="11"/>
                <w:color w:val="auto"/>
              </w:rPr>
            </w:pPr>
          </w:p>
        </w:tc>
        <w:tc>
          <w:tcPr>
            <w:tcW w:w="9660" w:type="dxa"/>
            <w:vAlign w:val="bottom"/>
            <w:tcBorders>
              <w:bottom w:val="single" w:sz="8" w:color="0000FF"/>
            </w:tcBorders>
            <w:gridSpan w:val="33"/>
          </w:tcPr>
          <w:p>
            <w:pPr>
              <w:spacing w:after="0" w:line="136" w:lineRule="exact"/>
              <w:rPr>
                <w:rFonts w:ascii="Times New Roman" w:cs="Times New Roman" w:eastAsia="Times New Roman" w:hAnsi="Times New Roman"/>
                <w:sz w:val="13"/>
                <w:szCs w:val="13"/>
                <w:color w:val="0000FF"/>
              </w:rPr>
            </w:pPr>
            <w:hyperlink r:id="rId146">
              <w:r>
                <w:rPr>
                  <w:rFonts w:ascii="Times New Roman" w:cs="Times New Roman" w:eastAsia="Times New Roman" w:hAnsi="Times New Roman"/>
                  <w:sz w:val="13"/>
                  <w:szCs w:val="13"/>
                  <w:color w:val="0000FF"/>
                </w:rPr>
                <w:t>Of Its Compartment Tubera Credit 2020 and Solutio Premium Private Debt I SCSp (Incorporated by reference to Exhibit 10.12 to the Registrant’s Annual Report on Form 10-K (File</w:t>
              </w:r>
            </w:hyperlink>
          </w:p>
        </w:tc>
        <w:tc>
          <w:tcPr>
            <w:tcW w:w="20" w:type="dxa"/>
            <w:vAlign w:val="bottom"/>
          </w:tcPr>
          <w:p>
            <w:pPr>
              <w:spacing w:after="0"/>
              <w:rPr>
                <w:sz w:val="11"/>
                <w:szCs w:val="11"/>
                <w:color w:val="auto"/>
              </w:rPr>
            </w:pPr>
          </w:p>
        </w:tc>
      </w:tr>
      <w:tr>
        <w:trPr>
          <w:trHeight w:val="136"/>
        </w:trPr>
        <w:tc>
          <w:tcPr>
            <w:tcW w:w="880" w:type="dxa"/>
            <w:vAlign w:val="bottom"/>
          </w:tcPr>
          <w:p>
            <w:pPr>
              <w:spacing w:after="0"/>
              <w:rPr>
                <w:sz w:val="11"/>
                <w:szCs w:val="11"/>
                <w:color w:val="auto"/>
              </w:rPr>
            </w:pPr>
          </w:p>
        </w:tc>
        <w:tc>
          <w:tcPr>
            <w:tcW w:w="9680" w:type="dxa"/>
            <w:vAlign w:val="bottom"/>
            <w:gridSpan w:val="34"/>
          </w:tcPr>
          <w:p>
            <w:pPr>
              <w:spacing w:after="0" w:line="136" w:lineRule="exact"/>
              <w:rPr>
                <w:rFonts w:ascii="Times New Roman" w:cs="Times New Roman" w:eastAsia="Times New Roman" w:hAnsi="Times New Roman"/>
                <w:sz w:val="13"/>
                <w:szCs w:val="13"/>
                <w:color w:val="0000FF"/>
              </w:rPr>
            </w:pPr>
            <w:hyperlink r:id="rId146">
              <w:r>
                <w:rPr>
                  <w:rFonts w:ascii="Times New Roman" w:cs="Times New Roman" w:eastAsia="Times New Roman" w:hAnsi="Times New Roman"/>
                  <w:sz w:val="13"/>
                  <w:szCs w:val="13"/>
                  <w:color w:val="0000FF"/>
                </w:rPr>
                <w:t>No. 814-00736), filed on November 19, 2020).</w:t>
              </w:r>
            </w:hyperlink>
          </w:p>
        </w:tc>
      </w:tr>
      <w:tr>
        <w:trPr>
          <w:trHeight w:val="20"/>
        </w:trPr>
        <w:tc>
          <w:tcPr>
            <w:tcW w:w="8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6"/>
        </w:trPr>
        <w:tc>
          <w:tcPr>
            <w:tcW w:w="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10.9</w:t>
            </w:r>
          </w:p>
        </w:tc>
        <w:tc>
          <w:tcPr>
            <w:tcW w:w="9340" w:type="dxa"/>
            <w:vAlign w:val="bottom"/>
            <w:tcBorders>
              <w:bottom w:val="single" w:sz="8" w:color="0000FF"/>
            </w:tcBorders>
            <w:gridSpan w:val="23"/>
          </w:tcPr>
          <w:p>
            <w:pPr>
              <w:spacing w:after="0"/>
              <w:rPr>
                <w:rFonts w:ascii="Times New Roman" w:cs="Times New Roman" w:eastAsia="Times New Roman" w:hAnsi="Times New Roman"/>
                <w:sz w:val="13"/>
                <w:szCs w:val="13"/>
                <w:color w:val="0000FF"/>
              </w:rPr>
            </w:pPr>
            <w:hyperlink r:id="rId147">
              <w:r>
                <w:rPr>
                  <w:rFonts w:ascii="Times New Roman" w:cs="Times New Roman" w:eastAsia="Times New Roman" w:hAnsi="Times New Roman"/>
                  <w:sz w:val="13"/>
                  <w:szCs w:val="13"/>
                  <w:color w:val="0000FF"/>
                </w:rPr>
                <w:t>Second Amendment to the Amended and Restated Limited Liability Company Agreement of PennantPark Senior Loan Fund, LLC, dated as of October 31, 2020, by and among</w:t>
              </w:r>
            </w:hyperlink>
          </w:p>
        </w:tc>
        <w:tc>
          <w:tcPr>
            <w:tcW w:w="340" w:type="dxa"/>
            <w:vAlign w:val="bottom"/>
            <w:gridSpan w:val="11"/>
          </w:tcPr>
          <w:p>
            <w:pPr>
              <w:spacing w:after="0"/>
              <w:rPr>
                <w:sz w:val="22"/>
                <w:szCs w:val="22"/>
                <w:color w:val="auto"/>
              </w:rPr>
            </w:pPr>
          </w:p>
        </w:tc>
      </w:tr>
      <w:tr>
        <w:trPr>
          <w:trHeight w:val="136"/>
        </w:trPr>
        <w:tc>
          <w:tcPr>
            <w:tcW w:w="880" w:type="dxa"/>
            <w:vAlign w:val="bottom"/>
          </w:tcPr>
          <w:p>
            <w:pPr>
              <w:spacing w:after="0"/>
              <w:rPr>
                <w:sz w:val="11"/>
                <w:szCs w:val="11"/>
                <w:color w:val="auto"/>
              </w:rPr>
            </w:pPr>
          </w:p>
        </w:tc>
        <w:tc>
          <w:tcPr>
            <w:tcW w:w="9540" w:type="dxa"/>
            <w:vAlign w:val="bottom"/>
            <w:tcBorders>
              <w:bottom w:val="single" w:sz="8" w:color="0000FF"/>
            </w:tcBorders>
            <w:gridSpan w:val="28"/>
          </w:tcPr>
          <w:p>
            <w:pPr>
              <w:spacing w:after="0" w:line="136" w:lineRule="exact"/>
              <w:rPr>
                <w:rFonts w:ascii="Times New Roman" w:cs="Times New Roman" w:eastAsia="Times New Roman" w:hAnsi="Times New Roman"/>
                <w:sz w:val="13"/>
                <w:szCs w:val="13"/>
                <w:color w:val="0000FF"/>
              </w:rPr>
            </w:pPr>
            <w:hyperlink r:id="rId147">
              <w:r>
                <w:rPr>
                  <w:rFonts w:ascii="Times New Roman" w:cs="Times New Roman" w:eastAsia="Times New Roman" w:hAnsi="Times New Roman"/>
                  <w:sz w:val="13"/>
                  <w:szCs w:val="13"/>
                  <w:color w:val="0000FF"/>
                </w:rPr>
                <w:t>PennantPark Investment Corporation, Pantheon Private Debt Program SCSp SICAV – RAIF In Respect Of Its Compartment Pantheon Senior Debt Secondaries II (USD), Pantheon</w:t>
              </w:r>
            </w:hyperlink>
          </w:p>
        </w:tc>
        <w:tc>
          <w:tcPr>
            <w:tcW w:w="140" w:type="dxa"/>
            <w:vAlign w:val="bottom"/>
            <w:gridSpan w:val="6"/>
          </w:tcPr>
          <w:p>
            <w:pPr>
              <w:spacing w:after="0"/>
              <w:rPr>
                <w:sz w:val="11"/>
                <w:szCs w:val="11"/>
                <w:color w:val="auto"/>
              </w:rPr>
            </w:pPr>
          </w:p>
        </w:tc>
      </w:tr>
      <w:tr>
        <w:trPr>
          <w:trHeight w:val="136"/>
        </w:trPr>
        <w:tc>
          <w:tcPr>
            <w:tcW w:w="880" w:type="dxa"/>
            <w:vAlign w:val="bottom"/>
          </w:tcPr>
          <w:p>
            <w:pPr>
              <w:spacing w:after="0"/>
              <w:rPr>
                <w:sz w:val="11"/>
                <w:szCs w:val="11"/>
                <w:color w:val="auto"/>
              </w:rPr>
            </w:pPr>
          </w:p>
        </w:tc>
        <w:tc>
          <w:tcPr>
            <w:tcW w:w="9560" w:type="dxa"/>
            <w:vAlign w:val="bottom"/>
            <w:tcBorders>
              <w:bottom w:val="single" w:sz="8" w:color="0000FF"/>
            </w:tcBorders>
            <w:gridSpan w:val="29"/>
          </w:tcPr>
          <w:p>
            <w:pPr>
              <w:spacing w:after="0" w:line="136" w:lineRule="exact"/>
              <w:rPr>
                <w:rFonts w:ascii="Times New Roman" w:cs="Times New Roman" w:eastAsia="Times New Roman" w:hAnsi="Times New Roman"/>
                <w:sz w:val="13"/>
                <w:szCs w:val="13"/>
                <w:color w:val="0000FF"/>
              </w:rPr>
            </w:pPr>
            <w:hyperlink r:id="rId147">
              <w:r>
                <w:rPr>
                  <w:rFonts w:ascii="Times New Roman" w:cs="Times New Roman" w:eastAsia="Times New Roman" w:hAnsi="Times New Roman"/>
                  <w:sz w:val="13"/>
                  <w:szCs w:val="13"/>
                  <w:color w:val="0000FF"/>
                </w:rPr>
                <w:t>Private Debt Program SCSp SICAV-RAIF In Respect Of Its Compartment Pantheon Credit Opportunities II (USD), Pantheon Private Debt Program SCSp SICAV-RAIF In Respect</w:t>
              </w:r>
            </w:hyperlink>
          </w:p>
        </w:tc>
        <w:tc>
          <w:tcPr>
            <w:tcW w:w="120" w:type="dxa"/>
            <w:vAlign w:val="bottom"/>
            <w:gridSpan w:val="5"/>
          </w:tcPr>
          <w:p>
            <w:pPr>
              <w:spacing w:after="0"/>
              <w:rPr>
                <w:sz w:val="11"/>
                <w:szCs w:val="11"/>
                <w:color w:val="auto"/>
              </w:rPr>
            </w:pPr>
          </w:p>
        </w:tc>
      </w:tr>
      <w:tr>
        <w:trPr>
          <w:trHeight w:val="136"/>
        </w:trPr>
        <w:tc>
          <w:tcPr>
            <w:tcW w:w="880" w:type="dxa"/>
            <w:vAlign w:val="bottom"/>
          </w:tcPr>
          <w:p>
            <w:pPr>
              <w:spacing w:after="0"/>
              <w:rPr>
                <w:sz w:val="11"/>
                <w:szCs w:val="11"/>
                <w:color w:val="auto"/>
              </w:rPr>
            </w:pPr>
          </w:p>
        </w:tc>
        <w:tc>
          <w:tcPr>
            <w:tcW w:w="9520" w:type="dxa"/>
            <w:vAlign w:val="bottom"/>
            <w:tcBorders>
              <w:bottom w:val="single" w:sz="8" w:color="0000FF"/>
            </w:tcBorders>
            <w:gridSpan w:val="27"/>
          </w:tcPr>
          <w:p>
            <w:pPr>
              <w:spacing w:after="0" w:line="136" w:lineRule="exact"/>
              <w:rPr>
                <w:rFonts w:ascii="Times New Roman" w:cs="Times New Roman" w:eastAsia="Times New Roman" w:hAnsi="Times New Roman"/>
                <w:sz w:val="13"/>
                <w:szCs w:val="13"/>
                <w:color w:val="0000FF"/>
              </w:rPr>
            </w:pPr>
            <w:hyperlink r:id="rId147">
              <w:r>
                <w:rPr>
                  <w:rFonts w:ascii="Times New Roman" w:cs="Times New Roman" w:eastAsia="Times New Roman" w:hAnsi="Times New Roman"/>
                  <w:sz w:val="13"/>
                  <w:szCs w:val="13"/>
                  <w:color w:val="0000FF"/>
                </w:rPr>
                <w:t>Of Its Compartment Tubera Credit 2020 and Solutio Premium Private Debt I SCSp (Incorporated by reference to Exhibit 10.1 to the Registrant’s Current Report on Form 8-K (File</w:t>
              </w:r>
            </w:hyperlink>
          </w:p>
        </w:tc>
        <w:tc>
          <w:tcPr>
            <w:tcW w:w="160" w:type="dxa"/>
            <w:vAlign w:val="bottom"/>
            <w:gridSpan w:val="7"/>
          </w:tcPr>
          <w:p>
            <w:pPr>
              <w:spacing w:after="0"/>
              <w:rPr>
                <w:sz w:val="11"/>
                <w:szCs w:val="11"/>
                <w:color w:val="auto"/>
              </w:rPr>
            </w:pPr>
          </w:p>
        </w:tc>
      </w:tr>
      <w:tr>
        <w:trPr>
          <w:trHeight w:val="136"/>
        </w:trPr>
        <w:tc>
          <w:tcPr>
            <w:tcW w:w="880" w:type="dxa"/>
            <w:vAlign w:val="bottom"/>
          </w:tcPr>
          <w:p>
            <w:pPr>
              <w:spacing w:after="0"/>
              <w:rPr>
                <w:sz w:val="11"/>
                <w:szCs w:val="11"/>
                <w:color w:val="auto"/>
              </w:rPr>
            </w:pPr>
          </w:p>
        </w:tc>
        <w:tc>
          <w:tcPr>
            <w:tcW w:w="2460" w:type="dxa"/>
            <w:vAlign w:val="bottom"/>
            <w:tcBorders>
              <w:bottom w:val="single" w:sz="8" w:color="0000FF"/>
            </w:tcBorders>
            <w:gridSpan w:val="4"/>
          </w:tcPr>
          <w:p>
            <w:pPr>
              <w:spacing w:after="0" w:line="136" w:lineRule="exact"/>
              <w:rPr>
                <w:rFonts w:ascii="Times New Roman" w:cs="Times New Roman" w:eastAsia="Times New Roman" w:hAnsi="Times New Roman"/>
                <w:sz w:val="13"/>
                <w:szCs w:val="13"/>
                <w:color w:val="0000FF"/>
              </w:rPr>
            </w:pPr>
            <w:hyperlink r:id="rId147">
              <w:r>
                <w:rPr>
                  <w:rFonts w:ascii="Times New Roman" w:cs="Times New Roman" w:eastAsia="Times New Roman" w:hAnsi="Times New Roman"/>
                  <w:sz w:val="13"/>
                  <w:szCs w:val="13"/>
                  <w:color w:val="0000FF"/>
                </w:rPr>
                <w:t>No. 814-00736), filed on September 4, 2024).</w:t>
              </w:r>
            </w:hyperlink>
          </w:p>
        </w:tc>
        <w:tc>
          <w:tcPr>
            <w:tcW w:w="7220" w:type="dxa"/>
            <w:vAlign w:val="bottom"/>
            <w:gridSpan w:val="30"/>
          </w:tcPr>
          <w:p>
            <w:pPr>
              <w:spacing w:after="0"/>
              <w:rPr>
                <w:sz w:val="11"/>
                <w:szCs w:val="11"/>
                <w:color w:val="auto"/>
              </w:rPr>
            </w:pPr>
          </w:p>
        </w:tc>
      </w:tr>
      <w:tr>
        <w:trPr>
          <w:trHeight w:val="256"/>
        </w:trPr>
        <w:tc>
          <w:tcPr>
            <w:tcW w:w="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10.10</w:t>
            </w:r>
          </w:p>
        </w:tc>
        <w:tc>
          <w:tcPr>
            <w:tcW w:w="9600" w:type="dxa"/>
            <w:vAlign w:val="bottom"/>
            <w:tcBorders>
              <w:bottom w:val="single" w:sz="8" w:color="0000FF"/>
            </w:tcBorders>
            <w:gridSpan w:val="30"/>
          </w:tcPr>
          <w:p>
            <w:pPr>
              <w:spacing w:after="0"/>
              <w:rPr>
                <w:rFonts w:ascii="Times New Roman" w:cs="Times New Roman" w:eastAsia="Times New Roman" w:hAnsi="Times New Roman"/>
                <w:sz w:val="13"/>
                <w:szCs w:val="13"/>
                <w:color w:val="0000FF"/>
              </w:rPr>
            </w:pPr>
            <w:hyperlink r:id="rId148">
              <w:r>
                <w:rPr>
                  <w:rFonts w:ascii="Times New Roman" w:cs="Times New Roman" w:eastAsia="Times New Roman" w:hAnsi="Times New Roman"/>
                  <w:sz w:val="13"/>
                  <w:szCs w:val="13"/>
                  <w:color w:val="0000FF"/>
                </w:rPr>
                <w:t>Fifth Amendment to Second Amended and Restated Senior Secured Revolving Credit Agreement and Second Amended and Restated Guarantee and Security Agreement, dated as of</w:t>
              </w:r>
            </w:hyperlink>
          </w:p>
        </w:tc>
        <w:tc>
          <w:tcPr>
            <w:tcW w:w="80" w:type="dxa"/>
            <w:vAlign w:val="bottom"/>
            <w:gridSpan w:val="4"/>
          </w:tcPr>
          <w:p>
            <w:pPr>
              <w:spacing w:after="0"/>
              <w:rPr>
                <w:sz w:val="22"/>
                <w:szCs w:val="22"/>
                <w:color w:val="auto"/>
              </w:rPr>
            </w:pPr>
          </w:p>
        </w:tc>
      </w:tr>
      <w:tr>
        <w:trPr>
          <w:trHeight w:val="136"/>
        </w:trPr>
        <w:tc>
          <w:tcPr>
            <w:tcW w:w="880" w:type="dxa"/>
            <w:vAlign w:val="bottom"/>
          </w:tcPr>
          <w:p>
            <w:pPr>
              <w:spacing w:after="0"/>
              <w:rPr>
                <w:sz w:val="11"/>
                <w:szCs w:val="11"/>
                <w:color w:val="auto"/>
              </w:rPr>
            </w:pPr>
          </w:p>
        </w:tc>
        <w:tc>
          <w:tcPr>
            <w:tcW w:w="9500" w:type="dxa"/>
            <w:vAlign w:val="bottom"/>
            <w:tcBorders>
              <w:bottom w:val="single" w:sz="8" w:color="0000FF"/>
            </w:tcBorders>
            <w:gridSpan w:val="26"/>
          </w:tcPr>
          <w:p>
            <w:pPr>
              <w:spacing w:after="0" w:line="136" w:lineRule="exact"/>
              <w:rPr>
                <w:rFonts w:ascii="Times New Roman" w:cs="Times New Roman" w:eastAsia="Times New Roman" w:hAnsi="Times New Roman"/>
                <w:sz w:val="13"/>
                <w:szCs w:val="13"/>
                <w:color w:val="0000FF"/>
              </w:rPr>
            </w:pPr>
            <w:hyperlink r:id="rId148">
              <w:r>
                <w:rPr>
                  <w:rFonts w:ascii="Times New Roman" w:cs="Times New Roman" w:eastAsia="Times New Roman" w:hAnsi="Times New Roman"/>
                  <w:sz w:val="13"/>
                  <w:szCs w:val="13"/>
                  <w:color w:val="0000FF"/>
                </w:rPr>
                <w:t>July 29, 2022, among the Registrant, the lenders party thereto and Truist Bank, as administrative agent for the lenders (Incorporated by reference to Exhibit 10.2 to the Registrant’s</w:t>
              </w:r>
            </w:hyperlink>
          </w:p>
        </w:tc>
        <w:tc>
          <w:tcPr>
            <w:tcW w:w="180" w:type="dxa"/>
            <w:vAlign w:val="bottom"/>
            <w:gridSpan w:val="8"/>
          </w:tcPr>
          <w:p>
            <w:pPr>
              <w:spacing w:after="0"/>
              <w:rPr>
                <w:sz w:val="11"/>
                <w:szCs w:val="11"/>
                <w:color w:val="auto"/>
              </w:rPr>
            </w:pPr>
          </w:p>
        </w:tc>
      </w:tr>
      <w:tr>
        <w:trPr>
          <w:trHeight w:val="136"/>
        </w:trPr>
        <w:tc>
          <w:tcPr>
            <w:tcW w:w="880" w:type="dxa"/>
            <w:vAlign w:val="bottom"/>
          </w:tcPr>
          <w:p>
            <w:pPr>
              <w:spacing w:after="0"/>
              <w:rPr>
                <w:sz w:val="11"/>
                <w:szCs w:val="11"/>
                <w:color w:val="auto"/>
              </w:rPr>
            </w:pPr>
          </w:p>
        </w:tc>
        <w:tc>
          <w:tcPr>
            <w:tcW w:w="3140" w:type="dxa"/>
            <w:vAlign w:val="bottom"/>
            <w:tcBorders>
              <w:bottom w:val="single" w:sz="8" w:color="0000FF"/>
            </w:tcBorders>
            <w:gridSpan w:val="6"/>
          </w:tcPr>
          <w:p>
            <w:pPr>
              <w:spacing w:after="0" w:line="136" w:lineRule="exact"/>
              <w:rPr>
                <w:rFonts w:ascii="Times New Roman" w:cs="Times New Roman" w:eastAsia="Times New Roman" w:hAnsi="Times New Roman"/>
                <w:sz w:val="13"/>
                <w:szCs w:val="13"/>
                <w:color w:val="0000FF"/>
              </w:rPr>
            </w:pPr>
            <w:hyperlink r:id="rId148">
              <w:r>
                <w:rPr>
                  <w:rFonts w:ascii="Times New Roman" w:cs="Times New Roman" w:eastAsia="Times New Roman" w:hAnsi="Times New Roman"/>
                  <w:sz w:val="13"/>
                  <w:szCs w:val="13"/>
                  <w:color w:val="0000FF"/>
                </w:rPr>
                <w:t>Form 10-Q (File No. 814-00736), filed on August 3, 2022).</w:t>
              </w:r>
            </w:hyperlink>
          </w:p>
        </w:tc>
        <w:tc>
          <w:tcPr>
            <w:tcW w:w="6540" w:type="dxa"/>
            <w:vAlign w:val="bottom"/>
            <w:gridSpan w:val="28"/>
          </w:tcPr>
          <w:p>
            <w:pPr>
              <w:spacing w:after="0"/>
              <w:rPr>
                <w:sz w:val="11"/>
                <w:szCs w:val="11"/>
                <w:color w:val="auto"/>
              </w:rPr>
            </w:pPr>
          </w:p>
        </w:tc>
      </w:tr>
      <w:tr>
        <w:trPr>
          <w:trHeight w:val="256"/>
        </w:trPr>
        <w:tc>
          <w:tcPr>
            <w:tcW w:w="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10.11</w:t>
            </w:r>
          </w:p>
        </w:tc>
        <w:tc>
          <w:tcPr>
            <w:tcW w:w="9320" w:type="dxa"/>
            <w:vAlign w:val="bottom"/>
            <w:tcBorders>
              <w:bottom w:val="single" w:sz="8" w:color="0000FF"/>
            </w:tcBorders>
            <w:gridSpan w:val="22"/>
          </w:tcPr>
          <w:p>
            <w:pPr>
              <w:spacing w:after="0"/>
              <w:rPr>
                <w:rFonts w:ascii="Times New Roman" w:cs="Times New Roman" w:eastAsia="Times New Roman" w:hAnsi="Times New Roman"/>
                <w:sz w:val="13"/>
                <w:szCs w:val="13"/>
                <w:color w:val="0000FF"/>
              </w:rPr>
            </w:pPr>
            <w:hyperlink r:id="rId149">
              <w:r>
                <w:rPr>
                  <w:rFonts w:ascii="Times New Roman" w:cs="Times New Roman" w:eastAsia="Times New Roman" w:hAnsi="Times New Roman"/>
                  <w:sz w:val="13"/>
                  <w:szCs w:val="13"/>
                  <w:color w:val="0000FF"/>
                </w:rPr>
                <w:t>Equity Distribution Agreement, dated as of June 4, 2024, by and among PennantPark Investment Corporation, PennantPark Investment Advisers, LLC, PennantPark Investment</w:t>
              </w:r>
            </w:hyperlink>
          </w:p>
        </w:tc>
        <w:tc>
          <w:tcPr>
            <w:tcW w:w="360" w:type="dxa"/>
            <w:vAlign w:val="bottom"/>
            <w:gridSpan w:val="12"/>
          </w:tcPr>
          <w:p>
            <w:pPr>
              <w:spacing w:after="0"/>
              <w:rPr>
                <w:sz w:val="22"/>
                <w:szCs w:val="22"/>
                <w:color w:val="auto"/>
              </w:rPr>
            </w:pPr>
          </w:p>
        </w:tc>
      </w:tr>
      <w:tr>
        <w:trPr>
          <w:trHeight w:val="136"/>
        </w:trPr>
        <w:tc>
          <w:tcPr>
            <w:tcW w:w="880" w:type="dxa"/>
            <w:vAlign w:val="bottom"/>
          </w:tcPr>
          <w:p>
            <w:pPr>
              <w:spacing w:after="0"/>
              <w:rPr>
                <w:sz w:val="11"/>
                <w:szCs w:val="11"/>
                <w:color w:val="auto"/>
              </w:rPr>
            </w:pPr>
          </w:p>
        </w:tc>
        <w:tc>
          <w:tcPr>
            <w:tcW w:w="9680" w:type="dxa"/>
            <w:vAlign w:val="bottom"/>
            <w:tcBorders>
              <w:bottom w:val="single" w:sz="8" w:color="0000FF"/>
            </w:tcBorders>
            <w:gridSpan w:val="34"/>
          </w:tcPr>
          <w:p>
            <w:pPr>
              <w:spacing w:after="0" w:line="136" w:lineRule="exact"/>
              <w:rPr>
                <w:rFonts w:ascii="Times New Roman" w:cs="Times New Roman" w:eastAsia="Times New Roman" w:hAnsi="Times New Roman"/>
                <w:sz w:val="13"/>
                <w:szCs w:val="13"/>
                <w:color w:val="0000FF"/>
              </w:rPr>
            </w:pPr>
            <w:hyperlink r:id="rId149">
              <w:r>
                <w:rPr>
                  <w:rFonts w:ascii="Times New Roman" w:cs="Times New Roman" w:eastAsia="Times New Roman" w:hAnsi="Times New Roman"/>
                  <w:sz w:val="13"/>
                  <w:szCs w:val="13"/>
                  <w:color w:val="0000FF"/>
                </w:rPr>
                <w:t>Administration, LLC and Truist Securities, Inc., as the sales agent (Incorporated by reference to Ex. 1.1 to the Registrant’s Current Report on Form 8-K (File No. 814-00736), filed on</w:t>
              </w:r>
            </w:hyperlink>
          </w:p>
        </w:tc>
      </w:tr>
      <w:tr>
        <w:trPr>
          <w:trHeight w:val="136"/>
        </w:trPr>
        <w:tc>
          <w:tcPr>
            <w:tcW w:w="880" w:type="dxa"/>
            <w:vAlign w:val="bottom"/>
          </w:tcPr>
          <w:p>
            <w:pPr>
              <w:spacing w:after="0"/>
              <w:rPr>
                <w:sz w:val="11"/>
                <w:szCs w:val="11"/>
                <w:color w:val="auto"/>
              </w:rPr>
            </w:pPr>
          </w:p>
        </w:tc>
        <w:tc>
          <w:tcPr>
            <w:tcW w:w="740" w:type="dxa"/>
            <w:vAlign w:val="bottom"/>
            <w:tcBorders>
              <w:bottom w:val="single" w:sz="8" w:color="0000FF"/>
            </w:tcBorders>
          </w:tcPr>
          <w:p>
            <w:pPr>
              <w:spacing w:after="0" w:line="136" w:lineRule="exact"/>
              <w:rPr>
                <w:rFonts w:ascii="Times New Roman" w:cs="Times New Roman" w:eastAsia="Times New Roman" w:hAnsi="Times New Roman"/>
                <w:sz w:val="13"/>
                <w:szCs w:val="13"/>
                <w:color w:val="0000FF"/>
                <w:w w:val="97"/>
              </w:rPr>
            </w:pPr>
            <w:hyperlink r:id="rId149">
              <w:r>
                <w:rPr>
                  <w:rFonts w:ascii="Times New Roman" w:cs="Times New Roman" w:eastAsia="Times New Roman" w:hAnsi="Times New Roman"/>
                  <w:sz w:val="13"/>
                  <w:szCs w:val="13"/>
                  <w:color w:val="0000FF"/>
                  <w:w w:val="97"/>
                </w:rPr>
                <w:t>June 4, 2024).</w:t>
              </w:r>
            </w:hyperlink>
          </w:p>
        </w:tc>
        <w:tc>
          <w:tcPr>
            <w:tcW w:w="8940" w:type="dxa"/>
            <w:vAlign w:val="bottom"/>
            <w:gridSpan w:val="33"/>
          </w:tcPr>
          <w:p>
            <w:pPr>
              <w:spacing w:after="0"/>
              <w:rPr>
                <w:sz w:val="11"/>
                <w:szCs w:val="11"/>
                <w:color w:val="auto"/>
              </w:rPr>
            </w:pPr>
          </w:p>
        </w:tc>
      </w:tr>
      <w:tr>
        <w:trPr>
          <w:trHeight w:val="256"/>
        </w:trPr>
        <w:tc>
          <w:tcPr>
            <w:tcW w:w="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10.12</w:t>
            </w:r>
          </w:p>
        </w:tc>
        <w:tc>
          <w:tcPr>
            <w:tcW w:w="9300" w:type="dxa"/>
            <w:vAlign w:val="bottom"/>
            <w:tcBorders>
              <w:bottom w:val="single" w:sz="8" w:color="0000FF"/>
            </w:tcBorders>
            <w:gridSpan w:val="21"/>
          </w:tcPr>
          <w:p>
            <w:pPr>
              <w:spacing w:after="0"/>
              <w:rPr>
                <w:rFonts w:ascii="Times New Roman" w:cs="Times New Roman" w:eastAsia="Times New Roman" w:hAnsi="Times New Roman"/>
                <w:sz w:val="13"/>
                <w:szCs w:val="13"/>
                <w:color w:val="0000FF"/>
              </w:rPr>
            </w:pPr>
            <w:hyperlink r:id="rId150">
              <w:r>
                <w:rPr>
                  <w:rFonts w:ascii="Times New Roman" w:cs="Times New Roman" w:eastAsia="Times New Roman" w:hAnsi="Times New Roman"/>
                  <w:sz w:val="13"/>
                  <w:szCs w:val="13"/>
                  <w:color w:val="0000FF"/>
                </w:rPr>
                <w:t>Equity Distribution Agreement, dated as of June 4, 2024 by and among PennantPark Investment Corporation, PennantPark Investment Advisers, LLC, PennantPark Investment</w:t>
              </w:r>
            </w:hyperlink>
          </w:p>
        </w:tc>
        <w:tc>
          <w:tcPr>
            <w:tcW w:w="380" w:type="dxa"/>
            <w:vAlign w:val="bottom"/>
            <w:gridSpan w:val="13"/>
          </w:tcPr>
          <w:p>
            <w:pPr>
              <w:spacing w:after="0"/>
              <w:rPr>
                <w:sz w:val="22"/>
                <w:szCs w:val="22"/>
                <w:color w:val="auto"/>
              </w:rPr>
            </w:pPr>
          </w:p>
        </w:tc>
      </w:tr>
      <w:tr>
        <w:trPr>
          <w:trHeight w:val="136"/>
        </w:trPr>
        <w:tc>
          <w:tcPr>
            <w:tcW w:w="880" w:type="dxa"/>
            <w:vAlign w:val="bottom"/>
          </w:tcPr>
          <w:p>
            <w:pPr>
              <w:spacing w:after="0"/>
              <w:rPr>
                <w:sz w:val="11"/>
                <w:szCs w:val="11"/>
                <w:color w:val="auto"/>
              </w:rPr>
            </w:pPr>
          </w:p>
        </w:tc>
        <w:tc>
          <w:tcPr>
            <w:tcW w:w="9680" w:type="dxa"/>
            <w:vAlign w:val="bottom"/>
            <w:gridSpan w:val="34"/>
          </w:tcPr>
          <w:p>
            <w:pPr>
              <w:spacing w:after="0" w:line="136" w:lineRule="exact"/>
              <w:rPr>
                <w:rFonts w:ascii="Times New Roman" w:cs="Times New Roman" w:eastAsia="Times New Roman" w:hAnsi="Times New Roman"/>
                <w:sz w:val="13"/>
                <w:szCs w:val="13"/>
                <w:color w:val="0000FF"/>
              </w:rPr>
            </w:pPr>
            <w:hyperlink r:id="rId150">
              <w:r>
                <w:rPr>
                  <w:rFonts w:ascii="Times New Roman" w:cs="Times New Roman" w:eastAsia="Times New Roman" w:hAnsi="Times New Roman"/>
                  <w:sz w:val="13"/>
                  <w:szCs w:val="13"/>
                  <w:color w:val="0000FF"/>
                </w:rPr>
                <w:t>Administration, LLC and Keefe, Bruyette &amp; Woods, Inc., as the sales agent (Incorporated by reference to Ex. 1.2 to the Registrant’s Current Report on Form 8-K (File No. 814-</w:t>
              </w:r>
            </w:hyperlink>
          </w:p>
        </w:tc>
      </w:tr>
      <w:tr>
        <w:trPr>
          <w:trHeight w:val="136"/>
        </w:trPr>
        <w:tc>
          <w:tcPr>
            <w:tcW w:w="880" w:type="dxa"/>
            <w:vAlign w:val="bottom"/>
          </w:tcPr>
          <w:p>
            <w:pPr>
              <w:spacing w:after="0"/>
              <w:rPr>
                <w:sz w:val="11"/>
                <w:szCs w:val="11"/>
                <w:color w:val="auto"/>
              </w:rPr>
            </w:pPr>
          </w:p>
        </w:tc>
        <w:tc>
          <w:tcPr>
            <w:tcW w:w="1620" w:type="dxa"/>
            <w:vAlign w:val="bottom"/>
            <w:tcBorders>
              <w:top w:val="single" w:sz="8" w:color="0000FF"/>
              <w:bottom w:val="single" w:sz="8" w:color="0000FF"/>
            </w:tcBorders>
            <w:gridSpan w:val="3"/>
          </w:tcPr>
          <w:p>
            <w:pPr>
              <w:spacing w:after="0" w:line="136" w:lineRule="exact"/>
              <w:rPr>
                <w:rFonts w:ascii="Times New Roman" w:cs="Times New Roman" w:eastAsia="Times New Roman" w:hAnsi="Times New Roman"/>
                <w:sz w:val="13"/>
                <w:szCs w:val="13"/>
                <w:color w:val="0000FF"/>
                <w:w w:val="99"/>
              </w:rPr>
            </w:pPr>
            <w:hyperlink r:id="rId150">
              <w:r>
                <w:rPr>
                  <w:rFonts w:ascii="Times New Roman" w:cs="Times New Roman" w:eastAsia="Times New Roman" w:hAnsi="Times New Roman"/>
                  <w:sz w:val="13"/>
                  <w:szCs w:val="13"/>
                  <w:color w:val="0000FF"/>
                  <w:w w:val="99"/>
                </w:rPr>
                <w:t>00736)</w:t>
              </w:r>
              <w:r>
                <w:rPr>
                  <w:rFonts w:ascii="Times New Roman" w:cs="Times New Roman" w:eastAsia="Times New Roman" w:hAnsi="Times New Roman"/>
                  <w:sz w:val="13"/>
                  <w:szCs w:val="13"/>
                  <w:u w:val="single" w:color="auto"/>
                  <w:color w:val="0000FF"/>
                  <w:w w:val="99"/>
                </w:rPr>
                <w:t>,</w:t>
              </w:r>
              <w:r>
                <w:rPr>
                  <w:rFonts w:ascii="Times New Roman" w:cs="Times New Roman" w:eastAsia="Times New Roman" w:hAnsi="Times New Roman"/>
                  <w:sz w:val="13"/>
                  <w:szCs w:val="13"/>
                  <w:color w:val="0000FF"/>
                  <w:w w:val="99"/>
                </w:rPr>
                <w:t xml:space="preserve"> filed on June 4, 2024).</w:t>
              </w:r>
            </w:hyperlink>
          </w:p>
        </w:tc>
        <w:tc>
          <w:tcPr>
            <w:tcW w:w="7680" w:type="dxa"/>
            <w:vAlign w:val="bottom"/>
            <w:tcBorders>
              <w:top w:val="single" w:sz="8" w:color="0000FF"/>
            </w:tcBorders>
            <w:gridSpan w:val="18"/>
          </w:tcPr>
          <w:p>
            <w:pPr>
              <w:spacing w:after="0"/>
              <w:rPr>
                <w:sz w:val="11"/>
                <w:szCs w:val="11"/>
                <w:color w:val="auto"/>
              </w:rPr>
            </w:pPr>
          </w:p>
        </w:tc>
        <w:tc>
          <w:tcPr>
            <w:tcW w:w="380" w:type="dxa"/>
            <w:vAlign w:val="bottom"/>
            <w:gridSpan w:val="13"/>
          </w:tcPr>
          <w:p>
            <w:pPr>
              <w:spacing w:after="0"/>
              <w:rPr>
                <w:sz w:val="11"/>
                <w:szCs w:val="11"/>
                <w:color w:val="auto"/>
              </w:rPr>
            </w:pPr>
          </w:p>
        </w:tc>
      </w:tr>
      <w:tr>
        <w:trPr>
          <w:trHeight w:val="256"/>
        </w:trPr>
        <w:tc>
          <w:tcPr>
            <w:tcW w:w="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10.13</w:t>
            </w:r>
          </w:p>
        </w:tc>
        <w:tc>
          <w:tcPr>
            <w:tcW w:w="9640" w:type="dxa"/>
            <w:vAlign w:val="bottom"/>
            <w:tcBorders>
              <w:bottom w:val="single" w:sz="8" w:color="0000FF"/>
            </w:tcBorders>
            <w:gridSpan w:val="32"/>
          </w:tcPr>
          <w:p>
            <w:pPr>
              <w:spacing w:after="0"/>
              <w:rPr>
                <w:rFonts w:ascii="Times New Roman" w:cs="Times New Roman" w:eastAsia="Times New Roman" w:hAnsi="Times New Roman"/>
                <w:sz w:val="13"/>
                <w:szCs w:val="13"/>
                <w:color w:val="0000FF"/>
              </w:rPr>
            </w:pPr>
            <w:hyperlink r:id="rId151">
              <w:r>
                <w:rPr>
                  <w:rFonts w:ascii="Times New Roman" w:cs="Times New Roman" w:eastAsia="Times New Roman" w:hAnsi="Times New Roman"/>
                  <w:sz w:val="13"/>
                  <w:szCs w:val="13"/>
                  <w:color w:val="0000FF"/>
                </w:rPr>
                <w:t>Sixth Amendment to Second Amended and Restated Senior Secured Revolving Credit Agreement, dated as of June 25, 2024, by and among PennantPark Investment Corporation and</w:t>
              </w:r>
            </w:hyperlink>
          </w:p>
        </w:tc>
        <w:tc>
          <w:tcPr>
            <w:tcW w:w="40" w:type="dxa"/>
            <w:vAlign w:val="bottom"/>
            <w:gridSpan w:val="2"/>
          </w:tcPr>
          <w:p>
            <w:pPr>
              <w:spacing w:after="0"/>
              <w:rPr>
                <w:sz w:val="22"/>
                <w:szCs w:val="22"/>
                <w:color w:val="auto"/>
              </w:rPr>
            </w:pPr>
          </w:p>
        </w:tc>
      </w:tr>
      <w:tr>
        <w:trPr>
          <w:trHeight w:val="136"/>
        </w:trPr>
        <w:tc>
          <w:tcPr>
            <w:tcW w:w="880" w:type="dxa"/>
            <w:vAlign w:val="bottom"/>
          </w:tcPr>
          <w:p>
            <w:pPr>
              <w:spacing w:after="0"/>
              <w:rPr>
                <w:sz w:val="11"/>
                <w:szCs w:val="11"/>
                <w:color w:val="auto"/>
              </w:rPr>
            </w:pPr>
          </w:p>
        </w:tc>
        <w:tc>
          <w:tcPr>
            <w:tcW w:w="9460" w:type="dxa"/>
            <w:vAlign w:val="bottom"/>
            <w:tcBorders>
              <w:bottom w:val="single" w:sz="8" w:color="0000FF"/>
            </w:tcBorders>
            <w:gridSpan w:val="25"/>
          </w:tcPr>
          <w:p>
            <w:pPr>
              <w:spacing w:after="0" w:line="136" w:lineRule="exact"/>
              <w:rPr>
                <w:rFonts w:ascii="Times New Roman" w:cs="Times New Roman" w:eastAsia="Times New Roman" w:hAnsi="Times New Roman"/>
                <w:sz w:val="13"/>
                <w:szCs w:val="13"/>
                <w:color w:val="0000FF"/>
              </w:rPr>
            </w:pPr>
            <w:hyperlink r:id="rId151">
              <w:r>
                <w:rPr>
                  <w:rFonts w:ascii="Times New Roman" w:cs="Times New Roman" w:eastAsia="Times New Roman" w:hAnsi="Times New Roman"/>
                  <w:sz w:val="13"/>
                  <w:szCs w:val="13"/>
                  <w:color w:val="0000FF"/>
                </w:rPr>
                <w:t>Truist Bank, as administrative agent. (Incorporated by reference to Exhibit 10.5 to the Registrant’s Quarterly Report on Form 10-Q (File No. 814-00736), filed on August 7, 2024).</w:t>
              </w:r>
            </w:hyperlink>
          </w:p>
        </w:tc>
        <w:tc>
          <w:tcPr>
            <w:tcW w:w="220" w:type="dxa"/>
            <w:vAlign w:val="bottom"/>
            <w:gridSpan w:val="9"/>
          </w:tcPr>
          <w:p>
            <w:pPr>
              <w:spacing w:after="0"/>
              <w:rPr>
                <w:sz w:val="11"/>
                <w:szCs w:val="11"/>
                <w:color w:val="auto"/>
              </w:rPr>
            </w:pPr>
          </w:p>
        </w:tc>
      </w:tr>
      <w:tr>
        <w:trPr>
          <w:trHeight w:val="256"/>
        </w:trPr>
        <w:tc>
          <w:tcPr>
            <w:tcW w:w="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14.1</w:t>
            </w:r>
          </w:p>
        </w:tc>
        <w:tc>
          <w:tcPr>
            <w:tcW w:w="9540" w:type="dxa"/>
            <w:vAlign w:val="bottom"/>
            <w:tcBorders>
              <w:bottom w:val="single" w:sz="8" w:color="0000FF"/>
            </w:tcBorders>
            <w:gridSpan w:val="28"/>
          </w:tcPr>
          <w:p>
            <w:pPr>
              <w:spacing w:after="0"/>
              <w:rPr>
                <w:rFonts w:ascii="Times New Roman" w:cs="Times New Roman" w:eastAsia="Times New Roman" w:hAnsi="Times New Roman"/>
                <w:sz w:val="13"/>
                <w:szCs w:val="13"/>
                <w:color w:val="0000FF"/>
              </w:rPr>
            </w:pPr>
            <w:hyperlink r:id="rId152">
              <w:r>
                <w:rPr>
                  <w:rFonts w:ascii="Times New Roman" w:cs="Times New Roman" w:eastAsia="Times New Roman" w:hAnsi="Times New Roman"/>
                  <w:sz w:val="13"/>
                  <w:szCs w:val="13"/>
                  <w:color w:val="0000FF"/>
                </w:rPr>
                <w:t>Joint Code of Ethics of the Registrant (Incorporated by reference to Exhibit 14.1 to the Registrant's Annual Report on Form 10-K (File No. 814-00736), filed on December 8, 2023).</w:t>
              </w:r>
            </w:hyperlink>
          </w:p>
        </w:tc>
        <w:tc>
          <w:tcPr>
            <w:tcW w:w="140" w:type="dxa"/>
            <w:vAlign w:val="bottom"/>
            <w:gridSpan w:val="6"/>
          </w:tcPr>
          <w:p>
            <w:pPr>
              <w:spacing w:after="0"/>
              <w:rPr>
                <w:sz w:val="22"/>
                <w:szCs w:val="22"/>
                <w:color w:val="auto"/>
              </w:rPr>
            </w:pPr>
          </w:p>
        </w:tc>
      </w:tr>
      <w:tr>
        <w:trPr>
          <w:trHeight w:val="256"/>
        </w:trPr>
        <w:tc>
          <w:tcPr>
            <w:tcW w:w="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19.1</w:t>
            </w:r>
          </w:p>
        </w:tc>
        <w:tc>
          <w:tcPr>
            <w:tcW w:w="8400" w:type="dxa"/>
            <w:vAlign w:val="bottom"/>
            <w:tcBorders>
              <w:bottom w:val="single" w:sz="8" w:color="0000FF"/>
            </w:tcBorders>
            <w:gridSpan w:val="15"/>
          </w:tcPr>
          <w:p>
            <w:pPr>
              <w:spacing w:after="0"/>
              <w:rPr>
                <w:rFonts w:ascii="Times New Roman" w:cs="Times New Roman" w:eastAsia="Times New Roman" w:hAnsi="Times New Roman"/>
                <w:sz w:val="13"/>
                <w:szCs w:val="13"/>
                <w:color w:val="0000FF"/>
              </w:rPr>
            </w:pPr>
            <w:hyperlink r:id="rId152">
              <w:r>
                <w:rPr>
                  <w:rFonts w:ascii="Times New Roman" w:cs="Times New Roman" w:eastAsia="Times New Roman" w:hAnsi="Times New Roman"/>
                  <w:sz w:val="13"/>
                  <w:szCs w:val="13"/>
                  <w:color w:val="0000FF"/>
                </w:rPr>
                <w:t>Insider Trading Policy (included in the Joint Code of Ethics of the Registrant) (Incorporated by reference to Exhibit 14.1 to this Annual Report on Form 10-K).</w:t>
              </w:r>
            </w:hyperlink>
          </w:p>
        </w:tc>
        <w:tc>
          <w:tcPr>
            <w:tcW w:w="1280" w:type="dxa"/>
            <w:vAlign w:val="bottom"/>
            <w:gridSpan w:val="19"/>
          </w:tcPr>
          <w:p>
            <w:pPr>
              <w:spacing w:after="0"/>
              <w:rPr>
                <w:sz w:val="22"/>
                <w:szCs w:val="22"/>
                <w:color w:val="auto"/>
              </w:rPr>
            </w:pPr>
          </w:p>
        </w:tc>
      </w:tr>
      <w:tr>
        <w:trPr>
          <w:trHeight w:val="284"/>
        </w:trPr>
        <w:tc>
          <w:tcPr>
            <w:tcW w:w="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21.1*</w:t>
            </w:r>
          </w:p>
        </w:tc>
        <w:tc>
          <w:tcPr>
            <w:tcW w:w="9680" w:type="dxa"/>
            <w:vAlign w:val="bottom"/>
            <w:gridSpan w:val="34"/>
          </w:tcPr>
          <w:p>
            <w:pPr>
              <w:spacing w:after="0"/>
              <w:rPr>
                <w:sz w:val="20"/>
                <w:szCs w:val="20"/>
                <w:color w:val="auto"/>
              </w:rPr>
            </w:pPr>
            <w:r>
              <w:rPr>
                <w:rFonts w:ascii="Times New Roman" w:cs="Times New Roman" w:eastAsia="Times New Roman" w:hAnsi="Times New Roman"/>
                <w:sz w:val="13"/>
                <w:szCs w:val="13"/>
                <w:color w:val="auto"/>
              </w:rPr>
              <w:t>Subsidiaries of the Registrant.</w:t>
            </w:r>
          </w:p>
        </w:tc>
      </w:tr>
      <w:tr>
        <w:trPr>
          <w:trHeight w:val="248"/>
        </w:trPr>
        <w:tc>
          <w:tcPr>
            <w:tcW w:w="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23.1*</w:t>
            </w:r>
          </w:p>
        </w:tc>
        <w:tc>
          <w:tcPr>
            <w:tcW w:w="1380" w:type="dxa"/>
            <w:vAlign w:val="bottom"/>
            <w:tcBorders>
              <w:bottom w:val="single" w:sz="8" w:color="0000FF"/>
            </w:tcBorders>
            <w:gridSpan w:val="2"/>
          </w:tcPr>
          <w:p>
            <w:pPr>
              <w:spacing w:after="0"/>
              <w:rPr>
                <w:rFonts w:ascii="Times New Roman" w:cs="Times New Roman" w:eastAsia="Times New Roman" w:hAnsi="Times New Roman"/>
                <w:sz w:val="13"/>
                <w:szCs w:val="13"/>
                <w:color w:val="0000FF"/>
                <w:w w:val="99"/>
              </w:rPr>
            </w:pPr>
            <w:hyperlink w:anchor="page1">
              <w:r>
                <w:rPr>
                  <w:rFonts w:ascii="Times New Roman" w:cs="Times New Roman" w:eastAsia="Times New Roman" w:hAnsi="Times New Roman"/>
                  <w:sz w:val="13"/>
                  <w:szCs w:val="13"/>
                  <w:color w:val="0000FF"/>
                  <w:w w:val="99"/>
                </w:rPr>
                <w:t>Consent of RSM US LLP.</w:t>
              </w:r>
            </w:hyperlink>
          </w:p>
        </w:tc>
        <w:tc>
          <w:tcPr>
            <w:tcW w:w="8300" w:type="dxa"/>
            <w:vAlign w:val="bottom"/>
            <w:gridSpan w:val="32"/>
          </w:tcPr>
          <w:p>
            <w:pPr>
              <w:spacing w:after="0"/>
              <w:rPr>
                <w:sz w:val="21"/>
                <w:szCs w:val="21"/>
                <w:color w:val="auto"/>
              </w:rPr>
            </w:pPr>
          </w:p>
        </w:tc>
      </w:tr>
      <w:tr>
        <w:trPr>
          <w:trHeight w:val="256"/>
        </w:trPr>
        <w:tc>
          <w:tcPr>
            <w:tcW w:w="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31.1*</w:t>
            </w:r>
          </w:p>
        </w:tc>
        <w:tc>
          <w:tcPr>
            <w:tcW w:w="6240" w:type="dxa"/>
            <w:vAlign w:val="bottom"/>
            <w:tcBorders>
              <w:bottom w:val="single" w:sz="8" w:color="0000FF"/>
            </w:tcBorders>
            <w:gridSpan w:val="10"/>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Executive Officer pursuant to Rule 13a-14 of the Securities Exchange Act of 1934, as amended.</w:t>
              </w:r>
            </w:hyperlink>
          </w:p>
        </w:tc>
        <w:tc>
          <w:tcPr>
            <w:tcW w:w="3440" w:type="dxa"/>
            <w:vAlign w:val="bottom"/>
            <w:gridSpan w:val="24"/>
          </w:tcPr>
          <w:p>
            <w:pPr>
              <w:spacing w:after="0"/>
              <w:rPr>
                <w:sz w:val="22"/>
                <w:szCs w:val="22"/>
                <w:color w:val="auto"/>
              </w:rPr>
            </w:pPr>
          </w:p>
        </w:tc>
      </w:tr>
      <w:tr>
        <w:trPr>
          <w:trHeight w:val="256"/>
        </w:trPr>
        <w:tc>
          <w:tcPr>
            <w:tcW w:w="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31.2*</w:t>
            </w:r>
          </w:p>
        </w:tc>
        <w:tc>
          <w:tcPr>
            <w:tcW w:w="6200" w:type="dxa"/>
            <w:vAlign w:val="bottom"/>
            <w:tcBorders>
              <w:bottom w:val="single" w:sz="8" w:color="0000FF"/>
            </w:tcBorders>
            <w:gridSpan w:val="9"/>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Financial Officer pursuant to Rule 13a-14 of the Securities Exchange Act of 1934, as amended.</w:t>
              </w:r>
            </w:hyperlink>
          </w:p>
        </w:tc>
        <w:tc>
          <w:tcPr>
            <w:tcW w:w="3480" w:type="dxa"/>
            <w:vAlign w:val="bottom"/>
            <w:gridSpan w:val="25"/>
          </w:tcPr>
          <w:p>
            <w:pPr>
              <w:spacing w:after="0"/>
              <w:rPr>
                <w:sz w:val="22"/>
                <w:szCs w:val="22"/>
                <w:color w:val="auto"/>
              </w:rPr>
            </w:pPr>
          </w:p>
        </w:tc>
      </w:tr>
      <w:tr>
        <w:trPr>
          <w:trHeight w:val="256"/>
        </w:trPr>
        <w:tc>
          <w:tcPr>
            <w:tcW w:w="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32.1*</w:t>
            </w:r>
          </w:p>
        </w:tc>
        <w:tc>
          <w:tcPr>
            <w:tcW w:w="5280" w:type="dxa"/>
            <w:vAlign w:val="bottom"/>
            <w:tcBorders>
              <w:bottom w:val="single" w:sz="8" w:color="0000FF"/>
            </w:tcBorders>
            <w:gridSpan w:val="8"/>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Executive Officer pursuant to section 906 of the Sarbanes-Oxley Act of 2002.</w:t>
              </w:r>
            </w:hyperlink>
          </w:p>
        </w:tc>
        <w:tc>
          <w:tcPr>
            <w:tcW w:w="4400" w:type="dxa"/>
            <w:vAlign w:val="bottom"/>
            <w:gridSpan w:val="26"/>
          </w:tcPr>
          <w:p>
            <w:pPr>
              <w:spacing w:after="0"/>
              <w:rPr>
                <w:sz w:val="22"/>
                <w:szCs w:val="22"/>
                <w:color w:val="auto"/>
              </w:rPr>
            </w:pPr>
          </w:p>
        </w:tc>
      </w:tr>
      <w:tr>
        <w:trPr>
          <w:trHeight w:val="256"/>
        </w:trPr>
        <w:tc>
          <w:tcPr>
            <w:tcW w:w="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32.2*</w:t>
            </w:r>
          </w:p>
        </w:tc>
        <w:tc>
          <w:tcPr>
            <w:tcW w:w="5240" w:type="dxa"/>
            <w:vAlign w:val="bottom"/>
            <w:tcBorders>
              <w:bottom w:val="single" w:sz="8" w:color="0000FF"/>
            </w:tcBorders>
            <w:gridSpan w:val="7"/>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Financial Officer pursuant to section 906 of the Sarbanes-Oxley Act of 2002.</w:t>
              </w:r>
            </w:hyperlink>
          </w:p>
        </w:tc>
        <w:tc>
          <w:tcPr>
            <w:tcW w:w="4440" w:type="dxa"/>
            <w:vAlign w:val="bottom"/>
            <w:gridSpan w:val="27"/>
          </w:tcPr>
          <w:p>
            <w:pPr>
              <w:spacing w:after="0"/>
              <w:rPr>
                <w:sz w:val="22"/>
                <w:szCs w:val="22"/>
                <w:color w:val="auto"/>
              </w:rPr>
            </w:pPr>
          </w:p>
        </w:tc>
      </w:tr>
      <w:tr>
        <w:trPr>
          <w:trHeight w:val="256"/>
        </w:trPr>
        <w:tc>
          <w:tcPr>
            <w:tcW w:w="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97.1</w:t>
            </w:r>
          </w:p>
        </w:tc>
        <w:tc>
          <w:tcPr>
            <w:tcW w:w="9680" w:type="dxa"/>
            <w:vAlign w:val="bottom"/>
            <w:gridSpan w:val="34"/>
          </w:tcPr>
          <w:p>
            <w:pPr>
              <w:spacing w:after="0"/>
              <w:rPr>
                <w:rFonts w:ascii="Times New Roman" w:cs="Times New Roman" w:eastAsia="Times New Roman" w:hAnsi="Times New Roman"/>
                <w:sz w:val="13"/>
                <w:szCs w:val="13"/>
                <w:color w:val="0000FF"/>
              </w:rPr>
            </w:pPr>
            <w:hyperlink r:id="rId153">
              <w:r>
                <w:rPr>
                  <w:rFonts w:ascii="Times New Roman" w:cs="Times New Roman" w:eastAsia="Times New Roman" w:hAnsi="Times New Roman"/>
                  <w:sz w:val="13"/>
                  <w:szCs w:val="13"/>
                  <w:color w:val="0000FF"/>
                </w:rPr>
                <w:t>Clawback Policy (Incorporated by reference to Exhibit 97.1 to the Registrant's Annual Report on Form 10-K (File No. 814-00736), filed on December 8, 2023).</w:t>
              </w:r>
            </w:hyperlink>
          </w:p>
        </w:tc>
      </w:tr>
      <w:tr>
        <w:trPr>
          <w:trHeight w:val="20"/>
        </w:trPr>
        <w:tc>
          <w:tcPr>
            <w:tcW w:w="880" w:type="dxa"/>
            <w:vAlign w:val="bottom"/>
          </w:tcPr>
          <w:p>
            <w:pPr>
              <w:spacing w:after="0" w:line="20" w:lineRule="exact"/>
              <w:rPr>
                <w:sz w:val="1"/>
                <w:szCs w:val="1"/>
                <w:color w:val="auto"/>
              </w:rPr>
            </w:pPr>
          </w:p>
        </w:tc>
        <w:tc>
          <w:tcPr>
            <w:tcW w:w="2740" w:type="dxa"/>
            <w:vAlign w:val="bottom"/>
            <w:gridSpan w:val="5"/>
            <w:shd w:val="clear" w:color="auto" w:fill="0000FF"/>
          </w:tcPr>
          <w:p>
            <w:pPr>
              <w:spacing w:after="0" w:line="20" w:lineRule="exact"/>
              <w:rPr>
                <w:sz w:val="1"/>
                <w:szCs w:val="1"/>
                <w:color w:val="auto"/>
              </w:rPr>
            </w:pPr>
          </w:p>
        </w:tc>
        <w:tc>
          <w:tcPr>
            <w:tcW w:w="426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40" w:type="dxa"/>
            <w:vAlign w:val="bottom"/>
            <w:gridSpan w:val="15"/>
          </w:tcPr>
          <w:p>
            <w:pPr>
              <w:spacing w:after="0" w:line="20" w:lineRule="exact"/>
              <w:rPr>
                <w:sz w:val="1"/>
                <w:szCs w:val="1"/>
                <w:color w:val="auto"/>
              </w:rPr>
            </w:pPr>
          </w:p>
        </w:tc>
      </w:tr>
      <w:tr>
        <w:trPr>
          <w:trHeight w:val="280"/>
        </w:trPr>
        <w:tc>
          <w:tcPr>
            <w:tcW w:w="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99.1</w:t>
            </w:r>
          </w:p>
        </w:tc>
        <w:tc>
          <w:tcPr>
            <w:tcW w:w="9680" w:type="dxa"/>
            <w:vAlign w:val="bottom"/>
            <w:gridSpan w:val="34"/>
          </w:tcPr>
          <w:p>
            <w:pPr>
              <w:spacing w:after="0"/>
              <w:rPr>
                <w:rFonts w:ascii="Times New Roman" w:cs="Times New Roman" w:eastAsia="Times New Roman" w:hAnsi="Times New Roman"/>
                <w:sz w:val="13"/>
                <w:szCs w:val="13"/>
                <w:color w:val="0000FF"/>
              </w:rPr>
            </w:pPr>
            <w:hyperlink r:id="rId154">
              <w:r>
                <w:rPr>
                  <w:rFonts w:ascii="Times New Roman" w:cs="Times New Roman" w:eastAsia="Times New Roman" w:hAnsi="Times New Roman"/>
                  <w:sz w:val="13"/>
                  <w:szCs w:val="13"/>
                  <w:color w:val="0000FF"/>
                </w:rPr>
                <w:t>Privacy Policy of the Registrant (Incorporated by reference to Exhibit 99.1 to the Registrant's Annual REport on Form 10-K (File No. 814-00736), filed on December 8, 2023)</w:t>
              </w:r>
            </w:hyperlink>
            <w:r>
              <w:rPr>
                <w:rFonts w:ascii="Times New Roman" w:cs="Times New Roman" w:eastAsia="Times New Roman" w:hAnsi="Times New Roman"/>
                <w:sz w:val="13"/>
                <w:szCs w:val="13"/>
                <w:color w:val="0000FF"/>
              </w:rPr>
              <w:t>.</w:t>
            </w:r>
          </w:p>
        </w:tc>
      </w:tr>
      <w:tr>
        <w:trPr>
          <w:trHeight w:val="256"/>
        </w:trPr>
        <w:tc>
          <w:tcPr>
            <w:tcW w:w="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99.2*</w:t>
            </w:r>
          </w:p>
        </w:tc>
        <w:tc>
          <w:tcPr>
            <w:tcW w:w="274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Report of RSM US LLP on Senior Securities Table.</w:t>
              </w:r>
            </w:hyperlink>
          </w:p>
        </w:tc>
        <w:tc>
          <w:tcPr>
            <w:tcW w:w="6500" w:type="dxa"/>
            <w:vAlign w:val="bottom"/>
            <w:tcBorders>
              <w:top w:val="single" w:sz="8" w:color="0000FF"/>
            </w:tcBorders>
            <w:gridSpan w:val="14"/>
          </w:tcPr>
          <w:p>
            <w:pPr>
              <w:spacing w:after="0"/>
              <w:rPr>
                <w:sz w:val="22"/>
                <w:szCs w:val="22"/>
                <w:color w:val="auto"/>
              </w:rPr>
            </w:pPr>
          </w:p>
        </w:tc>
        <w:tc>
          <w:tcPr>
            <w:tcW w:w="440" w:type="dxa"/>
            <w:vAlign w:val="bottom"/>
            <w:gridSpan w:val="15"/>
          </w:tcPr>
          <w:p>
            <w:pPr>
              <w:spacing w:after="0"/>
              <w:rPr>
                <w:sz w:val="22"/>
                <w:szCs w:val="22"/>
                <w:color w:val="auto"/>
              </w:rPr>
            </w:pPr>
          </w:p>
        </w:tc>
      </w:tr>
      <w:tr>
        <w:trPr>
          <w:trHeight w:val="256"/>
        </w:trPr>
        <w:tc>
          <w:tcPr>
            <w:tcW w:w="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99.3*</w:t>
            </w:r>
          </w:p>
        </w:tc>
        <w:tc>
          <w:tcPr>
            <w:tcW w:w="9680" w:type="dxa"/>
            <w:vAlign w:val="bottom"/>
            <w:gridSpan w:val="34"/>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Audited Consolidated Financial Statement of PennantPark Senior Loan Fund LLC for the Year Ended September 30, 2024 and 2023</w:t>
              </w:r>
            </w:hyperlink>
            <w:r>
              <w:rPr>
                <w:rFonts w:ascii="Times New Roman" w:cs="Times New Roman" w:eastAsia="Times New Roman" w:hAnsi="Times New Roman"/>
                <w:sz w:val="13"/>
                <w:szCs w:val="13"/>
                <w:color w:val="000000"/>
              </w:rPr>
              <w:t>.</w:t>
            </w:r>
          </w:p>
        </w:tc>
      </w:tr>
      <w:tr>
        <w:trPr>
          <w:trHeight w:val="20"/>
        </w:trPr>
        <w:tc>
          <w:tcPr>
            <w:tcW w:w="880" w:type="dxa"/>
            <w:vAlign w:val="bottom"/>
          </w:tcPr>
          <w:p>
            <w:pPr>
              <w:spacing w:after="0" w:line="20" w:lineRule="exact"/>
              <w:rPr>
                <w:sz w:val="1"/>
                <w:szCs w:val="1"/>
                <w:color w:val="auto"/>
              </w:rPr>
            </w:pPr>
          </w:p>
        </w:tc>
        <w:tc>
          <w:tcPr>
            <w:tcW w:w="7000" w:type="dxa"/>
            <w:vAlign w:val="bottom"/>
            <w:gridSpan w:val="11"/>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gridSpan w:val="22"/>
          </w:tcPr>
          <w:p>
            <w:pPr>
              <w:spacing w:after="0" w:line="20" w:lineRule="exact"/>
              <w:rPr>
                <w:sz w:val="1"/>
                <w:szCs w:val="1"/>
                <w:color w:val="auto"/>
              </w:rPr>
            </w:pPr>
          </w:p>
        </w:tc>
      </w:tr>
      <w:tr>
        <w:trPr>
          <w:trHeight w:val="292"/>
        </w:trPr>
        <w:tc>
          <w:tcPr>
            <w:tcW w:w="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99.4*</w:t>
            </w:r>
          </w:p>
        </w:tc>
        <w:tc>
          <w:tcPr>
            <w:tcW w:w="9680" w:type="dxa"/>
            <w:vAlign w:val="bottom"/>
            <w:gridSpan w:val="34"/>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Audited Consolidated Financial Statement of PennantPark Senior Loan Fund LLC for the Year Ended September 30, 2023 and 2022.</w:t>
              </w:r>
            </w:hyperlink>
          </w:p>
        </w:tc>
      </w:tr>
      <w:tr>
        <w:trPr>
          <w:trHeight w:val="320"/>
        </w:trPr>
        <w:tc>
          <w:tcPr>
            <w:tcW w:w="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101.INS*</w:t>
            </w:r>
          </w:p>
        </w:tc>
        <w:tc>
          <w:tcPr>
            <w:tcW w:w="702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3"/>
                <w:szCs w:val="13"/>
                <w:color w:val="auto"/>
              </w:rPr>
              <w:t>Inline XBRL Instance Document</w:t>
            </w:r>
          </w:p>
        </w:tc>
        <w:tc>
          <w:tcPr>
            <w:tcW w:w="2660" w:type="dxa"/>
            <w:vAlign w:val="bottom"/>
            <w:gridSpan w:val="22"/>
          </w:tcPr>
          <w:p>
            <w:pPr>
              <w:spacing w:after="0"/>
              <w:rPr>
                <w:sz w:val="24"/>
                <w:szCs w:val="24"/>
                <w:color w:val="auto"/>
              </w:rPr>
            </w:pPr>
          </w:p>
        </w:tc>
      </w:tr>
      <w:tr>
        <w:trPr>
          <w:trHeight w:val="312"/>
        </w:trPr>
        <w:tc>
          <w:tcPr>
            <w:tcW w:w="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191.SCH*</w:t>
            </w:r>
          </w:p>
        </w:tc>
        <w:tc>
          <w:tcPr>
            <w:tcW w:w="9680" w:type="dxa"/>
            <w:vAlign w:val="bottom"/>
            <w:gridSpan w:val="34"/>
          </w:tcPr>
          <w:p>
            <w:pPr>
              <w:spacing w:after="0"/>
              <w:rPr>
                <w:sz w:val="20"/>
                <w:szCs w:val="20"/>
                <w:color w:val="auto"/>
              </w:rPr>
            </w:pPr>
            <w:r>
              <w:rPr>
                <w:rFonts w:ascii="Times New Roman" w:cs="Times New Roman" w:eastAsia="Times New Roman" w:hAnsi="Times New Roman"/>
                <w:sz w:val="13"/>
                <w:szCs w:val="13"/>
                <w:color w:val="auto"/>
              </w:rPr>
              <w:t>Inline XBRL Taxonomy Extension Schema</w:t>
            </w:r>
          </w:p>
        </w:tc>
      </w:tr>
      <w:tr>
        <w:trPr>
          <w:trHeight w:val="312"/>
        </w:trPr>
        <w:tc>
          <w:tcPr>
            <w:tcW w:w="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101.CAL*</w:t>
            </w:r>
          </w:p>
        </w:tc>
        <w:tc>
          <w:tcPr>
            <w:tcW w:w="9680" w:type="dxa"/>
            <w:vAlign w:val="bottom"/>
            <w:gridSpan w:val="34"/>
          </w:tcPr>
          <w:p>
            <w:pPr>
              <w:spacing w:after="0"/>
              <w:rPr>
                <w:sz w:val="20"/>
                <w:szCs w:val="20"/>
                <w:color w:val="auto"/>
              </w:rPr>
            </w:pPr>
            <w:r>
              <w:rPr>
                <w:rFonts w:ascii="Times New Roman" w:cs="Times New Roman" w:eastAsia="Times New Roman" w:hAnsi="Times New Roman"/>
                <w:sz w:val="13"/>
                <w:szCs w:val="13"/>
                <w:color w:val="auto"/>
              </w:rPr>
              <w:t>Inline XBRL Extension Calculation Linkbase Document</w:t>
            </w:r>
          </w:p>
        </w:tc>
      </w:tr>
      <w:tr>
        <w:trPr>
          <w:trHeight w:val="348"/>
        </w:trPr>
        <w:tc>
          <w:tcPr>
            <w:tcW w:w="880" w:type="dxa"/>
            <w:vAlign w:val="bottom"/>
          </w:tcPr>
          <w:p>
            <w:pPr>
              <w:spacing w:after="0"/>
              <w:rPr>
                <w:sz w:val="24"/>
                <w:szCs w:val="24"/>
                <w:color w:val="auto"/>
              </w:rPr>
            </w:pPr>
          </w:p>
        </w:tc>
        <w:tc>
          <w:tcPr>
            <w:tcW w:w="5240" w:type="dxa"/>
            <w:vAlign w:val="bottom"/>
            <w:gridSpan w:val="7"/>
          </w:tcPr>
          <w:p>
            <w:pPr>
              <w:ind w:left="4300"/>
              <w:spacing w:after="0"/>
              <w:rPr>
                <w:sz w:val="20"/>
                <w:szCs w:val="20"/>
                <w:color w:val="auto"/>
              </w:rPr>
            </w:pPr>
            <w:r>
              <w:rPr>
                <w:rFonts w:ascii="Times New Roman" w:cs="Times New Roman" w:eastAsia="Times New Roman" w:hAnsi="Times New Roman"/>
                <w:sz w:val="13"/>
                <w:szCs w:val="13"/>
                <w:color w:val="auto"/>
              </w:rPr>
              <w:t>108</w:t>
            </w: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0"/>
        </w:trPr>
        <w:tc>
          <w:tcPr>
            <w:tcW w:w="88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84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210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7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2092325</wp:posOffset>
            </wp:positionH>
            <wp:positionV relativeFrom="paragraph">
              <wp:posOffset>-4984115</wp:posOffset>
            </wp:positionV>
            <wp:extent cx="2286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6">
                      <a:extLst>
                        <a:ext uri="{28A0092B-C50C-407E-A947-70E740481C1C}"/>
                      </a:extLst>
                    </a:blip>
                    <a:srcRect/>
                    <a:stretch>
                      <a:fillRect/>
                    </a:stretch>
                  </pic:blipFill>
                  <pic:spPr bwMode="auto">
                    <a:xfrm>
                      <a:off x="0" y="0"/>
                      <a:ext cx="22860" cy="7620"/>
                    </a:xfrm>
                    <a:prstGeom prst="rect">
                      <a:avLst/>
                    </a:prstGeom>
                    <a:noFill/>
                  </pic:spPr>
                </pic:pic>
              </a:graphicData>
            </a:graphic>
          </wp:anchor>
        </w:drawing>
        <w:drawing>
          <wp:anchor simplePos="0" relativeHeight="251657728" behindDoc="1" locked="0" layoutInCell="0" allowOverlap="1">
            <wp:simplePos x="0" y="0"/>
            <wp:positionH relativeFrom="column">
              <wp:posOffset>2549525</wp:posOffset>
            </wp:positionH>
            <wp:positionV relativeFrom="paragraph">
              <wp:posOffset>-4610735</wp:posOffset>
            </wp:positionV>
            <wp:extent cx="2286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7">
                      <a:extLst>
                        <a:ext uri="{28A0092B-C50C-407E-A947-70E740481C1C}"/>
                      </a:extLst>
                    </a:blip>
                    <a:srcRect/>
                    <a:stretch>
                      <a:fillRect/>
                    </a:stretch>
                  </pic:blipFill>
                  <pic:spPr bwMode="auto">
                    <a:xfrm>
                      <a:off x="0" y="0"/>
                      <a:ext cx="22860" cy="7620"/>
                    </a:xfrm>
                    <a:prstGeom prst="rect">
                      <a:avLst/>
                    </a:prstGeom>
                    <a:noFill/>
                  </pic:spPr>
                </pic:pic>
              </a:graphicData>
            </a:graphic>
          </wp:anchor>
        </w:drawing>
        <w:drawing>
          <wp:anchor simplePos="0" relativeHeight="251657728" behindDoc="1" locked="0" layoutInCell="0" allowOverlap="1">
            <wp:simplePos x="0" y="0"/>
            <wp:positionH relativeFrom="column">
              <wp:posOffset>6566535</wp:posOffset>
            </wp:positionH>
            <wp:positionV relativeFrom="paragraph">
              <wp:posOffset>-3589655</wp:posOffset>
            </wp:positionV>
            <wp:extent cx="2286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8">
                      <a:extLst>
                        <a:ext uri="{28A0092B-C50C-407E-A947-70E740481C1C}"/>
                      </a:extLst>
                    </a:blip>
                    <a:srcRect/>
                    <a:stretch>
                      <a:fillRect/>
                    </a:stretch>
                  </pic:blipFill>
                  <pic:spPr bwMode="auto">
                    <a:xfrm>
                      <a:off x="0" y="0"/>
                      <a:ext cx="22860" cy="762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-3238500</wp:posOffset>
            </wp:positionV>
            <wp:extent cx="2286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9">
                      <a:extLst>
                        <a:ext uri="{28A0092B-C50C-407E-A947-70E740481C1C}"/>
                      </a:extLst>
                    </a:blip>
                    <a:srcRect/>
                    <a:stretch>
                      <a:fillRect/>
                    </a:stretch>
                  </pic:blipFill>
                  <pic:spPr bwMode="auto">
                    <a:xfrm>
                      <a:off x="0" y="0"/>
                      <a:ext cx="22860" cy="7620"/>
                    </a:xfrm>
                    <a:prstGeom prst="rect">
                      <a:avLst/>
                    </a:prstGeom>
                    <a:noFill/>
                  </pic:spPr>
                </pic:pic>
              </a:graphicData>
            </a:graphic>
          </wp:anchor>
        </w:drawing>
        <w:drawing>
          <wp:anchor simplePos="0" relativeHeight="251657728" behindDoc="1" locked="0" layoutInCell="0" allowOverlap="1">
            <wp:simplePos x="0" y="0"/>
            <wp:positionH relativeFrom="column">
              <wp:posOffset>2298065</wp:posOffset>
            </wp:positionH>
            <wp:positionV relativeFrom="paragraph">
              <wp:posOffset>-1645920</wp:posOffset>
            </wp:positionV>
            <wp:extent cx="2286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0">
                      <a:extLst>
                        <a:ext uri="{28A0092B-C50C-407E-A947-70E740481C1C}"/>
                      </a:extLst>
                    </a:blip>
                    <a:srcRect/>
                    <a:stretch>
                      <a:fillRect/>
                    </a:stretch>
                  </pic:blipFill>
                  <pic:spPr bwMode="auto">
                    <a:xfrm>
                      <a:off x="0" y="0"/>
                      <a:ext cx="22860" cy="762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8" w:name="page109"/>
    <w:bookmarkEnd w:id="108"/>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101.DEF*</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101.LAB*</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101.PRE*</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 Document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Inline XBRL Taxonomy Extension Label Linkbase Document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 Document</w:t>
      </w:r>
    </w:p>
    <w:p>
      <w:pPr>
        <w:spacing w:after="0" w:line="163" w:lineRule="exact"/>
        <w:rPr>
          <w:sz w:val="20"/>
          <w:szCs w:val="20"/>
          <w:color w:val="auto"/>
        </w:rPr>
      </w:pPr>
    </w:p>
    <w:p>
      <w:pPr>
        <w:sectPr>
          <w:pgSz w:w="11900" w:h="16840" w:orient="portrait"/>
          <w:cols w:equalWidth="0" w:num="2">
            <w:col w:w="580" w:space="300"/>
            <w:col w:w="8920"/>
          </w:cols>
          <w:pgMar w:left="660" w:top="1440" w:right="1440" w:bottom="1440" w:gutter="0" w:footer="0" w:header="0"/>
        </w:sectPr>
      </w:pPr>
    </w:p>
    <w:p>
      <w:pPr>
        <w:ind w:left="880" w:hanging="862"/>
        <w:spacing w:after="0"/>
        <w:tabs>
          <w:tab w:leader="none" w:pos="880" w:val="left"/>
        </w:tabs>
        <w:numPr>
          <w:ilvl w:val="1"/>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Cover Page Interactive Data File (formatted as inline XBRL and contained in Exhibit 101)</w:t>
      </w:r>
    </w:p>
    <w:p>
      <w:pPr>
        <w:spacing w:after="0" w:line="318"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Filed herewith</w:t>
      </w:r>
    </w:p>
    <w:p>
      <w:pPr>
        <w:spacing w:after="0" w:line="19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440" w:right="1440" w:bottom="1440" w:gutter="0" w:footer="0" w:header="0"/>
          <w:type w:val="continuous"/>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29" w:lineRule="exact"/>
        <w:rPr>
          <w:sz w:val="20"/>
          <w:szCs w:val="20"/>
          <w:color w:val="auto"/>
        </w:rPr>
      </w:pPr>
    </w:p>
    <w:p>
      <w:pPr>
        <w:ind w:right="160" w:firstLine="420"/>
        <w:spacing w:after="0" w:line="286" w:lineRule="auto"/>
        <w:rPr>
          <w:sz w:val="20"/>
          <w:szCs w:val="20"/>
          <w:color w:val="auto"/>
        </w:rPr>
      </w:pPr>
      <w:r>
        <w:rPr>
          <w:rFonts w:ascii="Times New Roman" w:cs="Times New Roman" w:eastAsia="Times New Roman" w:hAnsi="Times New Roman"/>
          <w:sz w:val="13"/>
          <w:szCs w:val="13"/>
          <w:color w:val="auto"/>
        </w:rPr>
        <w:t>Pursuant to the requirements of Section 13 or 15(d) of the Securities Exchange Act of 1934, the registrant has duly caused this report to be signed on its behalf by the undersigned, thereunto duly authorized on November 25, 2024.</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  ARTHUR H. PENN</w:t>
            </w:r>
          </w:p>
        </w:tc>
      </w:tr>
      <w:tr>
        <w:trPr>
          <w:trHeight w:val="134"/>
        </w:trPr>
        <w:tc>
          <w:tcPr>
            <w:tcW w:w="62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Name:</w:t>
            </w:r>
          </w:p>
        </w:tc>
        <w:tc>
          <w:tcPr>
            <w:tcW w:w="360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Arthur H. Penn</w:t>
            </w:r>
          </w:p>
        </w:tc>
      </w:tr>
      <w:tr>
        <w:trPr>
          <w:trHeight w:val="156"/>
        </w:trPr>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Chief Executive Officer and Chairman of the Board of</w:t>
            </w:r>
          </w:p>
        </w:tc>
      </w:tr>
      <w:tr>
        <w:trPr>
          <w:trHeight w:val="174"/>
        </w:trPr>
        <w:tc>
          <w:tcPr>
            <w:tcW w:w="62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Directors</w:t>
            </w:r>
          </w:p>
        </w:tc>
      </w:tr>
    </w:tbl>
    <w:p>
      <w:pPr>
        <w:spacing w:after="0" w:line="104" w:lineRule="exact"/>
        <w:rPr>
          <w:sz w:val="20"/>
          <w:szCs w:val="20"/>
          <w:color w:val="auto"/>
        </w:rPr>
      </w:pPr>
    </w:p>
    <w:p>
      <w:pPr>
        <w:ind w:right="260" w:firstLine="420"/>
        <w:spacing w:after="0" w:line="286"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3"/>
                <w:szCs w:val="13"/>
                <w:b w:val="1"/>
                <w:bCs w:val="1"/>
                <w:color w:val="auto"/>
              </w:rPr>
              <w:t>Signature</w:t>
            </w:r>
          </w:p>
        </w:tc>
        <w:tc>
          <w:tcPr>
            <w:tcW w:w="120" w:type="dxa"/>
            <w:vAlign w:val="bottom"/>
          </w:tcPr>
          <w:p>
            <w:pPr>
              <w:spacing w:after="0"/>
              <w:rPr>
                <w:sz w:val="14"/>
                <w:szCs w:val="14"/>
                <w:color w:val="auto"/>
              </w:rPr>
            </w:pPr>
          </w:p>
        </w:tc>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Title</w:t>
            </w:r>
          </w:p>
        </w:tc>
        <w:tc>
          <w:tcPr>
            <w:tcW w:w="120" w:type="dxa"/>
            <w:vAlign w:val="bottom"/>
          </w:tcPr>
          <w:p>
            <w:pPr>
              <w:spacing w:after="0"/>
              <w:rPr>
                <w:sz w:val="14"/>
                <w:szCs w:val="14"/>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320" w:type="dxa"/>
            <w:vAlign w:val="bottom"/>
          </w:tcPr>
          <w:p>
            <w:pPr>
              <w:spacing w:after="0"/>
              <w:rPr>
                <w:sz w:val="14"/>
                <w:szCs w:val="14"/>
                <w:color w:val="auto"/>
              </w:rPr>
            </w:pPr>
          </w:p>
        </w:tc>
      </w:tr>
      <w:tr>
        <w:trPr>
          <w:trHeight w:val="148"/>
        </w:trPr>
        <w:tc>
          <w:tcPr>
            <w:tcW w:w="320" w:type="dxa"/>
            <w:vAlign w:val="bottom"/>
          </w:tcPr>
          <w:p>
            <w:pPr>
              <w:spacing w:after="0"/>
              <w:rPr>
                <w:sz w:val="12"/>
                <w:szCs w:val="12"/>
                <w:color w:val="auto"/>
              </w:rPr>
            </w:pPr>
          </w:p>
        </w:tc>
        <w:tc>
          <w:tcPr>
            <w:tcW w:w="200" w:type="dxa"/>
            <w:vAlign w:val="bottom"/>
            <w:tcBorders>
              <w:bottom w:val="single" w:sz="8" w:color="auto"/>
            </w:tcBorders>
          </w:tcPr>
          <w:p>
            <w:pPr>
              <w:ind w:left="20"/>
              <w:spacing w:after="0" w:line="148" w:lineRule="exact"/>
              <w:rPr>
                <w:sz w:val="20"/>
                <w:szCs w:val="20"/>
                <w:color w:val="auto"/>
              </w:rPr>
            </w:pPr>
            <w:r>
              <w:rPr>
                <w:rFonts w:ascii="Times New Roman" w:cs="Times New Roman" w:eastAsia="Times New Roman" w:hAnsi="Times New Roman"/>
                <w:sz w:val="13"/>
                <w:szCs w:val="13"/>
                <w:color w:val="auto"/>
              </w:rPr>
              <w:t>/s/</w:t>
            </w:r>
          </w:p>
        </w:tc>
        <w:tc>
          <w:tcPr>
            <w:tcW w:w="2120" w:type="dxa"/>
            <w:vAlign w:val="bottom"/>
            <w:tcBorders>
              <w:bottom w:val="single" w:sz="8" w:color="auto"/>
            </w:tcBorders>
          </w:tcPr>
          <w:p>
            <w:pPr>
              <w:ind w:left="60"/>
              <w:spacing w:after="0" w:line="148" w:lineRule="exact"/>
              <w:rPr>
                <w:sz w:val="20"/>
                <w:szCs w:val="20"/>
                <w:color w:val="auto"/>
              </w:rPr>
            </w:pPr>
            <w:r>
              <w:rPr>
                <w:rFonts w:ascii="Times New Roman" w:cs="Times New Roman" w:eastAsia="Times New Roman" w:hAnsi="Times New Roman"/>
                <w:sz w:val="13"/>
                <w:szCs w:val="13"/>
                <w:color w:val="auto"/>
              </w:rPr>
              <w:t>ARTHUR H. PENN</w:t>
            </w:r>
          </w:p>
        </w:tc>
        <w:tc>
          <w:tcPr>
            <w:tcW w:w="120" w:type="dxa"/>
            <w:vAlign w:val="bottom"/>
          </w:tcPr>
          <w:p>
            <w:pPr>
              <w:spacing w:after="0"/>
              <w:rPr>
                <w:sz w:val="12"/>
                <w:szCs w:val="12"/>
                <w:color w:val="auto"/>
              </w:rPr>
            </w:pPr>
          </w:p>
        </w:tc>
        <w:tc>
          <w:tcPr>
            <w:tcW w:w="474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color w:val="auto"/>
              </w:rPr>
              <w:t>Chief Executive Officer and Chairman of the Board of Directors</w:t>
            </w:r>
          </w:p>
        </w:tc>
        <w:tc>
          <w:tcPr>
            <w:tcW w:w="120" w:type="dxa"/>
            <w:vAlign w:val="bottom"/>
          </w:tcPr>
          <w:p>
            <w:pPr>
              <w:spacing w:after="0"/>
              <w:rPr>
                <w:sz w:val="12"/>
                <w:szCs w:val="12"/>
                <w:color w:val="auto"/>
              </w:rPr>
            </w:pPr>
          </w:p>
        </w:tc>
        <w:tc>
          <w:tcPr>
            <w:tcW w:w="262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color w:val="auto"/>
              </w:rPr>
              <w:t>November 25, 2024</w:t>
            </w:r>
          </w:p>
        </w:tc>
        <w:tc>
          <w:tcPr>
            <w:tcW w:w="320" w:type="dxa"/>
            <w:vAlign w:val="bottom"/>
          </w:tcPr>
          <w:p>
            <w:pPr>
              <w:spacing w:after="0"/>
              <w:rPr>
                <w:sz w:val="12"/>
                <w:szCs w:val="12"/>
                <w:color w:val="auto"/>
              </w:rPr>
            </w:pPr>
          </w:p>
        </w:tc>
      </w:tr>
      <w:tr>
        <w:trPr>
          <w:trHeight w:val="166"/>
        </w:trPr>
        <w:tc>
          <w:tcPr>
            <w:tcW w:w="320" w:type="dxa"/>
            <w:vAlign w:val="bottom"/>
          </w:tcPr>
          <w:p>
            <w:pPr>
              <w:spacing w:after="0"/>
              <w:rPr>
                <w:sz w:val="14"/>
                <w:szCs w:val="1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Arthur H. Penn</w:t>
            </w:r>
          </w:p>
        </w:tc>
        <w:tc>
          <w:tcPr>
            <w:tcW w:w="120" w:type="dxa"/>
            <w:vAlign w:val="bottom"/>
          </w:tcPr>
          <w:p>
            <w:pPr>
              <w:spacing w:after="0"/>
              <w:rPr>
                <w:sz w:val="14"/>
                <w:szCs w:val="14"/>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(Principal Executive Officer)</w:t>
            </w: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258"/>
        </w:trPr>
        <w:tc>
          <w:tcPr>
            <w:tcW w:w="320" w:type="dxa"/>
            <w:vAlign w:val="bottom"/>
          </w:tcPr>
          <w:p>
            <w:pPr>
              <w:spacing w:after="0"/>
              <w:rPr>
                <w:sz w:val="22"/>
                <w:szCs w:val="22"/>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w:t>
            </w:r>
          </w:p>
        </w:tc>
        <w:tc>
          <w:tcPr>
            <w:tcW w:w="2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RICHARD T. ALLORTO, JR.</w:t>
            </w:r>
          </w:p>
        </w:tc>
        <w:tc>
          <w:tcPr>
            <w:tcW w:w="120" w:type="dxa"/>
            <w:vAlign w:val="bottom"/>
          </w:tcPr>
          <w:p>
            <w:pPr>
              <w:spacing w:after="0"/>
              <w:rPr>
                <w:sz w:val="22"/>
                <w:szCs w:val="22"/>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Chief Financial Officer and Treasurer</w:t>
            </w:r>
          </w:p>
        </w:tc>
        <w:tc>
          <w:tcPr>
            <w:tcW w:w="120" w:type="dxa"/>
            <w:vAlign w:val="bottom"/>
          </w:tcPr>
          <w:p>
            <w:pPr>
              <w:spacing w:after="0"/>
              <w:rPr>
                <w:sz w:val="22"/>
                <w:szCs w:val="22"/>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November 25, 2024</w:t>
            </w:r>
          </w:p>
        </w:tc>
        <w:tc>
          <w:tcPr>
            <w:tcW w:w="320" w:type="dxa"/>
            <w:vAlign w:val="bottom"/>
          </w:tcPr>
          <w:p>
            <w:pPr>
              <w:spacing w:after="0"/>
              <w:rPr>
                <w:sz w:val="22"/>
                <w:szCs w:val="22"/>
                <w:color w:val="auto"/>
              </w:rPr>
            </w:pPr>
          </w:p>
        </w:tc>
      </w:tr>
      <w:tr>
        <w:trPr>
          <w:trHeight w:val="164"/>
        </w:trPr>
        <w:tc>
          <w:tcPr>
            <w:tcW w:w="320" w:type="dxa"/>
            <w:vAlign w:val="bottom"/>
          </w:tcPr>
          <w:p>
            <w:pPr>
              <w:spacing w:after="0"/>
              <w:rPr>
                <w:sz w:val="14"/>
                <w:szCs w:val="1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Richard T. Allorto, Jr.</w:t>
            </w:r>
          </w:p>
        </w:tc>
        <w:tc>
          <w:tcPr>
            <w:tcW w:w="120" w:type="dxa"/>
            <w:vAlign w:val="bottom"/>
          </w:tcPr>
          <w:p>
            <w:pPr>
              <w:spacing w:after="0"/>
              <w:rPr>
                <w:sz w:val="14"/>
                <w:szCs w:val="14"/>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(Principal Financial and Accounting Officer)</w:t>
            </w: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260"/>
        </w:trPr>
        <w:tc>
          <w:tcPr>
            <w:tcW w:w="320" w:type="dxa"/>
            <w:vAlign w:val="bottom"/>
          </w:tcPr>
          <w:p>
            <w:pPr>
              <w:spacing w:after="0"/>
              <w:rPr>
                <w:sz w:val="22"/>
                <w:szCs w:val="22"/>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w:t>
            </w:r>
          </w:p>
        </w:tc>
        <w:tc>
          <w:tcPr>
            <w:tcW w:w="2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ADAM K. BERNSTEIN</w:t>
            </w:r>
          </w:p>
        </w:tc>
        <w:tc>
          <w:tcPr>
            <w:tcW w:w="120" w:type="dxa"/>
            <w:vAlign w:val="bottom"/>
          </w:tcPr>
          <w:p>
            <w:pPr>
              <w:spacing w:after="0"/>
              <w:rPr>
                <w:sz w:val="22"/>
                <w:szCs w:val="22"/>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Director</w:t>
            </w:r>
          </w:p>
        </w:tc>
        <w:tc>
          <w:tcPr>
            <w:tcW w:w="120" w:type="dxa"/>
            <w:vAlign w:val="bottom"/>
          </w:tcPr>
          <w:p>
            <w:pPr>
              <w:spacing w:after="0"/>
              <w:rPr>
                <w:sz w:val="22"/>
                <w:szCs w:val="22"/>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November 25, 2024</w:t>
            </w:r>
          </w:p>
        </w:tc>
        <w:tc>
          <w:tcPr>
            <w:tcW w:w="320" w:type="dxa"/>
            <w:vAlign w:val="bottom"/>
          </w:tcPr>
          <w:p>
            <w:pPr>
              <w:spacing w:after="0"/>
              <w:rPr>
                <w:sz w:val="22"/>
                <w:szCs w:val="22"/>
                <w:color w:val="auto"/>
              </w:rPr>
            </w:pPr>
          </w:p>
        </w:tc>
      </w:tr>
      <w:tr>
        <w:trPr>
          <w:trHeight w:val="166"/>
        </w:trPr>
        <w:tc>
          <w:tcPr>
            <w:tcW w:w="320" w:type="dxa"/>
            <w:vAlign w:val="bottom"/>
          </w:tcPr>
          <w:p>
            <w:pPr>
              <w:spacing w:after="0"/>
              <w:rPr>
                <w:sz w:val="14"/>
                <w:szCs w:val="1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Adam K. Bernstein</w:t>
            </w:r>
          </w:p>
        </w:tc>
        <w:tc>
          <w:tcPr>
            <w:tcW w:w="1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258"/>
        </w:trPr>
        <w:tc>
          <w:tcPr>
            <w:tcW w:w="320" w:type="dxa"/>
            <w:vAlign w:val="bottom"/>
          </w:tcPr>
          <w:p>
            <w:pPr>
              <w:spacing w:after="0"/>
              <w:rPr>
                <w:sz w:val="22"/>
                <w:szCs w:val="22"/>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w:t>
            </w:r>
          </w:p>
        </w:tc>
        <w:tc>
          <w:tcPr>
            <w:tcW w:w="2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JEFFREY FLUG</w:t>
            </w:r>
          </w:p>
        </w:tc>
        <w:tc>
          <w:tcPr>
            <w:tcW w:w="120" w:type="dxa"/>
            <w:vAlign w:val="bottom"/>
          </w:tcPr>
          <w:p>
            <w:pPr>
              <w:spacing w:after="0"/>
              <w:rPr>
                <w:sz w:val="22"/>
                <w:szCs w:val="22"/>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Director</w:t>
            </w:r>
          </w:p>
        </w:tc>
        <w:tc>
          <w:tcPr>
            <w:tcW w:w="120" w:type="dxa"/>
            <w:vAlign w:val="bottom"/>
          </w:tcPr>
          <w:p>
            <w:pPr>
              <w:spacing w:after="0"/>
              <w:rPr>
                <w:sz w:val="22"/>
                <w:szCs w:val="22"/>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November 25, 2024</w:t>
            </w:r>
          </w:p>
        </w:tc>
        <w:tc>
          <w:tcPr>
            <w:tcW w:w="320" w:type="dxa"/>
            <w:vAlign w:val="bottom"/>
          </w:tcPr>
          <w:p>
            <w:pPr>
              <w:spacing w:after="0"/>
              <w:rPr>
                <w:sz w:val="22"/>
                <w:szCs w:val="22"/>
                <w:color w:val="auto"/>
              </w:rPr>
            </w:pPr>
          </w:p>
        </w:tc>
      </w:tr>
      <w:tr>
        <w:trPr>
          <w:trHeight w:val="166"/>
        </w:trPr>
        <w:tc>
          <w:tcPr>
            <w:tcW w:w="320" w:type="dxa"/>
            <w:vAlign w:val="bottom"/>
          </w:tcPr>
          <w:p>
            <w:pPr>
              <w:spacing w:after="0"/>
              <w:rPr>
                <w:sz w:val="14"/>
                <w:szCs w:val="1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Jeffrey Flug</w:t>
            </w:r>
          </w:p>
        </w:tc>
        <w:tc>
          <w:tcPr>
            <w:tcW w:w="1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258"/>
        </w:trPr>
        <w:tc>
          <w:tcPr>
            <w:tcW w:w="320" w:type="dxa"/>
            <w:vAlign w:val="bottom"/>
          </w:tcPr>
          <w:p>
            <w:pPr>
              <w:spacing w:after="0"/>
              <w:rPr>
                <w:sz w:val="22"/>
                <w:szCs w:val="22"/>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w:t>
            </w:r>
          </w:p>
        </w:tc>
        <w:tc>
          <w:tcPr>
            <w:tcW w:w="2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MARSHALL BROZOST</w:t>
            </w:r>
          </w:p>
        </w:tc>
        <w:tc>
          <w:tcPr>
            <w:tcW w:w="120" w:type="dxa"/>
            <w:vAlign w:val="bottom"/>
          </w:tcPr>
          <w:p>
            <w:pPr>
              <w:spacing w:after="0"/>
              <w:rPr>
                <w:sz w:val="22"/>
                <w:szCs w:val="22"/>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Director</w:t>
            </w:r>
          </w:p>
        </w:tc>
        <w:tc>
          <w:tcPr>
            <w:tcW w:w="120" w:type="dxa"/>
            <w:vAlign w:val="bottom"/>
          </w:tcPr>
          <w:p>
            <w:pPr>
              <w:spacing w:after="0"/>
              <w:rPr>
                <w:sz w:val="22"/>
                <w:szCs w:val="22"/>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November 25, 2024</w:t>
            </w:r>
          </w:p>
        </w:tc>
        <w:tc>
          <w:tcPr>
            <w:tcW w:w="320" w:type="dxa"/>
            <w:vAlign w:val="bottom"/>
          </w:tcPr>
          <w:p>
            <w:pPr>
              <w:spacing w:after="0"/>
              <w:rPr>
                <w:sz w:val="22"/>
                <w:szCs w:val="22"/>
                <w:color w:val="auto"/>
              </w:rPr>
            </w:pPr>
          </w:p>
        </w:tc>
      </w:tr>
      <w:tr>
        <w:trPr>
          <w:trHeight w:val="166"/>
        </w:trPr>
        <w:tc>
          <w:tcPr>
            <w:tcW w:w="320" w:type="dxa"/>
            <w:vAlign w:val="bottom"/>
          </w:tcPr>
          <w:p>
            <w:pPr>
              <w:spacing w:after="0"/>
              <w:rPr>
                <w:sz w:val="14"/>
                <w:szCs w:val="1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Marshall Brozost</w:t>
            </w:r>
          </w:p>
        </w:tc>
        <w:tc>
          <w:tcPr>
            <w:tcW w:w="1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258"/>
        </w:trPr>
        <w:tc>
          <w:tcPr>
            <w:tcW w:w="320" w:type="dxa"/>
            <w:vAlign w:val="bottom"/>
          </w:tcPr>
          <w:p>
            <w:pPr>
              <w:spacing w:after="0"/>
              <w:rPr>
                <w:sz w:val="22"/>
                <w:szCs w:val="22"/>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w:t>
            </w:r>
          </w:p>
        </w:tc>
        <w:tc>
          <w:tcPr>
            <w:tcW w:w="2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SAMUEL L. KATZ</w:t>
            </w:r>
          </w:p>
        </w:tc>
        <w:tc>
          <w:tcPr>
            <w:tcW w:w="120" w:type="dxa"/>
            <w:vAlign w:val="bottom"/>
          </w:tcPr>
          <w:p>
            <w:pPr>
              <w:spacing w:after="0"/>
              <w:rPr>
                <w:sz w:val="22"/>
                <w:szCs w:val="22"/>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Director</w:t>
            </w:r>
          </w:p>
        </w:tc>
        <w:tc>
          <w:tcPr>
            <w:tcW w:w="120" w:type="dxa"/>
            <w:vAlign w:val="bottom"/>
          </w:tcPr>
          <w:p>
            <w:pPr>
              <w:spacing w:after="0"/>
              <w:rPr>
                <w:sz w:val="22"/>
                <w:szCs w:val="22"/>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November 25, 2024</w:t>
            </w:r>
          </w:p>
        </w:tc>
        <w:tc>
          <w:tcPr>
            <w:tcW w:w="320" w:type="dxa"/>
            <w:vAlign w:val="bottom"/>
          </w:tcPr>
          <w:p>
            <w:pPr>
              <w:spacing w:after="0"/>
              <w:rPr>
                <w:sz w:val="22"/>
                <w:szCs w:val="22"/>
                <w:color w:val="auto"/>
              </w:rPr>
            </w:pPr>
          </w:p>
        </w:tc>
      </w:tr>
      <w:tr>
        <w:trPr>
          <w:trHeight w:val="166"/>
        </w:trPr>
        <w:tc>
          <w:tcPr>
            <w:tcW w:w="320" w:type="dxa"/>
            <w:vAlign w:val="bottom"/>
          </w:tcPr>
          <w:p>
            <w:pPr>
              <w:spacing w:after="0"/>
              <w:rPr>
                <w:sz w:val="14"/>
                <w:szCs w:val="1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Samuel L. Katz</w:t>
            </w:r>
          </w:p>
        </w:tc>
        <w:tc>
          <w:tcPr>
            <w:tcW w:w="1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281"/>
        </w:trPr>
        <w:tc>
          <w:tcPr>
            <w:tcW w:w="320" w:type="dxa"/>
            <w:vAlign w:val="bottom"/>
          </w:tcPr>
          <w:p>
            <w:pPr>
              <w:spacing w:after="0"/>
              <w:rPr>
                <w:sz w:val="24"/>
                <w:szCs w:val="2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/s/  </w:t>
            </w:r>
            <w:r>
              <w:rPr>
                <w:rFonts w:ascii="Times New Roman" w:cs="Times New Roman" w:eastAsia="Times New Roman" w:hAnsi="Times New Roman"/>
                <w:sz w:val="13"/>
                <w:szCs w:val="13"/>
                <w:color w:val="auto"/>
              </w:rPr>
              <w:t>JOSÉ A. BRIONES, JR</w:t>
            </w:r>
          </w:p>
        </w:tc>
        <w:tc>
          <w:tcPr>
            <w:tcW w:w="120" w:type="dxa"/>
            <w:vAlign w:val="bottom"/>
          </w:tcPr>
          <w:p>
            <w:pPr>
              <w:spacing w:after="0"/>
              <w:rPr>
                <w:sz w:val="24"/>
                <w:szCs w:val="24"/>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Director</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November 25, 2024</w:t>
            </w:r>
          </w:p>
        </w:tc>
        <w:tc>
          <w:tcPr>
            <w:tcW w:w="320" w:type="dxa"/>
            <w:vAlign w:val="bottom"/>
          </w:tcPr>
          <w:p>
            <w:pPr>
              <w:spacing w:after="0"/>
              <w:rPr>
                <w:sz w:val="24"/>
                <w:szCs w:val="24"/>
                <w:color w:val="auto"/>
              </w:rPr>
            </w:pPr>
          </w:p>
        </w:tc>
      </w:tr>
      <w:tr>
        <w:trPr>
          <w:trHeight w:val="174"/>
        </w:trPr>
        <w:tc>
          <w:tcPr>
            <w:tcW w:w="320" w:type="dxa"/>
            <w:vAlign w:val="bottom"/>
          </w:tcPr>
          <w:p>
            <w:pPr>
              <w:spacing w:after="0"/>
              <w:rPr>
                <w:sz w:val="15"/>
                <w:szCs w:val="15"/>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José A. Briones, Jr.</w:t>
            </w:r>
          </w:p>
        </w:tc>
        <w:tc>
          <w:tcPr>
            <w:tcW w:w="1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504"/>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860" w:type="dxa"/>
            <w:vAlign w:val="bottom"/>
            <w:gridSpan w:val="2"/>
          </w:tcPr>
          <w:p>
            <w:pPr>
              <w:jc w:val="right"/>
              <w:ind w:right="2054"/>
              <w:spacing w:after="0"/>
              <w:rPr>
                <w:sz w:val="20"/>
                <w:szCs w:val="20"/>
                <w:color w:val="auto"/>
              </w:rPr>
            </w:pPr>
            <w:r>
              <w:rPr>
                <w:rFonts w:ascii="Times New Roman" w:cs="Times New Roman" w:eastAsia="Times New Roman" w:hAnsi="Times New Roman"/>
                <w:sz w:val="13"/>
                <w:szCs w:val="13"/>
                <w:color w:val="auto"/>
              </w:rPr>
              <w:t>110</w:t>
            </w: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680"/>
        </w:trPr>
        <w:tc>
          <w:tcPr>
            <w:tcW w:w="3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21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47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262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3"/>
          <w:szCs w:val="13"/>
          <w:b w:val="1"/>
          <w:bCs w:val="1"/>
          <w:color w:val="auto"/>
        </w:rPr>
        <w:t>EXHIBIT 21.1</w:t>
      </w:r>
    </w:p>
    <w:p>
      <w:pPr>
        <w:spacing w:after="0" w:line="1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Subsidiaries of the Registrant</w:t>
      </w:r>
    </w:p>
    <w:p>
      <w:pPr>
        <w:sectPr>
          <w:pgSz w:w="11900" w:h="16840" w:orient="portrait"/>
          <w:cols w:equalWidth="0" w:num="1">
            <w:col w:w="10560"/>
          </w:cols>
          <w:pgMar w:left="660" w:top="1132" w:right="680" w:bottom="1440" w:gutter="0" w:footer="0" w:header="0"/>
        </w:sectPr>
      </w:pP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5740" w:type="dxa"/>
            <w:vAlign w:val="bottom"/>
          </w:tcPr>
          <w:p>
            <w:pPr>
              <w:spacing w:after="0"/>
              <w:rPr>
                <w:sz w:val="13"/>
                <w:szCs w:val="13"/>
                <w:color w:val="auto"/>
              </w:rPr>
            </w:pPr>
          </w:p>
        </w:tc>
        <w:tc>
          <w:tcPr>
            <w:tcW w:w="462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Voting Securities</w:t>
            </w:r>
          </w:p>
        </w:tc>
      </w:tr>
      <w:tr>
        <w:trPr>
          <w:trHeight w:val="158"/>
        </w:trPr>
        <w:tc>
          <w:tcPr>
            <w:tcW w:w="5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 of entity and place of jurisdiction</w:t>
            </w:r>
          </w:p>
        </w:tc>
        <w:tc>
          <w:tcPr>
            <w:tcW w:w="462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Owned Percentage</w:t>
            </w:r>
          </w:p>
        </w:tc>
      </w:tr>
      <w:tr>
        <w:trPr>
          <w:trHeight w:val="156"/>
        </w:trPr>
        <w:tc>
          <w:tcPr>
            <w:tcW w:w="5740" w:type="dxa"/>
            <w:vAlign w:val="bottom"/>
          </w:tcPr>
          <w:p>
            <w:pPr>
              <w:spacing w:after="0"/>
              <w:rPr>
                <w:sz w:val="20"/>
                <w:szCs w:val="20"/>
                <w:color w:val="auto"/>
              </w:rPr>
            </w:pPr>
            <w:r>
              <w:rPr>
                <w:rFonts w:ascii="Times New Roman" w:cs="Times New Roman" w:eastAsia="Times New Roman" w:hAnsi="Times New Roman"/>
                <w:sz w:val="13"/>
                <w:szCs w:val="13"/>
                <w:color w:val="auto"/>
              </w:rPr>
              <w:t>PNNT Alabama Holdings Inc. (Delaware)</w:t>
            </w:r>
          </w:p>
        </w:tc>
        <w:tc>
          <w:tcPr>
            <w:tcW w:w="4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r>
      <w:tr>
        <w:trPr>
          <w:trHeight w:val="156"/>
        </w:trPr>
        <w:tc>
          <w:tcPr>
            <w:tcW w:w="5740" w:type="dxa"/>
            <w:vAlign w:val="bottom"/>
          </w:tcPr>
          <w:p>
            <w:pPr>
              <w:spacing w:after="0"/>
              <w:rPr>
                <w:sz w:val="20"/>
                <w:szCs w:val="20"/>
                <w:color w:val="auto"/>
              </w:rPr>
            </w:pPr>
            <w:r>
              <w:rPr>
                <w:rFonts w:ascii="Times New Roman" w:cs="Times New Roman" w:eastAsia="Times New Roman" w:hAnsi="Times New Roman"/>
                <w:sz w:val="13"/>
                <w:szCs w:val="13"/>
                <w:color w:val="auto"/>
              </w:rPr>
              <w:t>PNNT Investment Holdings, LLC (Delaware)</w:t>
            </w:r>
          </w:p>
        </w:tc>
        <w:tc>
          <w:tcPr>
            <w:tcW w:w="4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r>
      <w:tr>
        <w:trPr>
          <w:trHeight w:val="156"/>
        </w:trPr>
        <w:tc>
          <w:tcPr>
            <w:tcW w:w="5740" w:type="dxa"/>
            <w:vAlign w:val="bottom"/>
          </w:tcPr>
          <w:p>
            <w:pPr>
              <w:spacing w:after="0"/>
              <w:rPr>
                <w:sz w:val="20"/>
                <w:szCs w:val="20"/>
                <w:color w:val="auto"/>
              </w:rPr>
            </w:pPr>
            <w:r>
              <w:rPr>
                <w:rFonts w:ascii="Times New Roman" w:cs="Times New Roman" w:eastAsia="Times New Roman" w:hAnsi="Times New Roman"/>
                <w:sz w:val="13"/>
                <w:szCs w:val="13"/>
                <w:color w:val="auto"/>
              </w:rPr>
              <w:t>PNNT Investment Holdings II, LLC (Delaware)</w:t>
            </w:r>
          </w:p>
        </w:tc>
        <w:tc>
          <w:tcPr>
            <w:tcW w:w="4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r>
      <w:tr>
        <w:trPr>
          <w:trHeight w:val="156"/>
        </w:trPr>
        <w:tc>
          <w:tcPr>
            <w:tcW w:w="5740" w:type="dxa"/>
            <w:vAlign w:val="bottom"/>
          </w:tcPr>
          <w:p>
            <w:pPr>
              <w:spacing w:after="0"/>
              <w:rPr>
                <w:sz w:val="20"/>
                <w:szCs w:val="20"/>
                <w:color w:val="auto"/>
              </w:rPr>
            </w:pPr>
            <w:r>
              <w:rPr>
                <w:rFonts w:ascii="Times New Roman" w:cs="Times New Roman" w:eastAsia="Times New Roman" w:hAnsi="Times New Roman"/>
                <w:sz w:val="13"/>
                <w:szCs w:val="13"/>
                <w:color w:val="auto"/>
              </w:rPr>
              <w:t>RAM Energy Holdings LLC (Delaware)</w:t>
            </w:r>
          </w:p>
        </w:tc>
        <w:tc>
          <w:tcPr>
            <w:tcW w:w="4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r>
      <w:tr>
        <w:trPr>
          <w:trHeight w:val="156"/>
        </w:trPr>
        <w:tc>
          <w:tcPr>
            <w:tcW w:w="5740" w:type="dxa"/>
            <w:vAlign w:val="bottom"/>
          </w:tcPr>
          <w:p>
            <w:pPr>
              <w:spacing w:after="0"/>
              <w:rPr>
                <w:sz w:val="20"/>
                <w:szCs w:val="20"/>
                <w:color w:val="auto"/>
              </w:rPr>
            </w:pPr>
            <w:r>
              <w:rPr>
                <w:rFonts w:ascii="Times New Roman" w:cs="Times New Roman" w:eastAsia="Times New Roman" w:hAnsi="Times New Roman"/>
                <w:sz w:val="13"/>
                <w:szCs w:val="13"/>
                <w:color w:val="auto"/>
              </w:rPr>
              <w:t>MSpark, LLC (Alabama)</w:t>
            </w:r>
          </w:p>
        </w:tc>
        <w:tc>
          <w:tcPr>
            <w:tcW w:w="4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51 %</w:t>
            </w:r>
          </w:p>
        </w:tc>
      </w:tr>
      <w:tr>
        <w:trPr>
          <w:trHeight w:val="156"/>
        </w:trPr>
        <w:tc>
          <w:tcPr>
            <w:tcW w:w="5740" w:type="dxa"/>
            <w:vAlign w:val="bottom"/>
          </w:tcPr>
          <w:p>
            <w:pPr>
              <w:spacing w:after="0"/>
              <w:rPr>
                <w:sz w:val="20"/>
                <w:szCs w:val="20"/>
                <w:color w:val="auto"/>
              </w:rPr>
            </w:pPr>
            <w:r>
              <w:rPr>
                <w:rFonts w:ascii="Times New Roman" w:cs="Times New Roman" w:eastAsia="Times New Roman" w:hAnsi="Times New Roman"/>
                <w:sz w:val="13"/>
                <w:szCs w:val="13"/>
                <w:color w:val="auto"/>
              </w:rPr>
              <w:t>PennantPark Senior Loan Fund, LLC</w:t>
            </w:r>
          </w:p>
        </w:tc>
        <w:tc>
          <w:tcPr>
            <w:tcW w:w="4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61 %</w:t>
            </w:r>
          </w:p>
        </w:tc>
      </w:tr>
      <w:tr>
        <w:trPr>
          <w:trHeight w:val="156"/>
        </w:trPr>
        <w:tc>
          <w:tcPr>
            <w:tcW w:w="5740" w:type="dxa"/>
            <w:vAlign w:val="bottom"/>
          </w:tcPr>
          <w:p>
            <w:pPr>
              <w:spacing w:after="0"/>
              <w:rPr>
                <w:sz w:val="20"/>
                <w:szCs w:val="20"/>
                <w:color w:val="auto"/>
              </w:rPr>
            </w:pPr>
            <w:r>
              <w:rPr>
                <w:rFonts w:ascii="Times New Roman" w:cs="Times New Roman" w:eastAsia="Times New Roman" w:hAnsi="Times New Roman"/>
                <w:sz w:val="13"/>
                <w:szCs w:val="13"/>
                <w:color w:val="auto"/>
              </w:rPr>
              <w:t>AKW Holdings Limited (Isle of Man)</w:t>
            </w:r>
          </w:p>
        </w:tc>
        <w:tc>
          <w:tcPr>
            <w:tcW w:w="4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77 %</w:t>
            </w:r>
          </w:p>
        </w:tc>
      </w:tr>
      <w:tr>
        <w:trPr>
          <w:trHeight w:val="156"/>
        </w:trPr>
        <w:tc>
          <w:tcPr>
            <w:tcW w:w="5740" w:type="dxa"/>
            <w:vAlign w:val="bottom"/>
          </w:tcPr>
          <w:p>
            <w:pPr>
              <w:spacing w:after="0"/>
              <w:rPr>
                <w:sz w:val="20"/>
                <w:szCs w:val="20"/>
                <w:color w:val="auto"/>
              </w:rPr>
            </w:pPr>
            <w:r>
              <w:rPr>
                <w:rFonts w:ascii="Times New Roman" w:cs="Times New Roman" w:eastAsia="Times New Roman" w:hAnsi="Times New Roman"/>
                <w:sz w:val="13"/>
                <w:szCs w:val="13"/>
                <w:color w:val="auto"/>
              </w:rPr>
              <w:t>JF Intermediate, LLC</w:t>
            </w:r>
          </w:p>
        </w:tc>
        <w:tc>
          <w:tcPr>
            <w:tcW w:w="4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52 %</w:t>
            </w:r>
          </w:p>
        </w:tc>
      </w:tr>
      <w:tr>
        <w:trPr>
          <w:trHeight w:val="172"/>
        </w:trPr>
        <w:tc>
          <w:tcPr>
            <w:tcW w:w="5740" w:type="dxa"/>
            <w:vAlign w:val="bottom"/>
          </w:tcPr>
          <w:p>
            <w:pPr>
              <w:spacing w:after="0"/>
              <w:rPr>
                <w:sz w:val="20"/>
                <w:szCs w:val="20"/>
                <w:color w:val="auto"/>
              </w:rPr>
            </w:pPr>
            <w:r>
              <w:rPr>
                <w:rFonts w:ascii="Times New Roman" w:cs="Times New Roman" w:eastAsia="Times New Roman" w:hAnsi="Times New Roman"/>
                <w:sz w:val="13"/>
                <w:szCs w:val="13"/>
                <w:color w:val="auto"/>
              </w:rPr>
              <w:t>Flock Financial, LLC</w:t>
            </w:r>
          </w:p>
        </w:tc>
        <w:tc>
          <w:tcPr>
            <w:tcW w:w="4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-893445</wp:posOffset>
            </wp:positionV>
            <wp:extent cx="6707505" cy="990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3">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-695325</wp:posOffset>
            </wp:positionV>
            <wp:extent cx="6707505" cy="990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4">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-497205</wp:posOffset>
            </wp:positionV>
            <wp:extent cx="6707505" cy="990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5">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-299085</wp:posOffset>
            </wp:positionV>
            <wp:extent cx="6707505" cy="990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6">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-100965</wp:posOffset>
            </wp:positionV>
            <wp:extent cx="6707505" cy="990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7">
                      <a:extLst>
                        <a:ext uri="{28A0092B-C50C-407E-A947-70E740481C1C}"/>
                      </a:extLst>
                    </a:blip>
                    <a:srcRect/>
                    <a:stretch>
                      <a:fillRect/>
                    </a:stretch>
                  </pic:blipFill>
                  <pic:spPr bwMode="auto">
                    <a:xfrm>
                      <a:off x="0" y="0"/>
                      <a:ext cx="6707505" cy="990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(2)</w:t>
      </w:r>
    </w:p>
    <w:p>
      <w:pPr>
        <w:spacing w:after="0" w:line="174" w:lineRule="exact"/>
        <w:rPr>
          <w:sz w:val="20"/>
          <w:szCs w:val="20"/>
          <w:color w:val="auto"/>
        </w:rPr>
      </w:pPr>
    </w:p>
    <w:p>
      <w:pPr>
        <w:sectPr>
          <w:pgSz w:w="11900" w:h="16840" w:orient="portrait"/>
          <w:cols w:equalWidth="0" w:num="2">
            <w:col w:w="10380" w:space="40"/>
            <w:col w:w="140"/>
          </w:cols>
          <w:pgMar w:left="660" w:top="1132" w:right="680" w:bottom="1440" w:gutter="0" w:footer="0" w:header="0"/>
          <w:type w:val="continuous"/>
        </w:sectPr>
      </w:pPr>
    </w:p>
    <w:p>
      <w:pPr>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This entity is not operational.</w:t>
      </w:r>
    </w:p>
    <w:p>
      <w:pPr>
        <w:spacing w:after="0"/>
        <w:rPr>
          <w:sz w:val="20"/>
          <w:szCs w:val="20"/>
          <w:color w:val="auto"/>
        </w:rPr>
      </w:pP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2"/>
          <w:szCs w:val="12"/>
          <w:color w:val="auto"/>
        </w:rPr>
        <w:t>This is a controlled affiliated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382270</wp:posOffset>
            </wp:positionV>
            <wp:extent cx="6732905"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type w:val="continuous"/>
        </w:sectPr>
      </w:pPr>
    </w:p>
    <w:bookmarkStart w:id="111" w:name="page112"/>
    <w:bookmarkEnd w:id="111"/>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178"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We consent to the incorporation by reference in the Registration Statement on Form N- 2 of PennantPark Investment Corporation and Subsidiaries (the Company) of our reports dated November 25, 2024, relating to the consolidated financial statements and the effectiveness of internal control over financial reporting of the Company, appearing in the Annual Report on Form 10- K of the Company for the year ended September 30, 2024. We also consent to the use in such Registration Statement of our report dated November 25, 2024, relating to the senior securities table appearing as Exhibit 99.2 in the accompanying Form 10-K of the Company for the year ended September 30, 2024.</w:t>
      </w:r>
    </w:p>
    <w:p>
      <w:pPr>
        <w:spacing w:after="0" w:line="157"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6"/>
          <w:szCs w:val="16"/>
          <w:color w:val="auto"/>
        </w:rPr>
        <w:t>We also consent to the use in such Registration Statement of our report dated November 25, 2024, relating to the consolidated financial statements of PennantPark Senior Loan Fund LLC as of and for the years ended September 30, 2024 and 2023 appearing as Exhibit 99.3 and our report dated December 7, 2023, relating to the consolidated financial statements of PennantPark Senior Loan Fund LLC as of and for the years ended September 30, 2023 and 2022 appearing as Exhibits 99.4 in the accompanying Form 10-K of the Company for the year ended September 30, 2024.</w:t>
      </w:r>
    </w:p>
    <w:p>
      <w:pPr>
        <w:spacing w:after="0" w:line="155"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We also consent to the reference to our firm under the headings “Senior Securities” in the accompanying Form 10-K and “Independent Registered Public Accounting Firm” in such Registration Statement on Form N-2.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RSM US LLP</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New York</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November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545465</wp:posOffset>
            </wp:positionV>
            <wp:extent cx="6732905"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011" w:right="680"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3"/>
          <w:szCs w:val="13"/>
          <w:b w:val="1"/>
          <w:bCs w:val="1"/>
          <w:color w:val="auto"/>
        </w:rPr>
        <w:t>EXHIBIT 31.1</w:t>
      </w:r>
    </w:p>
    <w:p>
      <w:pPr>
        <w:spacing w:after="0" w:line="12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3"/>
          <w:szCs w:val="13"/>
          <w:b w:val="1"/>
          <w:bCs w:val="1"/>
          <w:color w:val="auto"/>
        </w:rPr>
        <w:t>CERTIFICATION PURSUANT TO SECTION 302</w:t>
      </w:r>
    </w:p>
    <w:p>
      <w:pPr>
        <w:spacing w:after="0" w:line="2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3"/>
          <w:szCs w:val="13"/>
          <w:b w:val="1"/>
          <w:bCs w:val="1"/>
          <w:color w:val="auto"/>
        </w:rPr>
        <w:t>CHIEF EXECUTIVE OFFICER CERTIFICATION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Arthur H. Penn, Chief Executive Officer and Chairman of the Board of Directors of PennantPark Investment Corporation, certify that:</w:t>
      </w:r>
    </w:p>
    <w:p>
      <w:pPr>
        <w:spacing w:after="0" w:line="127" w:lineRule="exact"/>
        <w:rPr>
          <w:sz w:val="20"/>
          <w:szCs w:val="20"/>
          <w:color w:val="auto"/>
        </w:rPr>
      </w:pPr>
    </w:p>
    <w:p>
      <w:pPr>
        <w:ind w:left="360" w:hanging="126"/>
        <w:spacing w:after="0"/>
        <w:tabs>
          <w:tab w:leader="none" w:pos="3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10-K of PennantPark Investment Corporation;</w:t>
      </w:r>
    </w:p>
    <w:p>
      <w:pPr>
        <w:spacing w:after="0" w:line="126" w:lineRule="exact"/>
        <w:rPr>
          <w:rFonts w:ascii="Times New Roman" w:cs="Times New Roman" w:eastAsia="Times New Roman" w:hAnsi="Times New Roman"/>
          <w:sz w:val="13"/>
          <w:szCs w:val="13"/>
          <w:color w:val="auto"/>
        </w:rPr>
      </w:pPr>
    </w:p>
    <w:p>
      <w:pPr>
        <w:ind w:left="240" w:right="60" w:hanging="6"/>
        <w:spacing w:after="0" w:line="286" w:lineRule="auto"/>
        <w:tabs>
          <w:tab w:leader="none" w:pos="372"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Times New Roman" w:cs="Times New Roman" w:eastAsia="Times New Roman" w:hAnsi="Times New Roman"/>
          <w:sz w:val="13"/>
          <w:szCs w:val="13"/>
          <w:color w:val="auto"/>
        </w:rPr>
      </w:pPr>
    </w:p>
    <w:p>
      <w:pPr>
        <w:ind w:left="240" w:right="120" w:hanging="6"/>
        <w:spacing w:after="0" w:line="286" w:lineRule="auto"/>
        <w:tabs>
          <w:tab w:leader="none" w:pos="372"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Times New Roman" w:cs="Times New Roman" w:eastAsia="Times New Roman" w:hAnsi="Times New Roman"/>
          <w:sz w:val="13"/>
          <w:szCs w:val="13"/>
          <w:color w:val="auto"/>
        </w:rPr>
      </w:pPr>
    </w:p>
    <w:p>
      <w:pPr>
        <w:ind w:left="240" w:right="180" w:hanging="6"/>
        <w:spacing w:after="0" w:line="286" w:lineRule="auto"/>
        <w:tabs>
          <w:tab w:leader="none" w:pos="372"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Times New Roman" w:cs="Times New Roman" w:eastAsia="Times New Roman" w:hAnsi="Times New Roman"/>
          <w:sz w:val="13"/>
          <w:szCs w:val="13"/>
          <w:color w:val="auto"/>
        </w:rPr>
      </w:pPr>
    </w:p>
    <w:p>
      <w:pPr>
        <w:ind w:left="480" w:right="160" w:hanging="6"/>
        <w:spacing w:after="0" w:line="286" w:lineRule="auto"/>
        <w:tabs>
          <w:tab w:leader="none" w:pos="615" w:val="left"/>
        </w:tabs>
        <w:numPr>
          <w:ilvl w:val="1"/>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75" w:lineRule="exact"/>
        <w:rPr>
          <w:rFonts w:ascii="Times New Roman" w:cs="Times New Roman" w:eastAsia="Times New Roman" w:hAnsi="Times New Roman"/>
          <w:sz w:val="13"/>
          <w:szCs w:val="13"/>
          <w:color w:val="auto"/>
        </w:rPr>
      </w:pPr>
    </w:p>
    <w:p>
      <w:pPr>
        <w:ind w:left="480" w:right="360" w:hanging="6"/>
        <w:spacing w:after="0" w:line="286" w:lineRule="auto"/>
        <w:tabs>
          <w:tab w:leader="none" w:pos="623" w:val="left"/>
        </w:tabs>
        <w:numPr>
          <w:ilvl w:val="1"/>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5" w:lineRule="exact"/>
        <w:rPr>
          <w:rFonts w:ascii="Times New Roman" w:cs="Times New Roman" w:eastAsia="Times New Roman" w:hAnsi="Times New Roman"/>
          <w:sz w:val="13"/>
          <w:szCs w:val="13"/>
          <w:color w:val="auto"/>
        </w:rPr>
      </w:pPr>
    </w:p>
    <w:p>
      <w:pPr>
        <w:ind w:left="480" w:right="520" w:hanging="6"/>
        <w:spacing w:after="0" w:line="286" w:lineRule="auto"/>
        <w:tabs>
          <w:tab w:leader="none" w:pos="615" w:val="left"/>
        </w:tabs>
        <w:numPr>
          <w:ilvl w:val="1"/>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Times New Roman" w:cs="Times New Roman" w:eastAsia="Times New Roman" w:hAnsi="Times New Roman"/>
          <w:sz w:val="13"/>
          <w:szCs w:val="13"/>
          <w:color w:val="auto"/>
        </w:rPr>
      </w:pPr>
    </w:p>
    <w:p>
      <w:pPr>
        <w:ind w:left="480" w:right="180" w:hanging="6"/>
        <w:spacing w:after="0" w:line="286" w:lineRule="auto"/>
        <w:tabs>
          <w:tab w:leader="none" w:pos="623" w:val="left"/>
        </w:tabs>
        <w:numPr>
          <w:ilvl w:val="1"/>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Times New Roman" w:cs="Times New Roman" w:eastAsia="Times New Roman" w:hAnsi="Times New Roman"/>
          <w:sz w:val="13"/>
          <w:szCs w:val="13"/>
          <w:color w:val="auto"/>
        </w:rPr>
      </w:pPr>
    </w:p>
    <w:p>
      <w:pPr>
        <w:ind w:left="240" w:right="40" w:hanging="6"/>
        <w:spacing w:after="0" w:line="286" w:lineRule="auto"/>
        <w:tabs>
          <w:tab w:leader="none" w:pos="372"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Times New Roman" w:cs="Times New Roman" w:eastAsia="Times New Roman" w:hAnsi="Times New Roman"/>
          <w:sz w:val="13"/>
          <w:szCs w:val="13"/>
          <w:color w:val="auto"/>
        </w:rPr>
      </w:pPr>
    </w:p>
    <w:p>
      <w:pPr>
        <w:ind w:left="480" w:right="240" w:hanging="6"/>
        <w:spacing w:after="0" w:line="286" w:lineRule="auto"/>
        <w:tabs>
          <w:tab w:leader="none" w:pos="615" w:val="left"/>
        </w:tabs>
        <w:numPr>
          <w:ilvl w:val="1"/>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Times New Roman" w:cs="Times New Roman" w:eastAsia="Times New Roman" w:hAnsi="Times New Roman"/>
          <w:sz w:val="13"/>
          <w:szCs w:val="13"/>
          <w:color w:val="auto"/>
        </w:rPr>
      </w:pPr>
    </w:p>
    <w:p>
      <w:pPr>
        <w:ind w:left="620" w:hanging="146"/>
        <w:spacing w:after="0"/>
        <w:tabs>
          <w:tab w:leader="none" w:pos="620" w:val="left"/>
        </w:tabs>
        <w:numPr>
          <w:ilvl w:val="1"/>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November 25, 2024</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 Arthur H. Penn</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Name: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Arthur H. Penn</w:t>
            </w:r>
          </w:p>
        </w:tc>
      </w:tr>
      <w:tr>
        <w:trPr>
          <w:trHeight w:val="172"/>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Title: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Chief Executive Officer</w:t>
            </w:r>
          </w:p>
        </w:tc>
      </w:tr>
      <w:tr>
        <w:trPr>
          <w:trHeight w:val="740"/>
        </w:trPr>
        <w:tc>
          <w:tcPr>
            <w:tcW w:w="460" w:type="dxa"/>
            <w:vAlign w:val="bottom"/>
            <w:tcBorders>
              <w:bottom w:val="single" w:sz="8" w:color="EEEEEE"/>
            </w:tcBorders>
          </w:tcPr>
          <w:p>
            <w:pPr>
              <w:spacing w:after="0"/>
              <w:rPr>
                <w:sz w:val="24"/>
                <w:szCs w:val="24"/>
                <w:color w:val="auto"/>
              </w:rPr>
            </w:pPr>
          </w:p>
        </w:tc>
        <w:tc>
          <w:tcPr>
            <w:tcW w:w="10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012" w:right="680"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3"/>
          <w:szCs w:val="13"/>
          <w:b w:val="1"/>
          <w:bCs w:val="1"/>
          <w:color w:val="auto"/>
        </w:rPr>
        <w:t>Exhibit 31.2</w:t>
      </w:r>
    </w:p>
    <w:p>
      <w:pPr>
        <w:spacing w:after="0" w:line="2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3"/>
          <w:szCs w:val="13"/>
          <w:b w:val="1"/>
          <w:bCs w:val="1"/>
          <w:color w:val="auto"/>
        </w:rPr>
        <w:t>CERTIFICATION PURSUANT TO SECTION 302</w:t>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3"/>
          <w:szCs w:val="13"/>
          <w:b w:val="1"/>
          <w:bCs w:val="1"/>
          <w:color w:val="auto"/>
        </w:rPr>
        <w:t>CHIEF FINANCIAL OFFICER CERTIFICATION</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Richard T. Allorto, Jr., Chief Financial Officer of PennantPark Investment Corporation, certify that:</w:t>
      </w:r>
    </w:p>
    <w:p>
      <w:pPr>
        <w:spacing w:after="0" w:line="163" w:lineRule="exact"/>
        <w:rPr>
          <w:sz w:val="20"/>
          <w:szCs w:val="20"/>
          <w:color w:val="auto"/>
        </w:rPr>
      </w:pPr>
    </w:p>
    <w:p>
      <w:pPr>
        <w:ind w:left="140" w:hanging="134"/>
        <w:spacing w:after="0"/>
        <w:tabs>
          <w:tab w:leader="none" w:pos="1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10-K of PennantPark Investment Corporation;</w:t>
      </w:r>
    </w:p>
    <w:p>
      <w:pPr>
        <w:spacing w:after="0" w:line="162" w:lineRule="exact"/>
        <w:rPr>
          <w:rFonts w:ascii="Times New Roman" w:cs="Times New Roman" w:eastAsia="Times New Roman" w:hAnsi="Times New Roman"/>
          <w:sz w:val="13"/>
          <w:szCs w:val="13"/>
          <w:color w:val="auto"/>
        </w:rPr>
      </w:pPr>
    </w:p>
    <w:p>
      <w:pPr>
        <w:ind w:right="280" w:firstLine="6"/>
        <w:spacing w:after="0" w:line="286" w:lineRule="auto"/>
        <w:tabs>
          <w:tab w:leader="none" w:pos="132"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3"/>
          <w:szCs w:val="13"/>
          <w:color w:val="auto"/>
        </w:rPr>
      </w:pPr>
    </w:p>
    <w:p>
      <w:pPr>
        <w:ind w:right="80" w:firstLine="6"/>
        <w:spacing w:after="0" w:line="286" w:lineRule="auto"/>
        <w:tabs>
          <w:tab w:leader="none" w:pos="132"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Times New Roman" w:cs="Times New Roman" w:eastAsia="Times New Roman" w:hAnsi="Times New Roman"/>
          <w:sz w:val="13"/>
          <w:szCs w:val="13"/>
          <w:color w:val="auto"/>
        </w:rPr>
      </w:pPr>
    </w:p>
    <w:p>
      <w:pPr>
        <w:ind w:right="180" w:firstLine="6"/>
        <w:spacing w:after="0" w:line="286" w:lineRule="auto"/>
        <w:tabs>
          <w:tab w:leader="none" w:pos="132"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Times New Roman" w:cs="Times New Roman" w:eastAsia="Times New Roman" w:hAnsi="Times New Roman"/>
          <w:sz w:val="13"/>
          <w:szCs w:val="13"/>
          <w:color w:val="auto"/>
        </w:rPr>
      </w:pPr>
    </w:p>
    <w:p>
      <w:pPr>
        <w:ind w:left="480" w:right="160" w:hanging="6"/>
        <w:spacing w:after="0" w:line="286" w:lineRule="auto"/>
        <w:tabs>
          <w:tab w:leader="none" w:pos="615" w:val="left"/>
        </w:tabs>
        <w:numPr>
          <w:ilvl w:val="1"/>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11" w:lineRule="exact"/>
        <w:rPr>
          <w:rFonts w:ascii="Times New Roman" w:cs="Times New Roman" w:eastAsia="Times New Roman" w:hAnsi="Times New Roman"/>
          <w:sz w:val="13"/>
          <w:szCs w:val="13"/>
          <w:color w:val="auto"/>
        </w:rPr>
      </w:pPr>
    </w:p>
    <w:p>
      <w:pPr>
        <w:ind w:left="480" w:right="360" w:hanging="6"/>
        <w:spacing w:after="0" w:line="286" w:lineRule="auto"/>
        <w:tabs>
          <w:tab w:leader="none" w:pos="623" w:val="left"/>
        </w:tabs>
        <w:numPr>
          <w:ilvl w:val="1"/>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11" w:lineRule="exact"/>
        <w:rPr>
          <w:rFonts w:ascii="Times New Roman" w:cs="Times New Roman" w:eastAsia="Times New Roman" w:hAnsi="Times New Roman"/>
          <w:sz w:val="13"/>
          <w:szCs w:val="13"/>
          <w:color w:val="auto"/>
        </w:rPr>
      </w:pPr>
    </w:p>
    <w:p>
      <w:pPr>
        <w:ind w:left="480" w:right="520" w:hanging="6"/>
        <w:spacing w:after="0" w:line="286" w:lineRule="auto"/>
        <w:tabs>
          <w:tab w:leader="none" w:pos="615" w:val="left"/>
        </w:tabs>
        <w:numPr>
          <w:ilvl w:val="1"/>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3"/>
          <w:szCs w:val="13"/>
          <w:color w:val="auto"/>
        </w:rPr>
      </w:pPr>
    </w:p>
    <w:p>
      <w:pPr>
        <w:ind w:left="480" w:right="180" w:hanging="6"/>
        <w:spacing w:after="0" w:line="286" w:lineRule="auto"/>
        <w:tabs>
          <w:tab w:leader="none" w:pos="623" w:val="left"/>
        </w:tabs>
        <w:numPr>
          <w:ilvl w:val="1"/>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Times New Roman" w:cs="Times New Roman" w:eastAsia="Times New Roman" w:hAnsi="Times New Roman"/>
          <w:sz w:val="13"/>
          <w:szCs w:val="13"/>
          <w:color w:val="auto"/>
        </w:rPr>
      </w:pPr>
    </w:p>
    <w:p>
      <w:pPr>
        <w:ind w:right="120" w:firstLine="6"/>
        <w:spacing w:after="0" w:line="286" w:lineRule="auto"/>
        <w:tabs>
          <w:tab w:leader="none" w:pos="132"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3"/>
          <w:szCs w:val="13"/>
          <w:color w:val="auto"/>
        </w:rPr>
      </w:pPr>
    </w:p>
    <w:p>
      <w:pPr>
        <w:ind w:left="480" w:right="240" w:hanging="6"/>
        <w:spacing w:after="0" w:line="286" w:lineRule="auto"/>
        <w:tabs>
          <w:tab w:leader="none" w:pos="615" w:val="left"/>
        </w:tabs>
        <w:numPr>
          <w:ilvl w:val="1"/>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3"/>
          <w:szCs w:val="13"/>
          <w:color w:val="auto"/>
        </w:rPr>
      </w:pPr>
    </w:p>
    <w:p>
      <w:pPr>
        <w:ind w:left="620" w:hanging="146"/>
        <w:spacing w:after="0"/>
        <w:tabs>
          <w:tab w:leader="none" w:pos="620" w:val="left"/>
        </w:tabs>
        <w:numPr>
          <w:ilvl w:val="1"/>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November 25, 2024</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 Richard T. Allorto, Jr.</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880" w:type="dxa"/>
            <w:vAlign w:val="bottom"/>
            <w:tcBorders>
              <w:top w:val="single" w:sz="8" w:color="auto"/>
            </w:tcBorders>
          </w:tcPr>
          <w:p>
            <w:pPr>
              <w:ind w:left="20"/>
              <w:spacing w:after="0" w:line="137" w:lineRule="exact"/>
              <w:rPr>
                <w:sz w:val="20"/>
                <w:szCs w:val="20"/>
                <w:color w:val="auto"/>
              </w:rPr>
            </w:pPr>
            <w:r>
              <w:rPr>
                <w:rFonts w:ascii="Times New Roman" w:cs="Times New Roman" w:eastAsia="Times New Roman" w:hAnsi="Times New Roman"/>
                <w:sz w:val="13"/>
                <w:szCs w:val="13"/>
                <w:color w:val="auto"/>
              </w:rPr>
              <w:t>Name:</w:t>
            </w:r>
          </w:p>
        </w:tc>
        <w:tc>
          <w:tcPr>
            <w:tcW w:w="2500" w:type="dxa"/>
            <w:vAlign w:val="bottom"/>
            <w:tcBorders>
              <w:top w:val="single" w:sz="8" w:color="auto"/>
            </w:tcBorders>
          </w:tcPr>
          <w:p>
            <w:pPr>
              <w:ind w:left="500"/>
              <w:spacing w:after="0" w:line="137" w:lineRule="exact"/>
              <w:rPr>
                <w:sz w:val="20"/>
                <w:szCs w:val="20"/>
                <w:color w:val="auto"/>
              </w:rPr>
            </w:pPr>
            <w:r>
              <w:rPr>
                <w:rFonts w:ascii="Times New Roman" w:cs="Times New Roman" w:eastAsia="Times New Roman" w:hAnsi="Times New Roman"/>
                <w:sz w:val="13"/>
                <w:szCs w:val="13"/>
                <w:color w:val="auto"/>
              </w:rPr>
              <w:t>Richard T. Allorto, Jr.</w:t>
            </w:r>
          </w:p>
        </w:tc>
        <w:tc>
          <w:tcPr>
            <w:tcW w:w="7180" w:type="dxa"/>
            <w:vAlign w:val="bottom"/>
          </w:tcPr>
          <w:p>
            <w:pPr>
              <w:spacing w:after="0"/>
              <w:rPr>
                <w:sz w:val="11"/>
                <w:szCs w:val="11"/>
                <w:color w:val="auto"/>
              </w:rPr>
            </w:pPr>
          </w:p>
        </w:tc>
      </w:tr>
      <w:tr>
        <w:trPr>
          <w:trHeight w:val="172"/>
        </w:trPr>
        <w:tc>
          <w:tcPr>
            <w:tcW w:w="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Title:</w:t>
            </w:r>
          </w:p>
        </w:tc>
        <w:tc>
          <w:tcPr>
            <w:tcW w:w="25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Chief Financial Officer</w:t>
            </w:r>
          </w:p>
        </w:tc>
        <w:tc>
          <w:tcPr>
            <w:tcW w:w="7180" w:type="dxa"/>
            <w:vAlign w:val="bottom"/>
          </w:tcPr>
          <w:p>
            <w:pPr>
              <w:spacing w:after="0"/>
              <w:rPr>
                <w:sz w:val="14"/>
                <w:szCs w:val="14"/>
                <w:color w:val="auto"/>
              </w:rPr>
            </w:pPr>
          </w:p>
        </w:tc>
      </w:tr>
      <w:tr>
        <w:trPr>
          <w:trHeight w:val="860"/>
        </w:trPr>
        <w:tc>
          <w:tcPr>
            <w:tcW w:w="880" w:type="dxa"/>
            <w:vAlign w:val="bottom"/>
            <w:tcBorders>
              <w:bottom w:val="single" w:sz="8" w:color="EEEEEE"/>
            </w:tcBorders>
          </w:tcPr>
          <w:p>
            <w:pPr>
              <w:spacing w:after="0"/>
              <w:rPr>
                <w:sz w:val="24"/>
                <w:szCs w:val="24"/>
                <w:color w:val="auto"/>
              </w:rPr>
            </w:pPr>
          </w:p>
        </w:tc>
        <w:tc>
          <w:tcPr>
            <w:tcW w:w="2500" w:type="dxa"/>
            <w:vAlign w:val="bottom"/>
            <w:tcBorders>
              <w:bottom w:val="single" w:sz="8" w:color="EEEEEE"/>
            </w:tcBorders>
          </w:tcPr>
          <w:p>
            <w:pPr>
              <w:spacing w:after="0"/>
              <w:rPr>
                <w:sz w:val="24"/>
                <w:szCs w:val="24"/>
                <w:color w:val="auto"/>
              </w:rPr>
            </w:pPr>
          </w:p>
        </w:tc>
        <w:tc>
          <w:tcPr>
            <w:tcW w:w="71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114" w:name="page115"/>
    <w:bookmarkEnd w:id="114"/>
    <w:p>
      <w:pPr>
        <w:ind w:left="9740"/>
        <w:spacing w:after="0"/>
        <w:rPr>
          <w:sz w:val="20"/>
          <w:szCs w:val="20"/>
          <w:color w:val="auto"/>
        </w:rPr>
      </w:pPr>
      <w:r>
        <w:rPr>
          <w:rFonts w:ascii="Times New Roman" w:cs="Times New Roman" w:eastAsia="Times New Roman" w:hAnsi="Times New Roman"/>
          <w:sz w:val="13"/>
          <w:szCs w:val="13"/>
          <w:b w:val="1"/>
          <w:bCs w:val="1"/>
          <w:color w:val="auto"/>
        </w:rPr>
        <w:t>EXHIBIT 32.1</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 (18 U.S.C. Section 1350)</w:t>
      </w:r>
    </w:p>
    <w:p>
      <w:pPr>
        <w:spacing w:after="0" w:line="113" w:lineRule="exact"/>
        <w:rPr>
          <w:sz w:val="20"/>
          <w:szCs w:val="20"/>
          <w:color w:val="auto"/>
        </w:rPr>
      </w:pPr>
    </w:p>
    <w:p>
      <w:pPr>
        <w:ind w:right="380" w:firstLine="468"/>
        <w:spacing w:after="0" w:line="286" w:lineRule="auto"/>
        <w:rPr>
          <w:sz w:val="20"/>
          <w:szCs w:val="20"/>
          <w:color w:val="auto"/>
        </w:rPr>
      </w:pPr>
      <w:r>
        <w:rPr>
          <w:rFonts w:ascii="Times New Roman" w:cs="Times New Roman" w:eastAsia="Times New Roman" w:hAnsi="Times New Roman"/>
          <w:sz w:val="13"/>
          <w:szCs w:val="13"/>
          <w:color w:val="auto"/>
        </w:rPr>
        <w:t>In connection with the Annual Report on Form 10- K of PennantPark Investment Corporation for the annual period ended September 30, 2024 as filed with the Securities and Exchange Commission on the date hereof (the “Report”), I, Arthur H. Penn, as Chief Executive Officer of the Registrant hereby certify, to the best of my knowledge that:</w:t>
      </w:r>
    </w:p>
    <w:p>
      <w:pPr>
        <w:spacing w:after="0" w:line="76" w:lineRule="exact"/>
        <w:rPr>
          <w:sz w:val="20"/>
          <w:szCs w:val="20"/>
          <w:color w:val="auto"/>
        </w:rPr>
      </w:pPr>
    </w:p>
    <w:p>
      <w:pPr>
        <w:ind w:left="420" w:hanging="186"/>
        <w:spacing w:after="0"/>
        <w:tabs>
          <w:tab w:leader="none" w:pos="4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and</w:t>
      </w:r>
    </w:p>
    <w:p>
      <w:pPr>
        <w:spacing w:after="0" w:line="126" w:lineRule="exact"/>
        <w:rPr>
          <w:rFonts w:ascii="Times New Roman" w:cs="Times New Roman" w:eastAsia="Times New Roman" w:hAnsi="Times New Roman"/>
          <w:sz w:val="13"/>
          <w:szCs w:val="13"/>
          <w:color w:val="auto"/>
        </w:rPr>
      </w:pPr>
    </w:p>
    <w:p>
      <w:pPr>
        <w:ind w:left="420" w:hanging="186"/>
        <w:spacing w:after="0"/>
        <w:tabs>
          <w:tab w:leader="none" w:pos="4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Registrant.</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 Arthur H. Penn</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Name: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Arthur H. Penn</w:t>
            </w:r>
          </w:p>
        </w:tc>
      </w:tr>
      <w:tr>
        <w:trPr>
          <w:trHeight w:val="156"/>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Title: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Chief Executive Officer</w:t>
            </w:r>
          </w:p>
        </w:tc>
      </w:tr>
      <w:tr>
        <w:trPr>
          <w:trHeight w:val="172"/>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Date: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November 25, 2024</w:t>
            </w:r>
          </w:p>
        </w:tc>
      </w:tr>
      <w:tr>
        <w:trPr>
          <w:trHeight w:val="740"/>
        </w:trPr>
        <w:tc>
          <w:tcPr>
            <w:tcW w:w="460" w:type="dxa"/>
            <w:vAlign w:val="bottom"/>
            <w:tcBorders>
              <w:bottom w:val="single" w:sz="8" w:color="EEEEEE"/>
            </w:tcBorders>
          </w:tcPr>
          <w:p>
            <w:pPr>
              <w:spacing w:after="0"/>
              <w:rPr>
                <w:sz w:val="24"/>
                <w:szCs w:val="24"/>
                <w:color w:val="auto"/>
              </w:rPr>
            </w:pPr>
          </w:p>
        </w:tc>
        <w:tc>
          <w:tcPr>
            <w:tcW w:w="10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012" w:right="680" w:bottom="1440" w:gutter="0" w:footer="0" w:header="0"/>
        </w:sectPr>
      </w:pPr>
    </w:p>
    <w:bookmarkStart w:id="115" w:name="page116"/>
    <w:bookmarkEnd w:id="115"/>
    <w:p>
      <w:pPr>
        <w:ind w:left="9740"/>
        <w:spacing w:after="0"/>
        <w:rPr>
          <w:sz w:val="20"/>
          <w:szCs w:val="20"/>
          <w:color w:val="auto"/>
        </w:rPr>
      </w:pPr>
      <w:r>
        <w:rPr>
          <w:rFonts w:ascii="Times New Roman" w:cs="Times New Roman" w:eastAsia="Times New Roman" w:hAnsi="Times New Roman"/>
          <w:sz w:val="13"/>
          <w:szCs w:val="13"/>
          <w:b w:val="1"/>
          <w:bCs w:val="1"/>
          <w:color w:val="auto"/>
        </w:rPr>
        <w:t>EXHIBIT 32.2</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 (18 U.S.C. Section 1350)</w:t>
      </w:r>
    </w:p>
    <w:p>
      <w:pPr>
        <w:spacing w:after="0" w:line="113" w:lineRule="exact"/>
        <w:rPr>
          <w:sz w:val="20"/>
          <w:szCs w:val="20"/>
          <w:color w:val="auto"/>
        </w:rPr>
      </w:pPr>
    </w:p>
    <w:p>
      <w:pPr>
        <w:ind w:right="380" w:firstLine="468"/>
        <w:spacing w:after="0" w:line="286" w:lineRule="auto"/>
        <w:rPr>
          <w:sz w:val="20"/>
          <w:szCs w:val="20"/>
          <w:color w:val="auto"/>
        </w:rPr>
      </w:pPr>
      <w:r>
        <w:rPr>
          <w:rFonts w:ascii="Times New Roman" w:cs="Times New Roman" w:eastAsia="Times New Roman" w:hAnsi="Times New Roman"/>
          <w:sz w:val="13"/>
          <w:szCs w:val="13"/>
          <w:color w:val="auto"/>
        </w:rPr>
        <w:t>In connection with the Annual Report on Form 10-K of PennantPark Investment Corporation for the annual period ended September 30, 2024 as filed with the Securities and Exchange Commission on the date hereof (the “Report”), I, Richard T. Allorto, Jr., as Chief Financial Officer of the Registrant hereby certify, to the best of my knowledge that:</w:t>
      </w:r>
    </w:p>
    <w:p>
      <w:pPr>
        <w:spacing w:after="0" w:line="76" w:lineRule="exact"/>
        <w:rPr>
          <w:sz w:val="20"/>
          <w:szCs w:val="20"/>
          <w:color w:val="auto"/>
        </w:rPr>
      </w:pPr>
    </w:p>
    <w:p>
      <w:pPr>
        <w:ind w:left="420" w:hanging="186"/>
        <w:spacing w:after="0"/>
        <w:tabs>
          <w:tab w:leader="none" w:pos="42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and</w:t>
      </w:r>
    </w:p>
    <w:p>
      <w:pPr>
        <w:spacing w:after="0" w:line="126" w:lineRule="exact"/>
        <w:rPr>
          <w:rFonts w:ascii="Times New Roman" w:cs="Times New Roman" w:eastAsia="Times New Roman" w:hAnsi="Times New Roman"/>
          <w:sz w:val="13"/>
          <w:szCs w:val="13"/>
          <w:color w:val="auto"/>
        </w:rPr>
      </w:pPr>
    </w:p>
    <w:p>
      <w:pPr>
        <w:ind w:left="420" w:hanging="186"/>
        <w:spacing w:after="0"/>
        <w:tabs>
          <w:tab w:leader="none" w:pos="42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Registrant.</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 Richard Allorto</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Name: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Richard T. Allorto, Jr.</w:t>
            </w:r>
          </w:p>
        </w:tc>
      </w:tr>
      <w:tr>
        <w:trPr>
          <w:trHeight w:val="156"/>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Title: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Chief Financial Officer</w:t>
            </w:r>
          </w:p>
        </w:tc>
      </w:tr>
      <w:tr>
        <w:trPr>
          <w:trHeight w:val="172"/>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Date: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November 25, 2024</w:t>
            </w:r>
          </w:p>
        </w:tc>
      </w:tr>
      <w:tr>
        <w:trPr>
          <w:trHeight w:val="896"/>
        </w:trPr>
        <w:tc>
          <w:tcPr>
            <w:tcW w:w="460" w:type="dxa"/>
            <w:vAlign w:val="bottom"/>
            <w:tcBorders>
              <w:bottom w:val="single" w:sz="8" w:color="EEEEEE"/>
            </w:tcBorders>
          </w:tcPr>
          <w:p>
            <w:pPr>
              <w:spacing w:after="0"/>
              <w:rPr>
                <w:sz w:val="24"/>
                <w:szCs w:val="24"/>
                <w:color w:val="auto"/>
              </w:rPr>
            </w:pPr>
          </w:p>
        </w:tc>
        <w:tc>
          <w:tcPr>
            <w:tcW w:w="10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012" w:right="680"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3"/>
          <w:szCs w:val="13"/>
          <w:b w:val="1"/>
          <w:bCs w:val="1"/>
          <w:color w:val="auto"/>
        </w:rPr>
        <w:t>EXHIBIT 99.2</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Board of Directors and Stockholders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PennantPark Investment Corporation and Subsidiaries</w:t>
      </w:r>
    </w:p>
    <w:p>
      <w:pPr>
        <w:spacing w:after="0" w:line="30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3"/>
          <w:szCs w:val="13"/>
          <w:color w:val="auto"/>
        </w:rPr>
        <w:t>Our audits of the consolidated financial statements and internal control over financial reporting referred to in our reports dated November 25, 2024, (appearing in the accompanying Form 10-K) also included an audit of the senior securities table of PennantPark Investment Corporation and Subsidiaries (the Company) appearing in Part II, Item 7 in this Form 10-K. This table is the responsibility of the Company’s management. Our responsibility is to express an opinion based on our audits of the consolidated financial statements.</w:t>
      </w:r>
    </w:p>
    <w:p>
      <w:pPr>
        <w:spacing w:after="0" w:line="12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3"/>
          <w:szCs w:val="13"/>
          <w:color w:val="auto"/>
        </w:rPr>
        <w:t>In our opinion, the senior securities table, when considered in relation to the basic consolidated financial statements taken as a whole, presents fairly in all material respects the information set forth therein.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RSM US LLP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November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530860</wp:posOffset>
            </wp:positionV>
            <wp:extent cx="6732905"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012" w:right="680"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6"/>
          <w:szCs w:val="16"/>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PennantPark Senior Loan Fund, LLC</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Consolidated Financial Statements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Independent Auditor’s Report</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September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887095</wp:posOffset>
            </wp:positionV>
            <wp:extent cx="6732905" cy="40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19" w:right="660"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03"/>
        </w:trPr>
        <w:tc>
          <w:tcPr>
            <w:tcW w:w="8640" w:type="dxa"/>
            <w:vAlign w:val="bottom"/>
          </w:tcPr>
          <w:p>
            <w:pPr>
              <w:ind w:left="5020"/>
              <w:spacing w:after="0"/>
              <w:rPr>
                <w:sz w:val="20"/>
                <w:szCs w:val="20"/>
                <w:color w:val="auto"/>
              </w:rPr>
            </w:pPr>
            <w:r>
              <w:rPr>
                <w:rFonts w:ascii="Times New Roman" w:cs="Times New Roman" w:eastAsia="Times New Roman" w:hAnsi="Times New Roman"/>
                <w:sz w:val="16"/>
                <w:szCs w:val="16"/>
                <w:color w:val="auto"/>
              </w:rPr>
              <w:t>Contents</w:t>
            </w:r>
          </w:p>
        </w:tc>
        <w:tc>
          <w:tcPr>
            <w:tcW w:w="1920" w:type="dxa"/>
            <w:vAlign w:val="bottom"/>
          </w:tcPr>
          <w:p>
            <w:pPr>
              <w:spacing w:after="0"/>
              <w:rPr>
                <w:sz w:val="17"/>
                <w:szCs w:val="17"/>
                <w:color w:val="auto"/>
              </w:rPr>
            </w:pPr>
          </w:p>
        </w:tc>
      </w:tr>
      <w:tr>
        <w:trPr>
          <w:trHeight w:val="432"/>
        </w:trPr>
        <w:tc>
          <w:tcPr>
            <w:tcW w:w="8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Independent Auditor’s Report</w:t>
            </w:r>
          </w:p>
        </w:tc>
        <w:tc>
          <w:tcPr>
            <w:tcW w:w="1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r>
      <w:tr>
        <w:trPr>
          <w:trHeight w:val="360"/>
        </w:trPr>
        <w:tc>
          <w:tcPr>
            <w:tcW w:w="8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Financial Statements:</w:t>
            </w:r>
          </w:p>
        </w:tc>
        <w:tc>
          <w:tcPr>
            <w:tcW w:w="1920" w:type="dxa"/>
            <w:vAlign w:val="bottom"/>
          </w:tcPr>
          <w:p>
            <w:pPr>
              <w:spacing w:after="0"/>
              <w:rPr>
                <w:sz w:val="24"/>
                <w:szCs w:val="24"/>
                <w:color w:val="auto"/>
              </w:rPr>
            </w:pPr>
          </w:p>
        </w:tc>
      </w:tr>
      <w:tr>
        <w:trPr>
          <w:trHeight w:val="360"/>
        </w:trPr>
        <w:tc>
          <w:tcPr>
            <w:tcW w:w="8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Consolidated Statements of Assets, Liabilities and Members’ Equity as of September 30, 2024 and 2023</w:t>
            </w:r>
          </w:p>
        </w:tc>
        <w:tc>
          <w:tcPr>
            <w:tcW w:w="1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r>
      <w:tr>
        <w:trPr>
          <w:trHeight w:val="360"/>
        </w:trPr>
        <w:tc>
          <w:tcPr>
            <w:tcW w:w="8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Consolidated Statements of Operations for the years ended September 30, 2024 and 2023</w:t>
            </w:r>
          </w:p>
        </w:tc>
        <w:tc>
          <w:tcPr>
            <w:tcW w:w="1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r>
      <w:tr>
        <w:trPr>
          <w:trHeight w:val="360"/>
        </w:trPr>
        <w:tc>
          <w:tcPr>
            <w:tcW w:w="8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Consolidated Statements of Changes in Members’ Equity for the years ended September 30, 2024 and 2023</w:t>
            </w:r>
          </w:p>
        </w:tc>
        <w:tc>
          <w:tcPr>
            <w:tcW w:w="1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r>
      <w:tr>
        <w:trPr>
          <w:trHeight w:val="360"/>
        </w:trPr>
        <w:tc>
          <w:tcPr>
            <w:tcW w:w="8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Consolidated Statements of Cash Flows for the years ended September 30, 2024 and 2023</w:t>
            </w:r>
          </w:p>
        </w:tc>
        <w:tc>
          <w:tcPr>
            <w:tcW w:w="1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r>
      <w:tr>
        <w:trPr>
          <w:trHeight w:val="360"/>
        </w:trPr>
        <w:tc>
          <w:tcPr>
            <w:tcW w:w="8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Consolidated Schedules of Investments as of September 30, 2024 and 2023</w:t>
            </w:r>
          </w:p>
        </w:tc>
        <w:tc>
          <w:tcPr>
            <w:tcW w:w="1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r>
      <w:tr>
        <w:trPr>
          <w:trHeight w:val="360"/>
        </w:trPr>
        <w:tc>
          <w:tcPr>
            <w:tcW w:w="8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Notes to Consolidated Financial Statements</w:t>
            </w:r>
          </w:p>
        </w:tc>
        <w:tc>
          <w:tcPr>
            <w:tcW w:w="1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r>
      <w:tr>
        <w:trPr>
          <w:trHeight w:val="1574"/>
        </w:trPr>
        <w:tc>
          <w:tcPr>
            <w:tcW w:w="8640" w:type="dxa"/>
            <w:vAlign w:val="bottom"/>
            <w:tcBorders>
              <w:bottom w:val="single" w:sz="8" w:color="EEEEEE"/>
            </w:tcBorders>
          </w:tcPr>
          <w:p>
            <w:pPr>
              <w:spacing w:after="0"/>
              <w:rPr>
                <w:sz w:val="24"/>
                <w:szCs w:val="24"/>
                <w:color w:val="auto"/>
              </w:rPr>
            </w:pPr>
          </w:p>
        </w:tc>
        <w:tc>
          <w:tcPr>
            <w:tcW w:w="19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1" w:right="680" w:bottom="1440" w:gutter="0" w:footer="0" w:header="0"/>
        </w:sectPr>
      </w:pPr>
    </w:p>
    <w:bookmarkStart w:id="119" w:name="page120"/>
    <w:bookmarkEnd w:id="119"/>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Independent Auditor’s Report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Member Designees’ Committee</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PennantPark Senior Loan Fund, LLC</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w:t>
      </w:r>
    </w:p>
    <w:p>
      <w:pPr>
        <w:spacing w:after="0" w:line="12"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We have audited the consolidated financial statements of PennantPark Senior Loan Fund, LLC and its subsidiaries (the Fund), which comprise the consolidated statements of assets, liabilities, and members’ equity, including the consolidated schedule of investments, as of September 30, 2024 and 2023, the related consolidated statements of operations, changes in members’ equity and cash flows for the years then ended, and the related notes to the consolidated financial statements (collectively, the financial statements).</w:t>
      </w:r>
    </w:p>
    <w:p>
      <w:pPr>
        <w:spacing w:after="0" w:line="156"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In our opinion, the accompanying financial statements present fairly, in all material respects, the financial position of the Fund as of September 30, 2024 and 2023, and the results of its operations, changes in members’ equity and its cash flows for the years then ended in accordance with accounting principles generally accepted in the United States of America.</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2" w:lineRule="exact"/>
        <w:rPr>
          <w:sz w:val="20"/>
          <w:szCs w:val="20"/>
          <w:color w:val="auto"/>
        </w:rPr>
      </w:pPr>
    </w:p>
    <w:p>
      <w:pPr>
        <w:ind w:right="140"/>
        <w:spacing w:after="0" w:line="238" w:lineRule="auto"/>
        <w:rPr>
          <w:sz w:val="20"/>
          <w:szCs w:val="20"/>
          <w:color w:val="auto"/>
        </w:rPr>
      </w:pPr>
      <w:r>
        <w:rPr>
          <w:rFonts w:ascii="Arial" w:cs="Arial" w:eastAsia="Arial" w:hAnsi="Arial"/>
          <w:sz w:val="16"/>
          <w:szCs w:val="16"/>
          <w:color w:val="auto"/>
        </w:rPr>
        <w:t>We conducted our audit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Fund and to meet our other ethical responsibilities, in accordance with the relevant ethical requirements relating to our audit. We believe that the audit evidence we have obtained is sufficient and appropriate to provide a basis for our audit opinion.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Responsibilities of Management for the Financial Statements</w:t>
      </w:r>
    </w:p>
    <w:p>
      <w:pPr>
        <w:spacing w:after="0" w:line="12" w:lineRule="exact"/>
        <w:rPr>
          <w:sz w:val="20"/>
          <w:szCs w:val="20"/>
          <w:color w:val="auto"/>
        </w:rPr>
      </w:pPr>
    </w:p>
    <w:p>
      <w:pPr>
        <w:ind w:right="340"/>
        <w:spacing w:after="0" w:line="239" w:lineRule="auto"/>
        <w:rPr>
          <w:sz w:val="20"/>
          <w:szCs w:val="20"/>
          <w:color w:val="auto"/>
        </w:rPr>
      </w:pPr>
      <w:r>
        <w:rPr>
          <w:rFonts w:ascii="Arial" w:cs="Arial" w:eastAsia="Arial" w:hAnsi="Arial"/>
          <w:sz w:val="16"/>
          <w:szCs w:val="16"/>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spacing w:after="0" w:line="157"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In preparing the financial statements, management is required to evaluate whether there are conditions or events, considered in the aggregate, that raise substantial doubt about the Fund’s ability to continue as a going concern within one year after the date that the financial statements are issued or available to be issued.</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Auditor’s Responsibilities for the Audit of the Financial Statements</w:t>
      </w:r>
    </w:p>
    <w:p>
      <w:pPr>
        <w:spacing w:after="0" w:line="12" w:lineRule="exact"/>
        <w:rPr>
          <w:sz w:val="20"/>
          <w:szCs w:val="20"/>
          <w:color w:val="auto"/>
        </w:rPr>
      </w:pPr>
    </w:p>
    <w:p>
      <w:pPr>
        <w:ind w:right="120"/>
        <w:spacing w:after="0" w:line="277" w:lineRule="auto"/>
        <w:rPr>
          <w:sz w:val="20"/>
          <w:szCs w:val="20"/>
          <w:color w:val="auto"/>
        </w:rPr>
      </w:pPr>
      <w:r>
        <w:rPr>
          <w:rFonts w:ascii="Arial" w:cs="Arial" w:eastAsia="Arial" w:hAnsi="Arial"/>
          <w:sz w:val="14"/>
          <w:szCs w:val="14"/>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In performing an audit in accordance with GAAS, we: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Exercise professional judgment and maintain professional skepticism throughout the audit.</w:t>
      </w:r>
    </w:p>
    <w:p>
      <w:pPr>
        <w:spacing w:after="0" w:line="115" w:lineRule="exact"/>
        <w:rPr>
          <w:sz w:val="20"/>
          <w:szCs w:val="20"/>
          <w:color w:val="auto"/>
        </w:rPr>
      </w:pPr>
    </w:p>
    <w:p>
      <w:pPr>
        <w:ind w:left="60" w:right="440"/>
        <w:spacing w:after="0" w:line="248"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Identify and assess the risks of material misstatement of the financial statements, whether due to fraud or error, and design and perform audit</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procedures responsive to those risks. Such procedures include examining, on a test basis, evidence regarding the amounts and disclosures in the financial statements.</w:t>
      </w:r>
    </w:p>
    <w:p>
      <w:pPr>
        <w:spacing w:after="0" w:line="88" w:lineRule="exact"/>
        <w:rPr>
          <w:sz w:val="20"/>
          <w:szCs w:val="20"/>
          <w:color w:val="auto"/>
        </w:rPr>
      </w:pPr>
    </w:p>
    <w:p>
      <w:pPr>
        <w:ind w:left="60" w:right="200"/>
        <w:spacing w:after="0" w:line="26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Obtain an understanding of internal control relevant to the audit in order to design audit procedures that are appropriate in the circumstances, but not</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for the purpose of expressing an opinion on the effectiveness of the Fund’s internal control. Accordingly, no such opinion is expressed.</w:t>
      </w:r>
    </w:p>
    <w:p>
      <w:pPr>
        <w:spacing w:after="0" w:line="75" w:lineRule="exact"/>
        <w:rPr>
          <w:sz w:val="20"/>
          <w:szCs w:val="20"/>
          <w:color w:val="auto"/>
        </w:rPr>
      </w:pPr>
    </w:p>
    <w:p>
      <w:pPr>
        <w:ind w:left="60"/>
        <w:spacing w:after="0" w:line="26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Evaluate the appropriateness of accounting policies used and the reasonableness of significant accounting estimates made by management, as well as</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evaluate the overall presentation of the financial statements.</w:t>
      </w:r>
    </w:p>
    <w:p>
      <w:pPr>
        <w:spacing w:after="0" w:line="75" w:lineRule="exact"/>
        <w:rPr>
          <w:sz w:val="20"/>
          <w:szCs w:val="20"/>
          <w:color w:val="auto"/>
        </w:rPr>
      </w:pPr>
    </w:p>
    <w:p>
      <w:pPr>
        <w:ind w:left="60" w:right="100"/>
        <w:spacing w:after="0" w:line="26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Conclude whether, in our judgment, there are conditions or events, considered in the aggregate, that raise substantial doubt about the Fund’s ability to</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continue as a going concern for a reasonable period of time.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120" w:name="page121"/>
    <w:bookmarkEnd w:id="120"/>
    <w:p>
      <w:pPr>
        <w:spacing w:after="0" w:line="262" w:lineRule="auto"/>
        <w:rPr>
          <w:sz w:val="20"/>
          <w:szCs w:val="20"/>
          <w:color w:val="auto"/>
        </w:rPr>
      </w:pPr>
      <w:r>
        <w:rPr>
          <w:rFonts w:ascii="Arial" w:cs="Arial" w:eastAsia="Arial" w:hAnsi="Arial"/>
          <w:sz w:val="16"/>
          <w:szCs w:val="16"/>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/s/ RSM US LLP</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November 25, 2024</w:t>
      </w:r>
    </w:p>
    <w:p>
      <w:pPr>
        <w:spacing w:after="0" w:line="200" w:lineRule="exact"/>
        <w:rPr>
          <w:sz w:val="20"/>
          <w:szCs w:val="20"/>
          <w:color w:val="auto"/>
        </w:rPr>
      </w:pPr>
    </w:p>
    <w:p>
      <w:pPr>
        <w:spacing w:after="0" w:line="2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00"/>
          </w:cols>
          <w:pgMar w:left="660" w:top="1423" w:right="1240"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3"/>
          <w:szCs w:val="13"/>
          <w:b w:val="1"/>
          <w:bCs w:val="1"/>
          <w:color w:val="auto"/>
        </w:rPr>
        <w:t>PennantPark Senior Loan Fund, LLC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Statements of Assets, Liabilities and Members' Equity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 in thousands)</w:t>
      </w:r>
    </w:p>
    <w:p>
      <w:pPr>
        <w:sectPr>
          <w:pgSz w:w="11900" w:h="16840" w:orient="portrait"/>
          <w:cols w:equalWidth="0" w:num="1">
            <w:col w:w="10440"/>
          </w:cols>
          <w:pgMar w:left="680" w:top="1336" w:right="780" w:bottom="1440" w:gutter="0" w:footer="0" w:header="0"/>
        </w:sectPr>
      </w:pP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9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320" w:type="dxa"/>
            <w:vAlign w:val="bottom"/>
          </w:tcPr>
          <w:p>
            <w:pPr>
              <w:spacing w:after="0"/>
              <w:rPr>
                <w:sz w:val="15"/>
                <w:szCs w:val="15"/>
                <w:color w:val="auto"/>
              </w:rPr>
            </w:pPr>
          </w:p>
        </w:tc>
        <w:tc>
          <w:tcPr>
            <w:tcW w:w="1840" w:type="dxa"/>
            <w:vAlign w:val="bottom"/>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0" w:type="dxa"/>
            <w:vAlign w:val="bottom"/>
          </w:tcPr>
          <w:p>
            <w:pPr>
              <w:spacing w:after="0"/>
              <w:rPr>
                <w:sz w:val="1"/>
                <w:szCs w:val="1"/>
                <w:color w:val="auto"/>
              </w:rPr>
            </w:pPr>
          </w:p>
        </w:tc>
      </w:tr>
      <w:tr>
        <w:trPr>
          <w:trHeight w:val="156"/>
        </w:trPr>
        <w:tc>
          <w:tcPr>
            <w:tcW w:w="5920" w:type="dxa"/>
            <w:vAlign w:val="bottom"/>
            <w:vMerge w:val="continue"/>
          </w:tcPr>
          <w:p>
            <w:pPr>
              <w:spacing w:after="0"/>
              <w:rPr>
                <w:sz w:val="13"/>
                <w:szCs w:val="13"/>
                <w:color w:val="auto"/>
              </w:rPr>
            </w:pPr>
          </w:p>
        </w:tc>
        <w:tc>
          <w:tcPr>
            <w:tcW w:w="320" w:type="dxa"/>
            <w:vAlign w:val="bottom"/>
            <w:vMerge w:val="restart"/>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840" w:type="dxa"/>
            <w:vAlign w:val="bottom"/>
          </w:tcPr>
          <w:p>
            <w:pPr>
              <w:spacing w:after="0"/>
              <w:rPr>
                <w:sz w:val="13"/>
                <w:szCs w:val="13"/>
                <w:color w:val="auto"/>
              </w:rPr>
            </w:pPr>
          </w:p>
        </w:tc>
        <w:tc>
          <w:tcPr>
            <w:tcW w:w="1900" w:type="dxa"/>
            <w:vAlign w:val="bottom"/>
            <w:vMerge w:val="restart"/>
          </w:tcPr>
          <w:p>
            <w:pPr>
              <w:jc w:val="right"/>
              <w:ind w:right="14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5920" w:type="dxa"/>
            <w:vAlign w:val="bottom"/>
          </w:tcPr>
          <w:p>
            <w:pPr>
              <w:spacing w:after="0"/>
              <w:rPr>
                <w:sz w:val="20"/>
                <w:szCs w:val="20"/>
                <w:color w:val="auto"/>
              </w:rPr>
            </w:pPr>
            <w:r>
              <w:rPr>
                <w:rFonts w:ascii="Times New Roman" w:cs="Times New Roman" w:eastAsia="Times New Roman" w:hAnsi="Times New Roman"/>
                <w:sz w:val="13"/>
                <w:szCs w:val="13"/>
                <w:color w:val="auto"/>
              </w:rPr>
              <w:t>Investments at fair value (amortized cost—$1,036,305 and $810,737, respectively)</w:t>
            </w:r>
          </w:p>
        </w:tc>
        <w:tc>
          <w:tcPr>
            <w:tcW w:w="320" w:type="dxa"/>
            <w:vAlign w:val="bottom"/>
            <w:vMerge w:val="continue"/>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1,031,225</w:t>
            </w:r>
          </w:p>
        </w:tc>
        <w:tc>
          <w:tcPr>
            <w:tcW w:w="1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92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 (cost—$36,595 and $59,096, respectively)</w:t>
            </w:r>
          </w:p>
        </w:tc>
        <w:tc>
          <w:tcPr>
            <w:tcW w:w="32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36,595</w:t>
            </w: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20" w:type="dxa"/>
            <w:vAlign w:val="bottom"/>
          </w:tcPr>
          <w:p>
            <w:pPr>
              <w:spacing w:after="0"/>
              <w:rPr>
                <w:sz w:val="20"/>
                <w:szCs w:val="20"/>
                <w:color w:val="auto"/>
              </w:rPr>
            </w:pPr>
            <w:r>
              <w:rPr>
                <w:rFonts w:ascii="Times New Roman" w:cs="Times New Roman" w:eastAsia="Times New Roman" w:hAnsi="Times New Roman"/>
                <w:sz w:val="13"/>
                <w:szCs w:val="13"/>
                <w:color w:val="auto"/>
              </w:rPr>
              <w:t>Interest receivable</w:t>
            </w:r>
          </w:p>
        </w:tc>
        <w:tc>
          <w:tcPr>
            <w:tcW w:w="32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5,089</w:t>
            </w: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20" w:type="dxa"/>
            <w:vAlign w:val="bottom"/>
          </w:tcPr>
          <w:p>
            <w:pPr>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32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920" w:type="dxa"/>
            <w:vAlign w:val="bottom"/>
          </w:tcPr>
          <w:p>
            <w:pPr>
              <w:spacing w:after="0"/>
              <w:rPr>
                <w:sz w:val="20"/>
                <w:szCs w:val="20"/>
                <w:color w:val="auto"/>
              </w:rPr>
            </w:pPr>
            <w:r>
              <w:rPr>
                <w:rFonts w:ascii="Times New Roman" w:cs="Times New Roman" w:eastAsia="Times New Roman" w:hAnsi="Times New Roman"/>
                <w:sz w:val="13"/>
                <w:szCs w:val="13"/>
                <w:color w:val="auto"/>
              </w:rPr>
              <w:t>Due from affiliates</w:t>
            </w:r>
          </w:p>
        </w:tc>
        <w:tc>
          <w:tcPr>
            <w:tcW w:w="32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2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32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1,073,352</w:t>
            </w: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9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3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920" w:type="dxa"/>
            <w:vAlign w:val="bottom"/>
          </w:tcPr>
          <w:p>
            <w:pPr>
              <w:spacing w:after="0"/>
              <w:rPr>
                <w:sz w:val="20"/>
                <w:szCs w:val="20"/>
                <w:color w:val="auto"/>
              </w:rPr>
            </w:pPr>
            <w:r>
              <w:rPr>
                <w:rFonts w:ascii="Times New Roman" w:cs="Times New Roman" w:eastAsia="Times New Roman" w:hAnsi="Times New Roman"/>
                <w:sz w:val="13"/>
                <w:szCs w:val="13"/>
                <w:color w:val="auto"/>
              </w:rPr>
              <w:t>2034 Asset-backed debt, net (par—$246,000 and $246,000, respectively)</w:t>
            </w:r>
          </w:p>
        </w:tc>
        <w:tc>
          <w:tcPr>
            <w:tcW w:w="32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244,672</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920" w:type="dxa"/>
            <w:vAlign w:val="bottom"/>
          </w:tcPr>
          <w:p>
            <w:pPr>
              <w:spacing w:after="0"/>
              <w:rPr>
                <w:sz w:val="20"/>
                <w:szCs w:val="20"/>
                <w:color w:val="auto"/>
              </w:rPr>
            </w:pPr>
            <w:r>
              <w:rPr>
                <w:rFonts w:ascii="Times New Roman" w:cs="Times New Roman" w:eastAsia="Times New Roman" w:hAnsi="Times New Roman"/>
                <w:sz w:val="13"/>
                <w:szCs w:val="13"/>
                <w:color w:val="auto"/>
              </w:rPr>
              <w:t>2035 Asset-backed debt, net (par—$246,000 and $246,000, respectively)</w:t>
            </w: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244,118</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920" w:type="dxa"/>
            <w:vAlign w:val="bottom"/>
          </w:tcPr>
          <w:p>
            <w:pPr>
              <w:spacing w:after="0"/>
              <w:rPr>
                <w:sz w:val="20"/>
                <w:szCs w:val="20"/>
                <w:color w:val="auto"/>
              </w:rPr>
            </w:pPr>
            <w:r>
              <w:rPr>
                <w:rFonts w:ascii="Times New Roman" w:cs="Times New Roman" w:eastAsia="Times New Roman" w:hAnsi="Times New Roman"/>
                <w:sz w:val="13"/>
                <w:szCs w:val="13"/>
                <w:color w:val="auto"/>
              </w:rPr>
              <w:t>Notes payable to members</w:t>
            </w:r>
          </w:p>
        </w:tc>
        <w:tc>
          <w:tcPr>
            <w:tcW w:w="32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191,546</w:t>
            </w: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20" w:type="dxa"/>
            <w:vAlign w:val="bottom"/>
          </w:tcPr>
          <w:p>
            <w:pPr>
              <w:spacing w:after="0"/>
              <w:rPr>
                <w:sz w:val="20"/>
                <w:szCs w:val="20"/>
                <w:color w:val="auto"/>
              </w:rPr>
            </w:pPr>
            <w:r>
              <w:rPr>
                <w:rFonts w:ascii="Times New Roman" w:cs="Times New Roman" w:eastAsia="Times New Roman" w:hAnsi="Times New Roman"/>
                <w:sz w:val="13"/>
                <w:szCs w:val="13"/>
                <w:color w:val="auto"/>
              </w:rPr>
              <w:t>Credit facility payable</w:t>
            </w:r>
          </w:p>
        </w:tc>
        <w:tc>
          <w:tcPr>
            <w:tcW w:w="32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247,600</w:t>
            </w: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20" w:type="dxa"/>
            <w:vAlign w:val="bottom"/>
          </w:tcPr>
          <w:p>
            <w:pPr>
              <w:spacing w:after="0"/>
              <w:rPr>
                <w:sz w:val="20"/>
                <w:szCs w:val="20"/>
                <w:color w:val="auto"/>
              </w:rPr>
            </w:pPr>
            <w:r>
              <w:rPr>
                <w:rFonts w:ascii="Times New Roman" w:cs="Times New Roman" w:eastAsia="Times New Roman" w:hAnsi="Times New Roman"/>
                <w:sz w:val="13"/>
                <w:szCs w:val="13"/>
                <w:color w:val="auto"/>
              </w:rPr>
              <w:t>Interest payable on credit facility and asset backed debt</w:t>
            </w:r>
          </w:p>
        </w:tc>
        <w:tc>
          <w:tcPr>
            <w:tcW w:w="32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12,525</w:t>
            </w: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20" w:type="dxa"/>
            <w:vAlign w:val="bottom"/>
          </w:tcPr>
          <w:p>
            <w:pPr>
              <w:spacing w:after="0"/>
              <w:rPr>
                <w:sz w:val="20"/>
                <w:szCs w:val="20"/>
                <w:color w:val="auto"/>
              </w:rPr>
            </w:pPr>
            <w:r>
              <w:rPr>
                <w:rFonts w:ascii="Times New Roman" w:cs="Times New Roman" w:eastAsia="Times New Roman" w:hAnsi="Times New Roman"/>
                <w:sz w:val="13"/>
                <w:szCs w:val="13"/>
                <w:color w:val="auto"/>
              </w:rPr>
              <w:t>Distribution payable to members</w:t>
            </w:r>
          </w:p>
        </w:tc>
        <w:tc>
          <w:tcPr>
            <w:tcW w:w="32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8,000</w:t>
            </w: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20" w:type="dxa"/>
            <w:vAlign w:val="bottom"/>
          </w:tcPr>
          <w:p>
            <w:pPr>
              <w:spacing w:after="0"/>
              <w:rPr>
                <w:sz w:val="20"/>
                <w:szCs w:val="20"/>
                <w:color w:val="auto"/>
              </w:rPr>
            </w:pPr>
            <w:r>
              <w:rPr>
                <w:rFonts w:ascii="Times New Roman" w:cs="Times New Roman" w:eastAsia="Times New Roman" w:hAnsi="Times New Roman"/>
                <w:sz w:val="13"/>
                <w:szCs w:val="13"/>
                <w:color w:val="auto"/>
              </w:rPr>
              <w:t>Payable for investments purchased</w:t>
            </w:r>
          </w:p>
        </w:tc>
        <w:tc>
          <w:tcPr>
            <w:tcW w:w="32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7,314</w:t>
            </w: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20" w:type="dxa"/>
            <w:vAlign w:val="bottom"/>
          </w:tcPr>
          <w:p>
            <w:pPr>
              <w:spacing w:after="0"/>
              <w:rPr>
                <w:sz w:val="20"/>
                <w:szCs w:val="20"/>
                <w:color w:val="auto"/>
              </w:rPr>
            </w:pPr>
            <w:r>
              <w:rPr>
                <w:rFonts w:ascii="Times New Roman" w:cs="Times New Roman" w:eastAsia="Times New Roman" w:hAnsi="Times New Roman"/>
                <w:sz w:val="13"/>
                <w:szCs w:val="13"/>
                <w:color w:val="auto"/>
              </w:rPr>
              <w:t>Interest payable on notes to members</w:t>
            </w:r>
          </w:p>
        </w:tc>
        <w:tc>
          <w:tcPr>
            <w:tcW w:w="32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4,372</w:t>
            </w: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920" w:type="dxa"/>
            <w:vAlign w:val="bottom"/>
          </w:tcPr>
          <w:p>
            <w:pPr>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32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934</w:t>
            </w: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92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32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961,081</w:t>
            </w: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920" w:type="dxa"/>
            <w:vAlign w:val="bottom"/>
          </w:tcPr>
          <w:p>
            <w:pPr>
              <w:spacing w:after="0"/>
              <w:rPr>
                <w:sz w:val="20"/>
                <w:szCs w:val="20"/>
                <w:color w:val="auto"/>
              </w:rPr>
            </w:pPr>
            <w:r>
              <w:rPr>
                <w:rFonts w:ascii="Times New Roman" w:cs="Times New Roman" w:eastAsia="Times New Roman" w:hAnsi="Times New Roman"/>
                <w:sz w:val="13"/>
                <w:szCs w:val="13"/>
                <w:color w:val="auto"/>
              </w:rPr>
              <w:t>Commitments and contingencies (See Note 11)</w:t>
            </w:r>
          </w:p>
        </w:tc>
        <w:tc>
          <w:tcPr>
            <w:tcW w:w="3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2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32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112,271</w:t>
            </w: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92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Total liabilities and members' equity</w:t>
            </w:r>
          </w:p>
        </w:tc>
        <w:tc>
          <w:tcPr>
            <w:tcW w:w="3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1,073,352</w:t>
            </w:r>
          </w:p>
        </w:tc>
        <w:tc>
          <w:tcPr>
            <w:tcW w:w="1900" w:type="dxa"/>
            <w:vAlign w:val="bottom"/>
          </w:tcPr>
          <w:p>
            <w:pPr>
              <w:jc w:val="right"/>
              <w:ind w:right="14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-2072640</wp:posOffset>
            </wp:positionV>
            <wp:extent cx="6707505" cy="1219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9">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-1851660</wp:posOffset>
            </wp:positionV>
            <wp:extent cx="6707505" cy="990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0">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-1653540</wp:posOffset>
            </wp:positionV>
            <wp:extent cx="6707505" cy="990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1">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-1455420</wp:posOffset>
            </wp:positionV>
            <wp:extent cx="6707505" cy="990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2">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-1211580</wp:posOffset>
            </wp:positionV>
            <wp:extent cx="6707505" cy="990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3">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-1012825</wp:posOffset>
            </wp:positionV>
            <wp:extent cx="6707505" cy="990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4">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-814705</wp:posOffset>
            </wp:positionV>
            <wp:extent cx="6707505" cy="990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5">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-616585</wp:posOffset>
            </wp:positionV>
            <wp:extent cx="6707505" cy="990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6">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-418465</wp:posOffset>
            </wp:positionV>
            <wp:extent cx="6707505" cy="990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7">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-220345</wp:posOffset>
            </wp:positionV>
            <wp:extent cx="6707505" cy="990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8">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5341620</wp:posOffset>
            </wp:positionH>
            <wp:positionV relativeFrom="paragraph">
              <wp:posOffset>-22225</wp:posOffset>
            </wp:positionV>
            <wp:extent cx="129603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9">
                      <a:extLst>
                        <a:ext uri="{28A0092B-C50C-407E-A947-70E740481C1C}"/>
                      </a:extLst>
                    </a:blip>
                    <a:srcRect/>
                    <a:stretch>
                      <a:fillRect/>
                    </a:stretch>
                  </pic:blipFill>
                  <pic:spPr bwMode="auto">
                    <a:xfrm>
                      <a:off x="0" y="0"/>
                      <a:ext cx="1296035" cy="762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-6985</wp:posOffset>
            </wp:positionV>
            <wp:extent cx="6707505" cy="1066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0">
                      <a:extLst>
                        <a:ext uri="{28A0092B-C50C-407E-A947-70E740481C1C}"/>
                      </a:extLst>
                    </a:blip>
                    <a:srcRect/>
                    <a:stretch>
                      <a:fillRect/>
                    </a:stretch>
                  </pic:blipFill>
                  <pic:spPr bwMode="auto">
                    <a:xfrm>
                      <a:off x="0" y="0"/>
                      <a:ext cx="6707505" cy="1066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804,187</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59,096</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5,248</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936</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3,296</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872,763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244,284</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243,727</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169,131</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88,600</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10,421</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7,250</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2,002</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3,895</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835</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770,145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102,618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872,763</w:t>
      </w:r>
    </w:p>
    <w:p>
      <w:pPr>
        <w:spacing w:after="0" w:line="240" w:lineRule="exact"/>
        <w:rPr>
          <w:sz w:val="20"/>
          <w:szCs w:val="20"/>
          <w:color w:val="auto"/>
        </w:rPr>
      </w:pPr>
    </w:p>
    <w:p>
      <w:pPr>
        <w:sectPr>
          <w:pgSz w:w="11900" w:h="16840" w:orient="portrait"/>
          <w:cols w:equalWidth="0" w:num="2">
            <w:col w:w="9980" w:space="20"/>
            <w:col w:w="440"/>
          </w:cols>
          <w:pgMar w:left="680" w:top="1336" w:right="780" w:bottom="1440" w:gutter="0" w:footer="0" w:header="0"/>
          <w:type w:val="continuous"/>
        </w:sectPr>
      </w:pPr>
    </w:p>
    <w:p>
      <w:pPr>
        <w:spacing w:after="0" w:line="28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SEE NOTES TO CONSOLIDATED FINANCIAL STATEMENTS</w:t>
      </w:r>
    </w:p>
    <w:p>
      <w:pPr>
        <w:spacing w:after="0" w:line="1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534035</wp:posOffset>
            </wp:positionV>
            <wp:extent cx="6732905" cy="40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40"/>
          </w:cols>
          <w:pgMar w:left="680" w:top="1336" w:right="780" w:bottom="1440" w:gutter="0" w:footer="0" w:header="0"/>
          <w:type w:val="continuous"/>
        </w:sectPr>
      </w:pPr>
    </w:p>
    <w:bookmarkStart w:id="122" w:name="page123"/>
    <w:bookmarkEnd w:id="122"/>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PennantPark Senior Loan Fund, LLC</w:t>
      </w:r>
    </w:p>
    <w:p>
      <w:pPr>
        <w:spacing w:after="0" w:line="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w:t>
      </w:r>
    </w:p>
    <w:p>
      <w:pPr>
        <w:spacing w:after="0" w:line="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20" w:type="dxa"/>
            <w:vAlign w:val="bottom"/>
            <w:gridSpan w:val="5"/>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Year Ended September 30,</w:t>
            </w:r>
          </w:p>
        </w:tc>
        <w:tc>
          <w:tcPr>
            <w:tcW w:w="0" w:type="dxa"/>
            <w:vAlign w:val="bottom"/>
          </w:tcPr>
          <w:p>
            <w:pPr>
              <w:spacing w:after="0"/>
              <w:rPr>
                <w:sz w:val="1"/>
                <w:szCs w:val="1"/>
                <w:color w:val="auto"/>
              </w:rPr>
            </w:pPr>
          </w:p>
        </w:tc>
      </w:tr>
      <w:tr>
        <w:trPr>
          <w:trHeight w:val="174"/>
        </w:trPr>
        <w:tc>
          <w:tcPr>
            <w:tcW w:w="79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240" w:type="dxa"/>
            <w:vAlign w:val="bottom"/>
          </w:tcPr>
          <w:p>
            <w:pPr>
              <w:spacing w:after="0"/>
              <w:rPr>
                <w:sz w:val="15"/>
                <w:szCs w:val="15"/>
                <w:color w:val="auto"/>
              </w:rPr>
            </w:pPr>
          </w:p>
        </w:tc>
        <w:tc>
          <w:tcPr>
            <w:tcW w:w="84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79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9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3"/>
                <w:szCs w:val="13"/>
                <w:color w:val="auto"/>
              </w:rPr>
              <w:t>Interest</w:t>
            </w:r>
          </w:p>
        </w:tc>
        <w:tc>
          <w:tcPr>
            <w:tcW w:w="240" w:type="dxa"/>
            <w:vAlign w:val="bottom"/>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114,231</w:t>
            </w:r>
          </w:p>
        </w:tc>
        <w:tc>
          <w:tcPr>
            <w:tcW w:w="120" w:type="dxa"/>
            <w:vAlign w:val="bottom"/>
            <w:shd w:val="clear" w:color="auto" w:fill="CCECFF"/>
          </w:tcPr>
          <w:p>
            <w:pPr>
              <w:spacing w:after="0"/>
              <w:rPr>
                <w:sz w:val="13"/>
                <w:szCs w:val="13"/>
                <w:color w:val="auto"/>
              </w:rPr>
            </w:pPr>
          </w:p>
        </w:tc>
        <w:tc>
          <w:tcPr>
            <w:tcW w:w="40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88,280</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9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Other income</w:t>
            </w: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1,023</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9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240" w:type="dxa"/>
            <w:vAlign w:val="bottom"/>
            <w:shd w:val="clear" w:color="auto" w:fill="CCECFF"/>
          </w:tcPr>
          <w:p>
            <w:pPr>
              <w:spacing w:after="0"/>
              <w:rPr>
                <w:sz w:val="13"/>
                <w:szCs w:val="13"/>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115,254</w:t>
            </w:r>
          </w:p>
        </w:tc>
        <w:tc>
          <w:tcPr>
            <w:tcW w:w="120" w:type="dxa"/>
            <w:vAlign w:val="bottom"/>
            <w:shd w:val="clear" w:color="auto" w:fill="CCECFF"/>
          </w:tcPr>
          <w:p>
            <w:pPr>
              <w:spacing w:after="0"/>
              <w:rPr>
                <w:sz w:val="13"/>
                <w:szCs w:val="13"/>
                <w:color w:val="auto"/>
              </w:rPr>
            </w:pPr>
          </w:p>
        </w:tc>
        <w:tc>
          <w:tcPr>
            <w:tcW w:w="40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89,690</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9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3"/>
                <w:szCs w:val="13"/>
                <w:color w:val="auto"/>
              </w:rPr>
              <w:t>Interest expense on credit facility and asset-backed debt</w:t>
            </w:r>
          </w:p>
        </w:tc>
        <w:tc>
          <w:tcPr>
            <w:tcW w:w="240" w:type="dxa"/>
            <w:vAlign w:val="bottom"/>
            <w:shd w:val="clear" w:color="auto" w:fill="CCECFF"/>
          </w:tcPr>
          <w:p>
            <w:pPr>
              <w:spacing w:after="0"/>
              <w:rPr>
                <w:sz w:val="13"/>
                <w:szCs w:val="13"/>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54,405</w:t>
            </w:r>
          </w:p>
        </w:tc>
        <w:tc>
          <w:tcPr>
            <w:tcW w:w="120" w:type="dxa"/>
            <w:vAlign w:val="bottom"/>
            <w:shd w:val="clear" w:color="auto" w:fill="CCECFF"/>
          </w:tcPr>
          <w:p>
            <w:pPr>
              <w:spacing w:after="0"/>
              <w:rPr>
                <w:sz w:val="13"/>
                <w:szCs w:val="13"/>
                <w:color w:val="auto"/>
              </w:rPr>
            </w:pPr>
          </w:p>
        </w:tc>
        <w:tc>
          <w:tcPr>
            <w:tcW w:w="40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37,977</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9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Interest expense on notes to members</w:t>
            </w: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24,861</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20,858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9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3"/>
                <w:szCs w:val="13"/>
                <w:color w:val="auto"/>
              </w:rPr>
              <w:t>Administration fees</w:t>
            </w:r>
          </w:p>
        </w:tc>
        <w:tc>
          <w:tcPr>
            <w:tcW w:w="240" w:type="dxa"/>
            <w:vAlign w:val="bottom"/>
            <w:shd w:val="clear" w:color="auto" w:fill="CCECFF"/>
          </w:tcPr>
          <w:p>
            <w:pPr>
              <w:spacing w:after="0"/>
              <w:rPr>
                <w:sz w:val="13"/>
                <w:szCs w:val="13"/>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2,423</w:t>
            </w:r>
          </w:p>
        </w:tc>
        <w:tc>
          <w:tcPr>
            <w:tcW w:w="120" w:type="dxa"/>
            <w:vAlign w:val="bottom"/>
            <w:shd w:val="clear" w:color="auto" w:fill="CCECFF"/>
          </w:tcPr>
          <w:p>
            <w:pPr>
              <w:spacing w:after="0"/>
              <w:rPr>
                <w:sz w:val="13"/>
                <w:szCs w:val="13"/>
                <w:color w:val="auto"/>
              </w:rPr>
            </w:pPr>
          </w:p>
        </w:tc>
        <w:tc>
          <w:tcPr>
            <w:tcW w:w="40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2,027</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9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1,360</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9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3"/>
                <w:szCs w:val="13"/>
                <w:b w:val="1"/>
                <w:bCs w:val="1"/>
                <w:color w:val="auto"/>
              </w:rPr>
              <w:t>Total expenses</w:t>
            </w:r>
          </w:p>
        </w:tc>
        <w:tc>
          <w:tcPr>
            <w:tcW w:w="240" w:type="dxa"/>
            <w:vAlign w:val="bottom"/>
            <w:shd w:val="clear" w:color="auto" w:fill="CCECFF"/>
          </w:tcPr>
          <w:p>
            <w:pPr>
              <w:spacing w:after="0"/>
              <w:rPr>
                <w:sz w:val="13"/>
                <w:szCs w:val="13"/>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83,049</w:t>
            </w:r>
          </w:p>
        </w:tc>
        <w:tc>
          <w:tcPr>
            <w:tcW w:w="120" w:type="dxa"/>
            <w:vAlign w:val="bottom"/>
            <w:shd w:val="clear" w:color="auto" w:fill="CCECFF"/>
          </w:tcPr>
          <w:p>
            <w:pPr>
              <w:spacing w:after="0"/>
              <w:rPr>
                <w:sz w:val="13"/>
                <w:szCs w:val="13"/>
                <w:color w:val="auto"/>
              </w:rPr>
            </w:pPr>
          </w:p>
        </w:tc>
        <w:tc>
          <w:tcPr>
            <w:tcW w:w="40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61,952</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90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32,205</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27,738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Realized and unrealized gain (loss) on investments:</w:t>
            </w:r>
          </w:p>
        </w:tc>
        <w:tc>
          <w:tcPr>
            <w:tcW w:w="24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0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240" w:type="dxa"/>
            <w:vAlign w:val="bottom"/>
          </w:tcPr>
          <w:p>
            <w:pPr>
              <w:spacing w:after="0"/>
              <w:rPr>
                <w:sz w:val="13"/>
                <w:szCs w:val="13"/>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(2,838 )</w:t>
            </w:r>
          </w:p>
        </w:tc>
        <w:tc>
          <w:tcPr>
            <w:tcW w:w="400" w:type="dxa"/>
            <w:vAlign w:val="bottom"/>
          </w:tcPr>
          <w:p>
            <w:pPr>
              <w:spacing w:after="0"/>
              <w:rPr>
                <w:sz w:val="13"/>
                <w:szCs w:val="13"/>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(498 )</w:t>
            </w:r>
          </w:p>
        </w:tc>
        <w:tc>
          <w:tcPr>
            <w:tcW w:w="0" w:type="dxa"/>
            <w:vAlign w:val="bottom"/>
          </w:tcPr>
          <w:p>
            <w:pPr>
              <w:spacing w:after="0"/>
              <w:rPr>
                <w:sz w:val="1"/>
                <w:szCs w:val="1"/>
                <w:color w:val="auto"/>
              </w:rPr>
            </w:pPr>
          </w:p>
        </w:tc>
      </w:tr>
      <w:tr>
        <w:trPr>
          <w:trHeight w:val="156"/>
        </w:trPr>
        <w:tc>
          <w:tcPr>
            <w:tcW w:w="7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240" w:type="dxa"/>
            <w:vAlign w:val="bottom"/>
            <w:shd w:val="clear" w:color="auto" w:fill="CCECFF"/>
          </w:tcPr>
          <w:p>
            <w:pPr>
              <w:spacing w:after="0"/>
              <w:rPr>
                <w:sz w:val="13"/>
                <w:szCs w:val="13"/>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1,462</w:t>
            </w:r>
          </w:p>
        </w:tc>
        <w:tc>
          <w:tcPr>
            <w:tcW w:w="120" w:type="dxa"/>
            <w:vAlign w:val="bottom"/>
            <w:shd w:val="clear" w:color="auto" w:fill="CCECFF"/>
          </w:tcPr>
          <w:p>
            <w:pPr>
              <w:spacing w:after="0"/>
              <w:rPr>
                <w:sz w:val="13"/>
                <w:szCs w:val="13"/>
                <w:color w:val="auto"/>
              </w:rPr>
            </w:pPr>
          </w:p>
        </w:tc>
        <w:tc>
          <w:tcPr>
            <w:tcW w:w="40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1,575</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realized and unrealized gain (loss) on investments</w:t>
            </w:r>
          </w:p>
        </w:tc>
        <w:tc>
          <w:tcPr>
            <w:tcW w:w="240" w:type="dxa"/>
            <w:vAlign w:val="bottom"/>
          </w:tcPr>
          <w:p>
            <w:pPr>
              <w:spacing w:after="0"/>
              <w:rPr>
                <w:sz w:val="13"/>
                <w:szCs w:val="13"/>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(1,376 )</w:t>
            </w:r>
          </w:p>
        </w:tc>
        <w:tc>
          <w:tcPr>
            <w:tcW w:w="4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9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members' equity resulting from operations</w:t>
            </w: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30,829</w:t>
            </w:r>
          </w:p>
        </w:tc>
        <w:tc>
          <w:tcPr>
            <w:tcW w:w="120" w:type="dxa"/>
            <w:vAlign w:val="bottom"/>
            <w:tcBorders>
              <w:bottom w:val="single" w:sz="8" w:color="CCECFF"/>
            </w:tcBorders>
            <w:shd w:val="clear" w:color="auto" w:fill="CCECFF"/>
          </w:tcPr>
          <w:p>
            <w:pPr>
              <w:spacing w:after="0"/>
              <w:rPr>
                <w:sz w:val="17"/>
                <w:szCs w:val="17"/>
                <w:color w:val="auto"/>
              </w:rPr>
            </w:pPr>
          </w:p>
        </w:tc>
        <w:tc>
          <w:tcPr>
            <w:tcW w:w="400" w:type="dxa"/>
            <w:vAlign w:val="bottom"/>
            <w:tcBorders>
              <w:bottom w:val="single" w:sz="8" w:color="auto"/>
            </w:tcBorders>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28,815</w:t>
            </w:r>
          </w:p>
        </w:tc>
        <w:tc>
          <w:tcPr>
            <w:tcW w:w="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6" w:right="680" w:bottom="1440" w:gutter="0" w:footer="0" w:header="0"/>
        </w:sectPr>
      </w:pPr>
    </w:p>
    <w:bookmarkStart w:id="123" w:name="page124"/>
    <w:bookmarkEnd w:id="123"/>
    <w:p>
      <w:pPr>
        <w:spacing w:after="0" w:line="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Members’ Equity</w:t>
      </w: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5"/>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Year Ended September 30,</w:t>
            </w:r>
          </w:p>
        </w:tc>
        <w:tc>
          <w:tcPr>
            <w:tcW w:w="0" w:type="dxa"/>
            <w:vAlign w:val="bottom"/>
          </w:tcPr>
          <w:p>
            <w:pPr>
              <w:spacing w:after="0"/>
              <w:rPr>
                <w:sz w:val="1"/>
                <w:szCs w:val="1"/>
                <w:color w:val="auto"/>
              </w:rPr>
            </w:pPr>
          </w:p>
        </w:tc>
      </w:tr>
      <w:tr>
        <w:trPr>
          <w:trHeight w:val="174"/>
        </w:trPr>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Net change in members’ equity resulting from operations:</w:t>
            </w:r>
          </w:p>
        </w:tc>
        <w:tc>
          <w:tcPr>
            <w:tcW w:w="200" w:type="dxa"/>
            <w:vAlign w:val="bottom"/>
          </w:tcPr>
          <w:p>
            <w:pPr>
              <w:spacing w:after="0"/>
              <w:rPr>
                <w:sz w:val="15"/>
                <w:szCs w:val="15"/>
                <w:color w:val="auto"/>
              </w:rPr>
            </w:pPr>
          </w:p>
        </w:tc>
        <w:tc>
          <w:tcPr>
            <w:tcW w:w="78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3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30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3"/>
                <w:szCs w:val="13"/>
                <w:color w:val="auto"/>
              </w:rPr>
              <w:t>Net investment income</w:t>
            </w:r>
          </w:p>
        </w:tc>
        <w:tc>
          <w:tcPr>
            <w:tcW w:w="20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32,205</w:t>
            </w:r>
          </w:p>
        </w:tc>
        <w:tc>
          <w:tcPr>
            <w:tcW w:w="200" w:type="dxa"/>
            <w:vAlign w:val="bottom"/>
            <w:shd w:val="clear" w:color="auto" w:fill="CCECFF"/>
          </w:tcPr>
          <w:p>
            <w:pPr>
              <w:spacing w:after="0"/>
              <w:rPr>
                <w:sz w:val="14"/>
                <w:szCs w:val="14"/>
                <w:color w:val="auto"/>
              </w:rPr>
            </w:pP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27,738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3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2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(2,838 )</w:t>
            </w:r>
          </w:p>
        </w:tc>
        <w:tc>
          <w:tcPr>
            <w:tcW w:w="22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(498 )</w:t>
            </w:r>
          </w:p>
        </w:tc>
        <w:tc>
          <w:tcPr>
            <w:tcW w:w="0" w:type="dxa"/>
            <w:vAlign w:val="bottom"/>
          </w:tcPr>
          <w:p>
            <w:pPr>
              <w:spacing w:after="0"/>
              <w:rPr>
                <w:sz w:val="1"/>
                <w:szCs w:val="1"/>
                <w:color w:val="auto"/>
              </w:rPr>
            </w:pPr>
          </w:p>
        </w:tc>
      </w:tr>
      <w:tr>
        <w:trPr>
          <w:trHeight w:val="168"/>
        </w:trPr>
        <w:tc>
          <w:tcPr>
            <w:tcW w:w="830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20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1,462</w:t>
            </w:r>
          </w:p>
        </w:tc>
        <w:tc>
          <w:tcPr>
            <w:tcW w:w="2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1,575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3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increase (decrease) in members’ equity resulting from operations</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30,829</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Capital Transactions</w:t>
            </w:r>
          </w:p>
        </w:tc>
        <w:tc>
          <w:tcPr>
            <w:tcW w:w="20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3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Capital contributions</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14,534</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30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3"/>
                <w:szCs w:val="13"/>
                <w:color w:val="auto"/>
              </w:rPr>
              <w:t>Distributions</w:t>
            </w:r>
          </w:p>
        </w:tc>
        <w:tc>
          <w:tcPr>
            <w:tcW w:w="200" w:type="dxa"/>
            <w:vAlign w:val="bottom"/>
            <w:shd w:val="clear" w:color="auto" w:fill="CCECFF"/>
          </w:tcPr>
          <w:p>
            <w:pPr>
              <w:spacing w:after="0"/>
              <w:rPr>
                <w:sz w:val="14"/>
                <w:szCs w:val="14"/>
                <w:color w:val="auto"/>
              </w:rPr>
            </w:pPr>
          </w:p>
        </w:tc>
        <w:tc>
          <w:tcPr>
            <w:tcW w:w="9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(35,710 )</w:t>
            </w:r>
          </w:p>
        </w:tc>
        <w:tc>
          <w:tcPr>
            <w:tcW w:w="220" w:type="dxa"/>
            <w:vAlign w:val="bottom"/>
            <w:shd w:val="clear" w:color="auto" w:fill="CCECFF"/>
          </w:tcPr>
          <w:p>
            <w:pPr>
              <w:spacing w:after="0"/>
              <w:rPr>
                <w:sz w:val="14"/>
                <w:szCs w:val="14"/>
                <w:color w:val="auto"/>
              </w:rPr>
            </w:pPr>
          </w:p>
        </w:tc>
        <w:tc>
          <w:tcPr>
            <w:tcW w:w="8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(26,000 )</w:t>
            </w:r>
          </w:p>
        </w:tc>
        <w:tc>
          <w:tcPr>
            <w:tcW w:w="0" w:type="dxa"/>
            <w:vAlign w:val="bottom"/>
          </w:tcPr>
          <w:p>
            <w:pPr>
              <w:spacing w:after="0"/>
              <w:rPr>
                <w:sz w:val="1"/>
                <w:szCs w:val="1"/>
                <w:color w:val="auto"/>
              </w:rPr>
            </w:pPr>
          </w:p>
        </w:tc>
      </w:tr>
      <w:tr>
        <w:trPr>
          <w:trHeight w:val="168"/>
        </w:trPr>
        <w:tc>
          <w:tcPr>
            <w:tcW w:w="8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members’ equity</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9,653</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20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3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Beginning of year</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102,618</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84,462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300" w:type="dxa"/>
            <w:vAlign w:val="bottom"/>
            <w:tcBorders>
              <w:bottom w:val="single" w:sz="8" w:color="CCECFF"/>
            </w:tcBorders>
            <w:shd w:val="clear" w:color="auto" w:fill="CCECFF"/>
          </w:tcPr>
          <w:p>
            <w:pPr>
              <w:ind w:left="240"/>
              <w:spacing w:after="0"/>
              <w:rPr>
                <w:sz w:val="20"/>
                <w:szCs w:val="20"/>
                <w:color w:val="auto"/>
              </w:rPr>
            </w:pPr>
            <w:r>
              <w:rPr>
                <w:rFonts w:ascii="Times New Roman" w:cs="Times New Roman" w:eastAsia="Times New Roman" w:hAnsi="Times New Roman"/>
                <w:sz w:val="13"/>
                <w:szCs w:val="13"/>
                <w:color w:val="auto"/>
              </w:rPr>
              <w:t>End of year</w:t>
            </w:r>
          </w:p>
        </w:tc>
        <w:tc>
          <w:tcPr>
            <w:tcW w:w="200" w:type="dxa"/>
            <w:vAlign w:val="bottom"/>
            <w:tcBorders>
              <w:bottom w:val="single" w:sz="8" w:color="auto"/>
            </w:tcBorders>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112,271</w:t>
            </w:r>
          </w:p>
        </w:tc>
        <w:tc>
          <w:tcPr>
            <w:tcW w:w="20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102,618</w:t>
            </w:r>
          </w:p>
        </w:tc>
        <w:tc>
          <w:tcPr>
            <w:tcW w:w="10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4" w:name="page125"/>
    <w:bookmarkEnd w:id="124"/>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PennantPark Senior Loan Fund, LLC</w:t>
      </w:r>
    </w:p>
    <w:p>
      <w:pPr>
        <w:spacing w:after="0" w:line="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0" w:type="dxa"/>
            <w:vAlign w:val="bottom"/>
            <w:gridSpan w:val="5"/>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Year Ended September 30,</w:t>
            </w:r>
          </w:p>
        </w:tc>
      </w:tr>
      <w:tr>
        <w:trPr>
          <w:trHeight w:val="188"/>
        </w:trPr>
        <w:tc>
          <w:tcPr>
            <w:tcW w:w="7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6"/>
                <w:szCs w:val="16"/>
                <w:color w:val="auto"/>
              </w:rPr>
            </w:pPr>
          </w:p>
        </w:tc>
      </w:tr>
      <w:tr>
        <w:trPr>
          <w:trHeight w:val="168"/>
        </w:trPr>
        <w:tc>
          <w:tcPr>
            <w:tcW w:w="7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8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r>
      <w:tr>
        <w:trPr>
          <w:trHeight w:val="168"/>
        </w:trPr>
        <w:tc>
          <w:tcPr>
            <w:tcW w:w="78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increase (decrease) in members’ equity resulting from operations</w:t>
            </w: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30,829</w:t>
            </w:r>
          </w:p>
        </w:tc>
        <w:tc>
          <w:tcPr>
            <w:tcW w:w="220" w:type="dxa"/>
            <w:vAlign w:val="bottom"/>
          </w:tcPr>
          <w:p>
            <w:pPr>
              <w:spacing w:after="0"/>
              <w:rPr>
                <w:sz w:val="14"/>
                <w:szCs w:val="14"/>
                <w:color w:val="auto"/>
              </w:rPr>
            </w:pP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28,815</w:t>
            </w:r>
          </w:p>
        </w:tc>
        <w:tc>
          <w:tcPr>
            <w:tcW w:w="80" w:type="dxa"/>
            <w:vAlign w:val="bottom"/>
          </w:tcPr>
          <w:p>
            <w:pPr>
              <w:spacing w:after="0"/>
              <w:rPr>
                <w:sz w:val="14"/>
                <w:szCs w:val="14"/>
                <w:color w:val="auto"/>
              </w:rPr>
            </w:pPr>
          </w:p>
        </w:tc>
      </w:tr>
      <w:tr>
        <w:trPr>
          <w:trHeight w:val="144"/>
        </w:trPr>
        <w:tc>
          <w:tcPr>
            <w:tcW w:w="7880" w:type="dxa"/>
            <w:vAlign w:val="bottom"/>
            <w:shd w:val="clear" w:color="auto" w:fill="CCECFF"/>
          </w:tcPr>
          <w:p>
            <w:pPr>
              <w:ind w:left="80"/>
              <w:spacing w:after="0" w:line="144" w:lineRule="exact"/>
              <w:rPr>
                <w:sz w:val="20"/>
                <w:szCs w:val="20"/>
                <w:color w:val="auto"/>
              </w:rPr>
            </w:pPr>
            <w:r>
              <w:rPr>
                <w:rFonts w:ascii="Times New Roman" w:cs="Times New Roman" w:eastAsia="Times New Roman" w:hAnsi="Times New Roman"/>
                <w:sz w:val="13"/>
                <w:szCs w:val="13"/>
                <w:color w:val="auto"/>
              </w:rPr>
              <w:t>Adjustments to reconcile net increase (decrease) in members’ equity resulting from operations to net cash (used in) provided by operating</w:t>
            </w:r>
          </w:p>
        </w:tc>
        <w:tc>
          <w:tcPr>
            <w:tcW w:w="2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72"/>
        </w:trPr>
        <w:tc>
          <w:tcPr>
            <w:tcW w:w="78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3"/>
                <w:szCs w:val="13"/>
                <w:color w:val="auto"/>
              </w:rPr>
              <w:t>activities:</w:t>
            </w:r>
          </w:p>
        </w:tc>
        <w:tc>
          <w:tcPr>
            <w:tcW w:w="28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r>
      <w:tr>
        <w:trPr>
          <w:trHeight w:val="128"/>
        </w:trPr>
        <w:tc>
          <w:tcPr>
            <w:tcW w:w="78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r>
      <w:tr>
        <w:trPr>
          <w:trHeight w:val="168"/>
        </w:trPr>
        <w:tc>
          <w:tcPr>
            <w:tcW w:w="78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2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(1,462 )</w:t>
            </w:r>
          </w:p>
        </w:tc>
        <w:tc>
          <w:tcPr>
            <w:tcW w:w="28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(1,575 )</w:t>
            </w:r>
          </w:p>
        </w:tc>
      </w:tr>
      <w:tr>
        <w:trPr>
          <w:trHeight w:val="168"/>
        </w:trPr>
        <w:tc>
          <w:tcPr>
            <w:tcW w:w="788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28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2,838</w:t>
            </w:r>
          </w:p>
        </w:tc>
        <w:tc>
          <w:tcPr>
            <w:tcW w:w="2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498</w:t>
            </w:r>
          </w:p>
        </w:tc>
        <w:tc>
          <w:tcPr>
            <w:tcW w:w="80" w:type="dxa"/>
            <w:vAlign w:val="bottom"/>
            <w:shd w:val="clear" w:color="auto" w:fill="CCECFF"/>
          </w:tcPr>
          <w:p>
            <w:pPr>
              <w:spacing w:after="0"/>
              <w:rPr>
                <w:sz w:val="14"/>
                <w:szCs w:val="14"/>
                <w:color w:val="auto"/>
              </w:rPr>
            </w:pPr>
          </w:p>
        </w:tc>
      </w:tr>
      <w:tr>
        <w:trPr>
          <w:trHeight w:val="168"/>
        </w:trPr>
        <w:tc>
          <w:tcPr>
            <w:tcW w:w="78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Net accretion of discount and amortization of premium</w:t>
            </w:r>
          </w:p>
        </w:tc>
        <w:tc>
          <w:tcPr>
            <w:tcW w:w="2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(3,560 )</w:t>
            </w:r>
          </w:p>
        </w:tc>
        <w:tc>
          <w:tcPr>
            <w:tcW w:w="28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(3,146 )</w:t>
            </w:r>
          </w:p>
        </w:tc>
      </w:tr>
      <w:tr>
        <w:trPr>
          <w:trHeight w:val="168"/>
        </w:trPr>
        <w:tc>
          <w:tcPr>
            <w:tcW w:w="788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Purchases of investments</w:t>
            </w: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(396,119 )</w:t>
            </w:r>
          </w:p>
        </w:tc>
        <w:tc>
          <w:tcPr>
            <w:tcW w:w="280" w:type="dxa"/>
            <w:vAlign w:val="bottom"/>
            <w:shd w:val="clear" w:color="auto" w:fill="CCECFF"/>
          </w:tcPr>
          <w:p>
            <w:pPr>
              <w:spacing w:after="0"/>
              <w:rPr>
                <w:sz w:val="14"/>
                <w:szCs w:val="14"/>
                <w:color w:val="auto"/>
              </w:rPr>
            </w:pPr>
          </w:p>
        </w:tc>
        <w:tc>
          <w:tcPr>
            <w:tcW w:w="10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(176,199 )</w:t>
            </w:r>
          </w:p>
        </w:tc>
      </w:tr>
      <w:tr>
        <w:trPr>
          <w:trHeight w:val="168"/>
        </w:trPr>
        <w:tc>
          <w:tcPr>
            <w:tcW w:w="78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Amortization of deferred financing costs</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779</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w:t>
            </w:r>
          </w:p>
        </w:tc>
        <w:tc>
          <w:tcPr>
            <w:tcW w:w="80" w:type="dxa"/>
            <w:vAlign w:val="bottom"/>
          </w:tcPr>
          <w:p>
            <w:pPr>
              <w:spacing w:after="0"/>
              <w:rPr>
                <w:sz w:val="14"/>
                <w:szCs w:val="14"/>
                <w:color w:val="auto"/>
              </w:rPr>
            </w:pPr>
          </w:p>
        </w:tc>
      </w:tr>
      <w:tr>
        <w:trPr>
          <w:trHeight w:val="168"/>
        </w:trPr>
        <w:tc>
          <w:tcPr>
            <w:tcW w:w="788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Payment-in-kind interest</w:t>
            </w: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(1,645 )</w:t>
            </w:r>
          </w:p>
        </w:tc>
        <w:tc>
          <w:tcPr>
            <w:tcW w:w="280" w:type="dxa"/>
            <w:vAlign w:val="bottom"/>
            <w:shd w:val="clear" w:color="auto" w:fill="CCECFF"/>
          </w:tcPr>
          <w:p>
            <w:pPr>
              <w:spacing w:after="0"/>
              <w:rPr>
                <w:sz w:val="14"/>
                <w:szCs w:val="14"/>
                <w:color w:val="auto"/>
              </w:rPr>
            </w:pPr>
          </w:p>
        </w:tc>
        <w:tc>
          <w:tcPr>
            <w:tcW w:w="10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(225 )</w:t>
            </w:r>
          </w:p>
        </w:tc>
      </w:tr>
      <w:tr>
        <w:trPr>
          <w:trHeight w:val="168"/>
        </w:trPr>
        <w:tc>
          <w:tcPr>
            <w:tcW w:w="78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Proceeds from disposition of investments</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172,910</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106,568</w:t>
            </w:r>
          </w:p>
        </w:tc>
        <w:tc>
          <w:tcPr>
            <w:tcW w:w="80" w:type="dxa"/>
            <w:vAlign w:val="bottom"/>
          </w:tcPr>
          <w:p>
            <w:pPr>
              <w:spacing w:after="0"/>
              <w:rPr>
                <w:sz w:val="14"/>
                <w:szCs w:val="14"/>
                <w:color w:val="auto"/>
              </w:rPr>
            </w:pPr>
          </w:p>
        </w:tc>
      </w:tr>
      <w:tr>
        <w:trPr>
          <w:trHeight w:val="168"/>
        </w:trPr>
        <w:tc>
          <w:tcPr>
            <w:tcW w:w="788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(Increase) Decrease in:</w:t>
            </w:r>
          </w:p>
        </w:tc>
        <w:tc>
          <w:tcPr>
            <w:tcW w:w="28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r>
      <w:tr>
        <w:trPr>
          <w:trHeight w:val="168"/>
        </w:trPr>
        <w:tc>
          <w:tcPr>
            <w:tcW w:w="78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Receivable for investments sold</w:t>
            </w:r>
          </w:p>
        </w:tc>
        <w:tc>
          <w:tcPr>
            <w:tcW w:w="28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3,870</w:t>
            </w:r>
          </w:p>
        </w:tc>
        <w:tc>
          <w:tcPr>
            <w:tcW w:w="80" w:type="dxa"/>
            <w:vAlign w:val="bottom"/>
          </w:tcPr>
          <w:p>
            <w:pPr>
              <w:spacing w:after="0"/>
              <w:rPr>
                <w:sz w:val="14"/>
                <w:szCs w:val="14"/>
                <w:color w:val="auto"/>
              </w:rPr>
            </w:pPr>
          </w:p>
        </w:tc>
      </w:tr>
      <w:tr>
        <w:trPr>
          <w:trHeight w:val="168"/>
        </w:trPr>
        <w:tc>
          <w:tcPr>
            <w:tcW w:w="7880" w:type="dxa"/>
            <w:vAlign w:val="bottom"/>
            <w:shd w:val="clear" w:color="auto" w:fill="CCECFF"/>
          </w:tcPr>
          <w:p>
            <w:pPr>
              <w:ind w:left="300"/>
              <w:spacing w:after="0"/>
              <w:rPr>
                <w:sz w:val="20"/>
                <w:szCs w:val="20"/>
                <w:color w:val="auto"/>
              </w:rPr>
            </w:pPr>
            <w:r>
              <w:rPr>
                <w:rFonts w:ascii="Times New Roman" w:cs="Times New Roman" w:eastAsia="Times New Roman" w:hAnsi="Times New Roman"/>
                <w:sz w:val="13"/>
                <w:szCs w:val="13"/>
                <w:color w:val="auto"/>
              </w:rPr>
              <w:t>Interest receivable</w:t>
            </w:r>
          </w:p>
        </w:tc>
        <w:tc>
          <w:tcPr>
            <w:tcW w:w="28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2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(2,278 )</w:t>
            </w:r>
          </w:p>
        </w:tc>
      </w:tr>
      <w:tr>
        <w:trPr>
          <w:trHeight w:val="168"/>
        </w:trPr>
        <w:tc>
          <w:tcPr>
            <w:tcW w:w="78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Due from affiliate</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3,225</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(1,275 )</w:t>
            </w:r>
          </w:p>
        </w:tc>
      </w:tr>
      <w:tr>
        <w:trPr>
          <w:trHeight w:val="168"/>
        </w:trPr>
        <w:tc>
          <w:tcPr>
            <w:tcW w:w="7880" w:type="dxa"/>
            <w:vAlign w:val="bottom"/>
            <w:shd w:val="clear" w:color="auto" w:fill="CCECFF"/>
          </w:tcPr>
          <w:p>
            <w:pPr>
              <w:ind w:left="30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28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564</w:t>
            </w:r>
          </w:p>
        </w:tc>
        <w:tc>
          <w:tcPr>
            <w:tcW w:w="2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437</w:t>
            </w:r>
          </w:p>
        </w:tc>
        <w:tc>
          <w:tcPr>
            <w:tcW w:w="80" w:type="dxa"/>
            <w:vAlign w:val="bottom"/>
            <w:shd w:val="clear" w:color="auto" w:fill="CCECFF"/>
          </w:tcPr>
          <w:p>
            <w:pPr>
              <w:spacing w:after="0"/>
              <w:rPr>
                <w:sz w:val="14"/>
                <w:szCs w:val="14"/>
                <w:color w:val="auto"/>
              </w:rPr>
            </w:pPr>
          </w:p>
        </w:tc>
      </w:tr>
      <w:tr>
        <w:trPr>
          <w:trHeight w:val="168"/>
        </w:trPr>
        <w:tc>
          <w:tcPr>
            <w:tcW w:w="78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Increase (Decrease) in:</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7880" w:type="dxa"/>
            <w:vAlign w:val="bottom"/>
            <w:shd w:val="clear" w:color="auto" w:fill="CCECFF"/>
          </w:tcPr>
          <w:p>
            <w:pPr>
              <w:ind w:left="300"/>
              <w:spacing w:after="0"/>
              <w:rPr>
                <w:sz w:val="20"/>
                <w:szCs w:val="20"/>
                <w:color w:val="auto"/>
              </w:rPr>
            </w:pPr>
            <w:r>
              <w:rPr>
                <w:rFonts w:ascii="Times New Roman" w:cs="Times New Roman" w:eastAsia="Times New Roman" w:hAnsi="Times New Roman"/>
                <w:sz w:val="13"/>
                <w:szCs w:val="13"/>
                <w:color w:val="auto"/>
              </w:rPr>
              <w:t>Payable for investments purchased</w:t>
            </w:r>
          </w:p>
        </w:tc>
        <w:tc>
          <w:tcPr>
            <w:tcW w:w="28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5,312</w:t>
            </w:r>
          </w:p>
        </w:tc>
        <w:tc>
          <w:tcPr>
            <w:tcW w:w="2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(35,656 )</w:t>
            </w:r>
          </w:p>
        </w:tc>
      </w:tr>
      <w:tr>
        <w:trPr>
          <w:trHeight w:val="168"/>
        </w:trPr>
        <w:tc>
          <w:tcPr>
            <w:tcW w:w="78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Interest payable on credit facility and asset backed debt</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2,104</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5,745</w:t>
            </w:r>
          </w:p>
        </w:tc>
        <w:tc>
          <w:tcPr>
            <w:tcW w:w="80" w:type="dxa"/>
            <w:vAlign w:val="bottom"/>
          </w:tcPr>
          <w:p>
            <w:pPr>
              <w:spacing w:after="0"/>
              <w:rPr>
                <w:sz w:val="14"/>
                <w:szCs w:val="14"/>
                <w:color w:val="auto"/>
              </w:rPr>
            </w:pPr>
          </w:p>
        </w:tc>
      </w:tr>
      <w:tr>
        <w:trPr>
          <w:trHeight w:val="168"/>
        </w:trPr>
        <w:tc>
          <w:tcPr>
            <w:tcW w:w="7880" w:type="dxa"/>
            <w:vAlign w:val="bottom"/>
            <w:shd w:val="clear" w:color="auto" w:fill="CCECFF"/>
          </w:tcPr>
          <w:p>
            <w:pPr>
              <w:ind w:left="300"/>
              <w:spacing w:after="0"/>
              <w:rPr>
                <w:sz w:val="20"/>
                <w:szCs w:val="20"/>
                <w:color w:val="auto"/>
              </w:rPr>
            </w:pPr>
            <w:r>
              <w:rPr>
                <w:rFonts w:ascii="Times New Roman" w:cs="Times New Roman" w:eastAsia="Times New Roman" w:hAnsi="Times New Roman"/>
                <w:sz w:val="13"/>
                <w:szCs w:val="13"/>
                <w:color w:val="auto"/>
              </w:rPr>
              <w:t>Interest payable on notes to members</w:t>
            </w:r>
          </w:p>
        </w:tc>
        <w:tc>
          <w:tcPr>
            <w:tcW w:w="28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477</w:t>
            </w:r>
          </w:p>
        </w:tc>
        <w:tc>
          <w:tcPr>
            <w:tcW w:w="2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1,192</w:t>
            </w:r>
          </w:p>
        </w:tc>
        <w:tc>
          <w:tcPr>
            <w:tcW w:w="80" w:type="dxa"/>
            <w:vAlign w:val="bottom"/>
            <w:shd w:val="clear" w:color="auto" w:fill="CCECFF"/>
          </w:tcPr>
          <w:p>
            <w:pPr>
              <w:spacing w:after="0"/>
              <w:rPr>
                <w:sz w:val="14"/>
                <w:szCs w:val="14"/>
                <w:color w:val="auto"/>
              </w:rPr>
            </w:pPr>
          </w:p>
        </w:tc>
      </w:tr>
      <w:tr>
        <w:trPr>
          <w:trHeight w:val="168"/>
        </w:trPr>
        <w:tc>
          <w:tcPr>
            <w:tcW w:w="78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Accrued expenses</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4"/>
                <w:szCs w:val="14"/>
                <w:color w:val="auto"/>
              </w:rPr>
            </w:pPr>
          </w:p>
        </w:tc>
      </w:tr>
      <w:tr>
        <w:trPr>
          <w:trHeight w:val="168"/>
        </w:trPr>
        <w:tc>
          <w:tcPr>
            <w:tcW w:w="788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(183,490 )</w:t>
            </w:r>
          </w:p>
        </w:tc>
        <w:tc>
          <w:tcPr>
            <w:tcW w:w="280" w:type="dxa"/>
            <w:vAlign w:val="bottom"/>
            <w:shd w:val="clear" w:color="auto" w:fill="CCECFF"/>
          </w:tcPr>
          <w:p>
            <w:pPr>
              <w:spacing w:after="0"/>
              <w:rPr>
                <w:sz w:val="14"/>
                <w:szCs w:val="14"/>
                <w:color w:val="auto"/>
              </w:rPr>
            </w:pPr>
          </w:p>
        </w:tc>
        <w:tc>
          <w:tcPr>
            <w:tcW w:w="10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(72,755 )</w:t>
            </w:r>
          </w:p>
        </w:tc>
      </w:tr>
      <w:tr>
        <w:trPr>
          <w:trHeight w:val="168"/>
        </w:trPr>
        <w:tc>
          <w:tcPr>
            <w:tcW w:w="7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788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Members’ capital contributions</w:t>
            </w:r>
          </w:p>
        </w:tc>
        <w:tc>
          <w:tcPr>
            <w:tcW w:w="28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14,534</w:t>
            </w:r>
          </w:p>
        </w:tc>
        <w:tc>
          <w:tcPr>
            <w:tcW w:w="2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15,341</w:t>
            </w:r>
          </w:p>
        </w:tc>
        <w:tc>
          <w:tcPr>
            <w:tcW w:w="80" w:type="dxa"/>
            <w:vAlign w:val="bottom"/>
            <w:shd w:val="clear" w:color="auto" w:fill="CCECFF"/>
          </w:tcPr>
          <w:p>
            <w:pPr>
              <w:spacing w:after="0"/>
              <w:rPr>
                <w:sz w:val="14"/>
                <w:szCs w:val="14"/>
                <w:color w:val="auto"/>
              </w:rPr>
            </w:pPr>
          </w:p>
        </w:tc>
      </w:tr>
      <w:tr>
        <w:trPr>
          <w:trHeight w:val="168"/>
        </w:trPr>
        <w:tc>
          <w:tcPr>
            <w:tcW w:w="78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Notes issued to members</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22,415</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23,659</w:t>
            </w:r>
          </w:p>
        </w:tc>
        <w:tc>
          <w:tcPr>
            <w:tcW w:w="80" w:type="dxa"/>
            <w:vAlign w:val="bottom"/>
          </w:tcPr>
          <w:p>
            <w:pPr>
              <w:spacing w:after="0"/>
              <w:rPr>
                <w:sz w:val="14"/>
                <w:szCs w:val="14"/>
                <w:color w:val="auto"/>
              </w:rPr>
            </w:pPr>
          </w:p>
        </w:tc>
      </w:tr>
      <w:tr>
        <w:trPr>
          <w:trHeight w:val="168"/>
        </w:trPr>
        <w:tc>
          <w:tcPr>
            <w:tcW w:w="788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Distribution paid to members</w:t>
            </w: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(34,960 )</w:t>
            </w:r>
          </w:p>
        </w:tc>
        <w:tc>
          <w:tcPr>
            <w:tcW w:w="280" w:type="dxa"/>
            <w:vAlign w:val="bottom"/>
            <w:shd w:val="clear" w:color="auto" w:fill="CCECFF"/>
          </w:tcPr>
          <w:p>
            <w:pPr>
              <w:spacing w:after="0"/>
              <w:rPr>
                <w:sz w:val="14"/>
                <w:szCs w:val="14"/>
                <w:color w:val="auto"/>
              </w:rPr>
            </w:pPr>
          </w:p>
        </w:tc>
        <w:tc>
          <w:tcPr>
            <w:tcW w:w="10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(22,750 )</w:t>
            </w:r>
          </w:p>
        </w:tc>
      </w:tr>
      <w:tr>
        <w:trPr>
          <w:trHeight w:val="168"/>
        </w:trPr>
        <w:tc>
          <w:tcPr>
            <w:tcW w:w="78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Proceeds from 2035 Asset Backed Debt issued</w:t>
            </w:r>
          </w:p>
        </w:tc>
        <w:tc>
          <w:tcPr>
            <w:tcW w:w="28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246,000</w:t>
            </w:r>
          </w:p>
        </w:tc>
        <w:tc>
          <w:tcPr>
            <w:tcW w:w="80" w:type="dxa"/>
            <w:vAlign w:val="bottom"/>
          </w:tcPr>
          <w:p>
            <w:pPr>
              <w:spacing w:after="0"/>
              <w:rPr>
                <w:sz w:val="14"/>
                <w:szCs w:val="14"/>
                <w:color w:val="auto"/>
              </w:rPr>
            </w:pPr>
          </w:p>
        </w:tc>
      </w:tr>
      <w:tr>
        <w:trPr>
          <w:trHeight w:val="168"/>
        </w:trPr>
        <w:tc>
          <w:tcPr>
            <w:tcW w:w="788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Discount on 2035 Asset Backed Debt issued</w:t>
            </w: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CFF"/>
          </w:tcPr>
          <w:p>
            <w:pPr>
              <w:spacing w:after="0"/>
              <w:rPr>
                <w:sz w:val="14"/>
                <w:szCs w:val="14"/>
                <w:color w:val="auto"/>
              </w:rPr>
            </w:pPr>
          </w:p>
        </w:tc>
        <w:tc>
          <w:tcPr>
            <w:tcW w:w="10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(2,344 )</w:t>
            </w:r>
          </w:p>
        </w:tc>
      </w:tr>
      <w:tr>
        <w:trPr>
          <w:trHeight w:val="168"/>
        </w:trPr>
        <w:tc>
          <w:tcPr>
            <w:tcW w:w="78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Borrowings under credit facility</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218,000</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89,000</w:t>
            </w:r>
          </w:p>
        </w:tc>
        <w:tc>
          <w:tcPr>
            <w:tcW w:w="80" w:type="dxa"/>
            <w:vAlign w:val="bottom"/>
          </w:tcPr>
          <w:p>
            <w:pPr>
              <w:spacing w:after="0"/>
              <w:rPr>
                <w:sz w:val="14"/>
                <w:szCs w:val="14"/>
                <w:color w:val="auto"/>
              </w:rPr>
            </w:pPr>
          </w:p>
        </w:tc>
      </w:tr>
      <w:tr>
        <w:trPr>
          <w:trHeight w:val="300"/>
        </w:trPr>
        <w:tc>
          <w:tcPr>
            <w:tcW w:w="788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Repayments under credit facility</w:t>
            </w:r>
          </w:p>
        </w:tc>
        <w:tc>
          <w:tcPr>
            <w:tcW w:w="280" w:type="dxa"/>
            <w:vAlign w:val="bottom"/>
            <w:shd w:val="clear" w:color="auto" w:fill="CCECFF"/>
          </w:tcPr>
          <w:p>
            <w:pPr>
              <w:spacing w:after="0"/>
              <w:rPr>
                <w:sz w:val="24"/>
                <w:szCs w:val="24"/>
                <w:color w:val="auto"/>
              </w:rPr>
            </w:pPr>
          </w:p>
        </w:tc>
        <w:tc>
          <w:tcPr>
            <w:tcW w:w="11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 xml:space="preserve">(59,000 </w:t>
            </w:r>
            <w:r>
              <w:rPr>
                <w:rFonts w:ascii="Times New Roman" w:cs="Times New Roman" w:eastAsia="Times New Roman" w:hAnsi="Times New Roman"/>
                <w:sz w:val="26"/>
                <w:szCs w:val="26"/>
                <w:color w:val="auto"/>
                <w:vertAlign w:val="subscript"/>
              </w:rPr>
              <w:t>)</w:t>
            </w:r>
          </w:p>
        </w:tc>
        <w:tc>
          <w:tcPr>
            <w:tcW w:w="280" w:type="dxa"/>
            <w:vAlign w:val="bottom"/>
            <w:shd w:val="clear" w:color="auto" w:fill="CCECFF"/>
          </w:tcPr>
          <w:p>
            <w:pPr>
              <w:spacing w:after="0"/>
              <w:rPr>
                <w:sz w:val="24"/>
                <w:szCs w:val="24"/>
                <w:color w:val="auto"/>
              </w:rPr>
            </w:pPr>
          </w:p>
        </w:tc>
        <w:tc>
          <w:tcPr>
            <w:tcW w:w="10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 xml:space="preserve">(258,000 </w:t>
            </w:r>
            <w:r>
              <w:rPr>
                <w:rFonts w:ascii="Times New Roman" w:cs="Times New Roman" w:eastAsia="Times New Roman" w:hAnsi="Times New Roman"/>
                <w:sz w:val="26"/>
                <w:szCs w:val="26"/>
                <w:color w:val="auto"/>
                <w:vertAlign w:val="subscript"/>
              </w:rPr>
              <w:t>)</w:t>
            </w:r>
          </w:p>
        </w:tc>
      </w:tr>
      <w:tr>
        <w:trPr>
          <w:trHeight w:val="168"/>
        </w:trPr>
        <w:tc>
          <w:tcPr>
            <w:tcW w:w="78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160,989</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90,906</w:t>
            </w:r>
          </w:p>
        </w:tc>
        <w:tc>
          <w:tcPr>
            <w:tcW w:w="80" w:type="dxa"/>
            <w:vAlign w:val="bottom"/>
          </w:tcPr>
          <w:p>
            <w:pPr>
              <w:spacing w:after="0"/>
              <w:rPr>
                <w:sz w:val="14"/>
                <w:szCs w:val="14"/>
                <w:color w:val="auto"/>
              </w:rPr>
            </w:pPr>
          </w:p>
        </w:tc>
      </w:tr>
      <w:tr>
        <w:trPr>
          <w:trHeight w:val="168"/>
        </w:trPr>
        <w:tc>
          <w:tcPr>
            <w:tcW w:w="7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cash and cash equivalents</w:t>
            </w: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(22,501 )</w:t>
            </w:r>
          </w:p>
        </w:tc>
        <w:tc>
          <w:tcPr>
            <w:tcW w:w="28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18,151</w:t>
            </w:r>
          </w:p>
        </w:tc>
        <w:tc>
          <w:tcPr>
            <w:tcW w:w="80" w:type="dxa"/>
            <w:vAlign w:val="bottom"/>
            <w:shd w:val="clear" w:color="auto" w:fill="CCECFF"/>
          </w:tcPr>
          <w:p>
            <w:pPr>
              <w:spacing w:after="0"/>
              <w:rPr>
                <w:sz w:val="14"/>
                <w:szCs w:val="14"/>
                <w:color w:val="auto"/>
              </w:rPr>
            </w:pPr>
          </w:p>
        </w:tc>
      </w:tr>
      <w:tr>
        <w:trPr>
          <w:trHeight w:val="168"/>
        </w:trPr>
        <w:tc>
          <w:tcPr>
            <w:tcW w:w="7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beginning of year</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59,096</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40,945</w:t>
            </w:r>
          </w:p>
        </w:tc>
        <w:tc>
          <w:tcPr>
            <w:tcW w:w="80" w:type="dxa"/>
            <w:vAlign w:val="bottom"/>
          </w:tcPr>
          <w:p>
            <w:pPr>
              <w:spacing w:after="0"/>
              <w:rPr>
                <w:sz w:val="14"/>
                <w:szCs w:val="14"/>
                <w:color w:val="auto"/>
              </w:rPr>
            </w:pPr>
          </w:p>
        </w:tc>
      </w:tr>
      <w:tr>
        <w:trPr>
          <w:trHeight w:val="196"/>
        </w:trPr>
        <w:tc>
          <w:tcPr>
            <w:tcW w:w="78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end of year</w:t>
            </w:r>
          </w:p>
        </w:tc>
        <w:tc>
          <w:tcPr>
            <w:tcW w:w="280" w:type="dxa"/>
            <w:vAlign w:val="bottom"/>
            <w:tcBorders>
              <w:bottom w:val="single" w:sz="8" w:color="auto"/>
            </w:tcBorders>
            <w:shd w:val="clear" w:color="auto" w:fill="CCECFF"/>
          </w:tcPr>
          <w:p>
            <w:pPr>
              <w:spacing w:after="0"/>
              <w:rPr>
                <w:sz w:val="17"/>
                <w:szCs w:val="17"/>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36,595</w:t>
            </w:r>
          </w:p>
        </w:tc>
        <w:tc>
          <w:tcPr>
            <w:tcW w:w="220" w:type="dxa"/>
            <w:vAlign w:val="bottom"/>
            <w:tcBorders>
              <w:bottom w:val="single" w:sz="8" w:color="CCECFF"/>
            </w:tcBorders>
            <w:shd w:val="clear" w:color="auto" w:fill="CCECFF"/>
          </w:tcPr>
          <w:p>
            <w:pPr>
              <w:spacing w:after="0"/>
              <w:rPr>
                <w:sz w:val="17"/>
                <w:szCs w:val="17"/>
                <w:color w:val="auto"/>
              </w:rPr>
            </w:pPr>
          </w:p>
        </w:tc>
        <w:tc>
          <w:tcPr>
            <w:tcW w:w="280" w:type="dxa"/>
            <w:vAlign w:val="bottom"/>
            <w:tcBorders>
              <w:bottom w:val="single" w:sz="8" w:color="auto"/>
            </w:tcBorders>
            <w:shd w:val="clear" w:color="auto" w:fill="CCECFF"/>
          </w:tcPr>
          <w:p>
            <w:pPr>
              <w:spacing w:after="0"/>
              <w:rPr>
                <w:sz w:val="17"/>
                <w:szCs w:val="17"/>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59,096</w:t>
            </w:r>
          </w:p>
        </w:tc>
        <w:tc>
          <w:tcPr>
            <w:tcW w:w="80" w:type="dxa"/>
            <w:vAlign w:val="bottom"/>
            <w:tcBorders>
              <w:bottom w:val="single" w:sz="8" w:color="CCECFF"/>
            </w:tcBorders>
            <w:shd w:val="clear" w:color="auto" w:fill="CCECFF"/>
          </w:tcPr>
          <w:p>
            <w:pPr>
              <w:spacing w:after="0"/>
              <w:rPr>
                <w:sz w:val="17"/>
                <w:szCs w:val="17"/>
                <w:color w:val="auto"/>
              </w:rPr>
            </w:pPr>
          </w:p>
        </w:tc>
      </w:tr>
      <w:tr>
        <w:trPr>
          <w:trHeight w:val="144"/>
        </w:trPr>
        <w:tc>
          <w:tcPr>
            <w:tcW w:w="78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96"/>
        </w:trPr>
        <w:tc>
          <w:tcPr>
            <w:tcW w:w="7880" w:type="dxa"/>
            <w:vAlign w:val="bottom"/>
            <w:tcBorders>
              <w:bottom w:val="single" w:sz="8" w:color="CCECFF"/>
            </w:tcBorders>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Interest paid on notes to members</w:t>
            </w:r>
          </w:p>
        </w:tc>
        <w:tc>
          <w:tcPr>
            <w:tcW w:w="280" w:type="dxa"/>
            <w:vAlign w:val="bottom"/>
            <w:tcBorders>
              <w:bottom w:val="single" w:sz="8" w:color="auto"/>
            </w:tcBorders>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24,384</w:t>
            </w:r>
          </w:p>
        </w:tc>
        <w:tc>
          <w:tcPr>
            <w:tcW w:w="220" w:type="dxa"/>
            <w:vAlign w:val="bottom"/>
            <w:tcBorders>
              <w:bottom w:val="single" w:sz="8" w:color="CCECFF"/>
            </w:tcBorders>
            <w:shd w:val="clear" w:color="auto" w:fill="CCECFF"/>
          </w:tcPr>
          <w:p>
            <w:pPr>
              <w:spacing w:after="0"/>
              <w:rPr>
                <w:sz w:val="17"/>
                <w:szCs w:val="17"/>
                <w:color w:val="auto"/>
              </w:rPr>
            </w:pPr>
          </w:p>
        </w:tc>
        <w:tc>
          <w:tcPr>
            <w:tcW w:w="280" w:type="dxa"/>
            <w:vAlign w:val="bottom"/>
            <w:tcBorders>
              <w:bottom w:val="single" w:sz="8" w:color="auto"/>
            </w:tcBorders>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19,666</w:t>
            </w:r>
          </w:p>
        </w:tc>
        <w:tc>
          <w:tcPr>
            <w:tcW w:w="80" w:type="dxa"/>
            <w:vAlign w:val="bottom"/>
            <w:tcBorders>
              <w:bottom w:val="single" w:sz="8" w:color="CCECFF"/>
            </w:tcBorders>
            <w:shd w:val="clear" w:color="auto" w:fill="CCECFF"/>
          </w:tcPr>
          <w:p>
            <w:pPr>
              <w:spacing w:after="0"/>
              <w:rPr>
                <w:sz w:val="17"/>
                <w:szCs w:val="17"/>
                <w:color w:val="auto"/>
              </w:rPr>
            </w:pPr>
          </w:p>
        </w:tc>
      </w:tr>
      <w:tr>
        <w:trPr>
          <w:trHeight w:val="132"/>
        </w:trPr>
        <w:tc>
          <w:tcPr>
            <w:tcW w:w="7880" w:type="dxa"/>
            <w:vAlign w:val="bottom"/>
          </w:tcPr>
          <w:p>
            <w:pPr>
              <w:ind w:left="220"/>
              <w:spacing w:after="0" w:line="133" w:lineRule="exact"/>
              <w:rPr>
                <w:sz w:val="20"/>
                <w:szCs w:val="20"/>
                <w:color w:val="auto"/>
              </w:rPr>
            </w:pPr>
            <w:r>
              <w:rPr>
                <w:rFonts w:ascii="Times New Roman" w:cs="Times New Roman" w:eastAsia="Times New Roman" w:hAnsi="Times New Roman"/>
                <w:sz w:val="13"/>
                <w:szCs w:val="13"/>
                <w:color w:val="auto"/>
              </w:rPr>
              <w:t>Interest paid on credit facility and asset backed debt</w:t>
            </w:r>
          </w:p>
        </w:tc>
        <w:tc>
          <w:tcPr>
            <w:tcW w:w="280" w:type="dxa"/>
            <w:vAlign w:val="bottom"/>
            <w:tcBorders>
              <w:bottom w:val="single" w:sz="8" w:color="auto"/>
            </w:tcBorders>
          </w:tcPr>
          <w:p>
            <w:pPr>
              <w:jc w:val="right"/>
              <w:ind w:right="13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52,301</w:t>
            </w:r>
          </w:p>
        </w:tc>
        <w:tc>
          <w:tcPr>
            <w:tcW w:w="220" w:type="dxa"/>
            <w:vAlign w:val="bottom"/>
          </w:tcPr>
          <w:p>
            <w:pPr>
              <w:spacing w:after="0"/>
              <w:rPr>
                <w:sz w:val="11"/>
                <w:szCs w:val="11"/>
                <w:color w:val="auto"/>
              </w:rPr>
            </w:pPr>
          </w:p>
        </w:tc>
        <w:tc>
          <w:tcPr>
            <w:tcW w:w="280" w:type="dxa"/>
            <w:vAlign w:val="bottom"/>
            <w:tcBorders>
              <w:bottom w:val="single" w:sz="8" w:color="auto"/>
            </w:tcBorders>
          </w:tcPr>
          <w:p>
            <w:pPr>
              <w:jc w:val="right"/>
              <w:ind w:right="13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32,232</w:t>
            </w:r>
          </w:p>
        </w:tc>
        <w:tc>
          <w:tcPr>
            <w:tcW w:w="80" w:type="dxa"/>
            <w:vAlign w:val="bottom"/>
          </w:tcPr>
          <w:p>
            <w:pPr>
              <w:spacing w:after="0"/>
              <w:rPr>
                <w:sz w:val="11"/>
                <w:szCs w:val="11"/>
                <w:color w:val="auto"/>
              </w:rPr>
            </w:pPr>
          </w:p>
        </w:tc>
      </w:tr>
      <w:tr>
        <w:trPr>
          <w:trHeight w:val="20"/>
        </w:trPr>
        <w:tc>
          <w:tcPr>
            <w:tcW w:w="7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2"/>
        </w:trPr>
        <w:tc>
          <w:tcPr>
            <w:tcW w:w="7880" w:type="dxa"/>
            <w:vAlign w:val="bottom"/>
            <w:tcBorders>
              <w:bottom w:val="single" w:sz="8" w:color="CCECFF"/>
            </w:tcBorders>
            <w:shd w:val="clear" w:color="auto" w:fill="CCECFF"/>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Non-Cash Operating and Financing activity:</w:t>
            </w:r>
          </w:p>
        </w:tc>
        <w:tc>
          <w:tcPr>
            <w:tcW w:w="280" w:type="dxa"/>
            <w:vAlign w:val="bottom"/>
            <w:tcBorders>
              <w:bottom w:val="single" w:sz="8" w:color="auto"/>
            </w:tcBorders>
            <w:shd w:val="clear" w:color="auto" w:fill="CCECFF"/>
          </w:tcPr>
          <w:p>
            <w:pPr>
              <w:spacing w:after="0"/>
              <w:rPr>
                <w:sz w:val="14"/>
                <w:szCs w:val="14"/>
                <w:color w:val="auto"/>
              </w:rPr>
            </w:pPr>
          </w:p>
        </w:tc>
        <w:tc>
          <w:tcPr>
            <w:tcW w:w="900" w:type="dxa"/>
            <w:vAlign w:val="bottom"/>
            <w:tcBorders>
              <w:bottom w:val="single" w:sz="8" w:color="auto"/>
            </w:tcBorders>
            <w:shd w:val="clear" w:color="auto" w:fill="CCECFF"/>
          </w:tcPr>
          <w:p>
            <w:pPr>
              <w:spacing w:after="0"/>
              <w:rPr>
                <w:sz w:val="14"/>
                <w:szCs w:val="14"/>
                <w:color w:val="auto"/>
              </w:rPr>
            </w:pPr>
          </w:p>
        </w:tc>
        <w:tc>
          <w:tcPr>
            <w:tcW w:w="22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20" w:type="dxa"/>
            <w:vAlign w:val="bottom"/>
            <w:tcBorders>
              <w:bottom w:val="single" w:sz="8" w:color="auto"/>
            </w:tcBorders>
            <w:shd w:val="clear" w:color="auto" w:fill="CCECFF"/>
          </w:tcPr>
          <w:p>
            <w:pPr>
              <w:spacing w:after="0"/>
              <w:rPr>
                <w:sz w:val="14"/>
                <w:szCs w:val="14"/>
                <w:color w:val="auto"/>
              </w:rPr>
            </w:pPr>
          </w:p>
        </w:tc>
        <w:tc>
          <w:tcPr>
            <w:tcW w:w="80" w:type="dxa"/>
            <w:vAlign w:val="bottom"/>
            <w:tcBorders>
              <w:bottom w:val="single" w:sz="8" w:color="CCECFF"/>
            </w:tcBorders>
            <w:shd w:val="clear" w:color="auto" w:fill="CCECFF"/>
          </w:tcPr>
          <w:p>
            <w:pPr>
              <w:spacing w:after="0"/>
              <w:rPr>
                <w:sz w:val="14"/>
                <w:szCs w:val="14"/>
                <w:color w:val="auto"/>
              </w:rPr>
            </w:pPr>
          </w:p>
        </w:tc>
      </w:tr>
      <w:tr>
        <w:trPr>
          <w:trHeight w:val="132"/>
        </w:trPr>
        <w:tc>
          <w:tcPr>
            <w:tcW w:w="7880" w:type="dxa"/>
            <w:vAlign w:val="bottom"/>
          </w:tcPr>
          <w:p>
            <w:pPr>
              <w:ind w:left="220"/>
              <w:spacing w:after="0" w:line="133" w:lineRule="exact"/>
              <w:rPr>
                <w:sz w:val="20"/>
                <w:szCs w:val="20"/>
                <w:color w:val="auto"/>
              </w:rPr>
            </w:pPr>
            <w:r>
              <w:rPr>
                <w:rFonts w:ascii="Times New Roman" w:cs="Times New Roman" w:eastAsia="Times New Roman" w:hAnsi="Times New Roman"/>
                <w:sz w:val="13"/>
                <w:szCs w:val="13"/>
                <w:color w:val="auto"/>
              </w:rPr>
              <w:t>Non-Cash exchanges and conversions</w:t>
            </w:r>
          </w:p>
        </w:tc>
        <w:tc>
          <w:tcPr>
            <w:tcW w:w="280" w:type="dxa"/>
            <w:vAlign w:val="bottom"/>
          </w:tcPr>
          <w:p>
            <w:pPr>
              <w:jc w:val="right"/>
              <w:ind w:right="13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15,878</w:t>
            </w:r>
          </w:p>
        </w:tc>
        <w:tc>
          <w:tcPr>
            <w:tcW w:w="220" w:type="dxa"/>
            <w:vAlign w:val="bottom"/>
          </w:tcPr>
          <w:p>
            <w:pPr>
              <w:spacing w:after="0"/>
              <w:rPr>
                <w:sz w:val="11"/>
                <w:szCs w:val="11"/>
                <w:color w:val="auto"/>
              </w:rPr>
            </w:pPr>
          </w:p>
        </w:tc>
        <w:tc>
          <w:tcPr>
            <w:tcW w:w="280" w:type="dxa"/>
            <w:vAlign w:val="bottom"/>
          </w:tcPr>
          <w:p>
            <w:pPr>
              <w:jc w:val="right"/>
              <w:ind w:right="13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w:t>
            </w:r>
          </w:p>
        </w:tc>
      </w:tr>
      <w:tr>
        <w:trPr>
          <w:trHeight w:val="20"/>
        </w:trPr>
        <w:tc>
          <w:tcPr>
            <w:tcW w:w="78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6" w:right="680" w:bottom="1440" w:gutter="0" w:footer="0" w:header="0"/>
        </w:sectPr>
      </w:pPr>
    </w:p>
    <w:bookmarkStart w:id="125" w:name="page126"/>
    <w:bookmarkEnd w:id="125"/>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w:t>
      </w:r>
    </w:p>
    <w:p>
      <w:pPr>
        <w:jc w:val="center"/>
        <w:ind w:right="100"/>
        <w:spacing w:after="0" w:line="234" w:lineRule="auto"/>
        <w:rPr>
          <w:sz w:val="20"/>
          <w:szCs w:val="20"/>
          <w:color w:val="auto"/>
        </w:rPr>
      </w:pPr>
      <w:r>
        <w:rPr>
          <w:rFonts w:ascii="Times New Roman" w:cs="Times New Roman" w:eastAsia="Times New Roman" w:hAnsi="Times New Roman"/>
          <w:sz w:val="16"/>
          <w:szCs w:val="16"/>
          <w:b w:val="1"/>
          <w:bCs w:val="1"/>
          <w:color w:val="auto"/>
        </w:rPr>
        <w:t>September 30, 2024</w:t>
      </w:r>
    </w:p>
    <w:p>
      <w:pPr>
        <w:jc w:val="center"/>
        <w:ind w:right="100"/>
        <w:spacing w:after="0" w:line="232" w:lineRule="auto"/>
        <w:rPr>
          <w:sz w:val="20"/>
          <w:szCs w:val="20"/>
          <w:color w:val="auto"/>
        </w:rPr>
      </w:pPr>
      <w:r>
        <w:rPr>
          <w:rFonts w:ascii="Times New Roman" w:cs="Times New Roman" w:eastAsia="Times New Roman" w:hAnsi="Times New Roman"/>
          <w:sz w:val="16"/>
          <w:szCs w:val="16"/>
          <w:b w:val="1"/>
          <w:bCs w:val="1"/>
          <w:color w:val="auto"/>
        </w:rPr>
        <w:t>($ in thousands)</w:t>
      </w:r>
    </w:p>
    <w:tbl>
      <w:tblPr>
        <w:tblLayout w:type="fixed"/>
        <w:tblInd w:w="0" w:type="dxa"/>
        <w:tblCellMar>
          <w:top w:w="0" w:type="dxa"/>
          <w:left w:w="0" w:type="dxa"/>
          <w:bottom w:w="0" w:type="dxa"/>
          <w:right w:w="0" w:type="dxa"/>
        </w:tblCellMar>
      </w:tblPr>
      <w:tr>
        <w:trPr>
          <w:trHeight w:val="140"/>
        </w:trPr>
        <w:tc>
          <w:tcPr>
            <w:tcW w:w="2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jc w:val="center"/>
              <w:ind w:right="31"/>
              <w:spacing w:after="0" w:line="141" w:lineRule="exact"/>
              <w:rPr>
                <w:sz w:val="20"/>
                <w:szCs w:val="20"/>
                <w:color w:val="auto"/>
              </w:rPr>
            </w:pPr>
            <w:r>
              <w:rPr>
                <w:rFonts w:ascii="Times New Roman" w:cs="Times New Roman" w:eastAsia="Times New Roman" w:hAnsi="Times New Roman"/>
                <w:sz w:val="13"/>
                <w:szCs w:val="13"/>
                <w:b w:val="1"/>
                <w:bCs w:val="1"/>
                <w:color w:val="auto"/>
              </w:rPr>
              <w:t>Basis Point</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900" w:type="dxa"/>
            <w:vAlign w:val="bottom"/>
          </w:tcPr>
          <w:p>
            <w:pPr>
              <w:jc w:val="right"/>
              <w:ind w:right="231"/>
              <w:spacing w:after="0" w:line="14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920" w:type="dxa"/>
            <w:vAlign w:val="bottom"/>
          </w:tcPr>
          <w:p>
            <w:pPr>
              <w:jc w:val="center"/>
              <w:ind w:right="31"/>
              <w:spacing w:after="0" w:line="145" w:lineRule="exact"/>
              <w:rPr>
                <w:sz w:val="20"/>
                <w:szCs w:val="20"/>
                <w:color w:val="auto"/>
              </w:rPr>
            </w:pPr>
            <w:r>
              <w:rPr>
                <w:rFonts w:ascii="Times New Roman" w:cs="Times New Roman" w:eastAsia="Times New Roman" w:hAnsi="Times New Roman"/>
                <w:sz w:val="13"/>
                <w:szCs w:val="13"/>
                <w:b w:val="1"/>
                <w:bCs w:val="1"/>
                <w:color w:val="auto"/>
              </w:rPr>
              <w:t>Above</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780" w:type="dxa"/>
            <w:vAlign w:val="bottom"/>
          </w:tcPr>
          <w:p>
            <w:pPr>
              <w:ind w:left="20"/>
              <w:spacing w:after="0" w:line="179" w:lineRule="exact"/>
              <w:rPr>
                <w:sz w:val="20"/>
                <w:szCs w:val="20"/>
                <w:color w:val="auto"/>
              </w:rPr>
            </w:pPr>
            <w:r>
              <w:rPr>
                <w:rFonts w:ascii="Times New Roman" w:cs="Times New Roman" w:eastAsia="Times New Roman" w:hAnsi="Times New Roman"/>
                <w:sz w:val="13"/>
                <w:szCs w:val="13"/>
                <w:b w:val="1"/>
                <w:bCs w:val="1"/>
                <w:color w:val="auto"/>
              </w:rPr>
              <w:t xml:space="preserve">Issuer Name </w:t>
            </w:r>
            <w:r>
              <w:rPr>
                <w:rFonts w:ascii="Times New Roman" w:cs="Times New Roman" w:eastAsia="Times New Roman" w:hAnsi="Times New Roman"/>
                <w:sz w:val="16"/>
                <w:szCs w:val="16"/>
                <w:b w:val="1"/>
                <w:bCs w:val="1"/>
                <w:color w:val="auto"/>
                <w:vertAlign w:val="superscript"/>
              </w:rPr>
              <w:t>3,4</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2180" w:type="dxa"/>
            <w:vAlign w:val="bottom"/>
          </w:tcPr>
          <w:p>
            <w:pPr>
              <w:ind w:left="860"/>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900" w:type="dxa"/>
            <w:vAlign w:val="bottom"/>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920" w:type="dxa"/>
            <w:vAlign w:val="bottom"/>
          </w:tcPr>
          <w:p>
            <w:pPr>
              <w:jc w:val="center"/>
              <w:ind w:right="31"/>
              <w:spacing w:after="0" w:line="179" w:lineRule="exact"/>
              <w:rPr>
                <w:sz w:val="20"/>
                <w:szCs w:val="20"/>
                <w:color w:val="auto"/>
              </w:rPr>
            </w:pPr>
            <w:r>
              <w:rPr>
                <w:rFonts w:ascii="Times New Roman" w:cs="Times New Roman" w:eastAsia="Times New Roman" w:hAnsi="Times New Roman"/>
                <w:sz w:val="13"/>
                <w:szCs w:val="13"/>
                <w:b w:val="1"/>
                <w:bCs w:val="1"/>
                <w:color w:val="auto"/>
                <w:w w:val="98"/>
              </w:rPr>
              <w:t xml:space="preserve">Index </w:t>
            </w:r>
            <w:r>
              <w:rPr>
                <w:rFonts w:ascii="Times New Roman" w:cs="Times New Roman" w:eastAsia="Times New Roman" w:hAnsi="Times New Roman"/>
                <w:sz w:val="16"/>
                <w:szCs w:val="16"/>
                <w:b w:val="1"/>
                <w:bCs w:val="1"/>
                <w:color w:val="auto"/>
                <w:w w:val="98"/>
                <w:vertAlign w:val="superscript"/>
              </w:rPr>
              <w:t>1</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3"/>
                <w:szCs w:val="13"/>
                <w:b w:val="1"/>
                <w:bCs w:val="1"/>
                <w:color w:val="auto"/>
              </w:rPr>
              <w:t>Par/Shares</w:t>
            </w:r>
          </w:p>
        </w:tc>
        <w:tc>
          <w:tcPr>
            <w:tcW w:w="220" w:type="dxa"/>
            <w:vAlign w:val="bottom"/>
          </w:tcPr>
          <w:p>
            <w:pPr>
              <w:spacing w:after="0"/>
              <w:rPr>
                <w:sz w:val="15"/>
                <w:szCs w:val="15"/>
                <w:color w:val="auto"/>
              </w:rPr>
            </w:pPr>
          </w:p>
        </w:tc>
        <w:tc>
          <w:tcPr>
            <w:tcW w:w="560" w:type="dxa"/>
            <w:vAlign w:val="bottom"/>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rPr>
              <w:t>Cost</w:t>
            </w:r>
          </w:p>
        </w:tc>
        <w:tc>
          <w:tcPr>
            <w:tcW w:w="220" w:type="dxa"/>
            <w:vAlign w:val="bottom"/>
          </w:tcPr>
          <w:p>
            <w:pPr>
              <w:spacing w:after="0"/>
              <w:rPr>
                <w:sz w:val="15"/>
                <w:szCs w:val="15"/>
                <w:color w:val="auto"/>
              </w:rPr>
            </w:pPr>
          </w:p>
        </w:tc>
        <w:tc>
          <w:tcPr>
            <w:tcW w:w="980" w:type="dxa"/>
            <w:vAlign w:val="bottom"/>
          </w:tcPr>
          <w:p>
            <w:pPr>
              <w:jc w:val="right"/>
              <w:ind w:right="212"/>
              <w:spacing w:after="0" w:line="179" w:lineRule="exact"/>
              <w:rPr>
                <w:sz w:val="20"/>
                <w:szCs w:val="20"/>
                <w:color w:val="auto"/>
              </w:rPr>
            </w:pPr>
            <w:r>
              <w:rPr>
                <w:rFonts w:ascii="Times New Roman" w:cs="Times New Roman" w:eastAsia="Times New Roman" w:hAnsi="Times New Roman"/>
                <w:sz w:val="13"/>
                <w:szCs w:val="13"/>
                <w:b w:val="1"/>
                <w:bCs w:val="1"/>
                <w:color w:val="auto"/>
              </w:rPr>
              <w:t xml:space="preserve">Fair Value </w:t>
            </w:r>
            <w:r>
              <w:rPr>
                <w:rFonts w:ascii="Times New Roman" w:cs="Times New Roman" w:eastAsia="Times New Roman" w:hAnsi="Times New Roman"/>
                <w:sz w:val="16"/>
                <w:szCs w:val="16"/>
                <w:b w:val="1"/>
                <w:bCs w:val="1"/>
                <w:color w:val="auto"/>
                <w:vertAlign w:val="superscript"/>
              </w:rPr>
              <w:t>2</w:t>
            </w:r>
          </w:p>
        </w:tc>
        <w:tc>
          <w:tcPr>
            <w:tcW w:w="0" w:type="dxa"/>
            <w:vAlign w:val="bottom"/>
          </w:tcPr>
          <w:p>
            <w:pPr>
              <w:spacing w:after="0"/>
              <w:rPr>
                <w:sz w:val="1"/>
                <w:szCs w:val="1"/>
                <w:color w:val="auto"/>
              </w:rPr>
            </w:pPr>
          </w:p>
        </w:tc>
      </w:tr>
      <w:tr>
        <w:trPr>
          <w:trHeight w:val="122"/>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- 916.4%</w:t>
            </w:r>
          </w:p>
        </w:tc>
        <w:tc>
          <w:tcPr>
            <w:tcW w:w="9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12/22/28</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0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10.95 %</w:t>
            </w:r>
          </w:p>
        </w:tc>
        <w:tc>
          <w:tcPr>
            <w:tcW w:w="92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SOFR+610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14,738</w:t>
            </w:r>
          </w:p>
        </w:tc>
        <w:tc>
          <w:tcPr>
            <w:tcW w:w="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14,504</w:t>
            </w:r>
          </w:p>
        </w:tc>
        <w:tc>
          <w:tcPr>
            <w:tcW w:w="2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14,738</w:t>
            </w:r>
          </w:p>
        </w:tc>
        <w:tc>
          <w:tcPr>
            <w:tcW w:w="0" w:type="dxa"/>
            <w:vAlign w:val="bottom"/>
          </w:tcPr>
          <w:p>
            <w:pPr>
              <w:spacing w:after="0"/>
              <w:rPr>
                <w:sz w:val="1"/>
                <w:szCs w:val="1"/>
                <w:color w:val="auto"/>
              </w:rPr>
            </w:pPr>
          </w:p>
        </w:tc>
      </w:tr>
      <w:tr>
        <w:trPr>
          <w:trHeight w:val="12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ACP Avenu Buyer,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10/02/29</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10.57 %</w:t>
            </w:r>
          </w:p>
        </w:tc>
        <w:tc>
          <w:tcPr>
            <w:tcW w:w="9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SOFR+525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7,667</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7,526</w:t>
            </w:r>
          </w:p>
        </w:tc>
        <w:tc>
          <w:tcPr>
            <w:tcW w:w="2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7,418</w:t>
            </w:r>
          </w:p>
        </w:tc>
        <w:tc>
          <w:tcPr>
            <w:tcW w:w="0" w:type="dxa"/>
            <w:vAlign w:val="bottom"/>
          </w:tcPr>
          <w:p>
            <w:pPr>
              <w:spacing w:after="0"/>
              <w:rPr>
                <w:sz w:val="1"/>
                <w:szCs w:val="1"/>
                <w:color w:val="auto"/>
              </w:rPr>
            </w:pPr>
          </w:p>
        </w:tc>
      </w:tr>
      <w:tr>
        <w:trPr>
          <w:trHeight w:val="120"/>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ACP Falcon Buyer, Inc.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08/01/29</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10.83 %</w:t>
            </w:r>
          </w:p>
        </w:tc>
        <w:tc>
          <w:tcPr>
            <w:tcW w:w="92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SOFR+550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15,351</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15,067</w:t>
            </w:r>
          </w:p>
        </w:tc>
        <w:tc>
          <w:tcPr>
            <w:tcW w:w="22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15,412</w:t>
            </w:r>
          </w:p>
        </w:tc>
        <w:tc>
          <w:tcPr>
            <w:tcW w:w="0" w:type="dxa"/>
            <w:vAlign w:val="bottom"/>
          </w:tcPr>
          <w:p>
            <w:pPr>
              <w:spacing w:after="0"/>
              <w:rPr>
                <w:sz w:val="1"/>
                <w:szCs w:val="1"/>
                <w:color w:val="auto"/>
              </w:rPr>
            </w:pPr>
          </w:p>
        </w:tc>
      </w:tr>
      <w:tr>
        <w:trPr>
          <w:trHeight w:val="12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05/07/26</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11.28 %</w:t>
            </w:r>
          </w:p>
        </w:tc>
        <w:tc>
          <w:tcPr>
            <w:tcW w:w="9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SOFR+626</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4,838</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4,838</w:t>
            </w:r>
          </w:p>
        </w:tc>
        <w:tc>
          <w:tcPr>
            <w:tcW w:w="2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4,838</w:t>
            </w:r>
          </w:p>
        </w:tc>
        <w:tc>
          <w:tcPr>
            <w:tcW w:w="0" w:type="dxa"/>
            <w:vAlign w:val="bottom"/>
          </w:tcPr>
          <w:p>
            <w:pPr>
              <w:spacing w:after="0"/>
              <w:rPr>
                <w:sz w:val="1"/>
                <w:szCs w:val="1"/>
                <w:color w:val="auto"/>
              </w:rPr>
            </w:pPr>
          </w:p>
        </w:tc>
      </w:tr>
      <w:tr>
        <w:trPr>
          <w:trHeight w:val="120"/>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Aeronix, Inc. - Term Loan</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12/18/28</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9.85 %</w:t>
            </w:r>
          </w:p>
        </w:tc>
        <w:tc>
          <w:tcPr>
            <w:tcW w:w="92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SOFR+525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14,888</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14,700</w:t>
            </w:r>
          </w:p>
        </w:tc>
        <w:tc>
          <w:tcPr>
            <w:tcW w:w="22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14,888</w:t>
            </w:r>
          </w:p>
        </w:tc>
        <w:tc>
          <w:tcPr>
            <w:tcW w:w="0" w:type="dxa"/>
            <w:vAlign w:val="bottom"/>
          </w:tcPr>
          <w:p>
            <w:pPr>
              <w:spacing w:after="0"/>
              <w:rPr>
                <w:sz w:val="1"/>
                <w:szCs w:val="1"/>
                <w:color w:val="auto"/>
              </w:rPr>
            </w:pPr>
          </w:p>
        </w:tc>
      </w:tr>
      <w:tr>
        <w:trPr>
          <w:trHeight w:val="12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AFC - Dell Holding Corp.</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04/09/27</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10.49 %</w:t>
            </w:r>
          </w:p>
        </w:tc>
        <w:tc>
          <w:tcPr>
            <w:tcW w:w="9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SOFR+550</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7,131</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7,059</w:t>
            </w:r>
          </w:p>
        </w:tc>
        <w:tc>
          <w:tcPr>
            <w:tcW w:w="2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7,059</w:t>
            </w:r>
          </w:p>
        </w:tc>
        <w:tc>
          <w:tcPr>
            <w:tcW w:w="0" w:type="dxa"/>
            <w:vAlign w:val="bottom"/>
          </w:tcPr>
          <w:p>
            <w:pPr>
              <w:spacing w:after="0"/>
              <w:rPr>
                <w:sz w:val="1"/>
                <w:szCs w:val="1"/>
                <w:color w:val="auto"/>
              </w:rPr>
            </w:pPr>
          </w:p>
        </w:tc>
      </w:tr>
      <w:tr>
        <w:trPr>
          <w:trHeight w:val="120"/>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11/30/26</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Containers, Packaging and Glass</w:t>
            </w:r>
          </w:p>
        </w:tc>
        <w:tc>
          <w:tcPr>
            <w:tcW w:w="90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11.30 %</w:t>
            </w:r>
          </w:p>
        </w:tc>
        <w:tc>
          <w:tcPr>
            <w:tcW w:w="92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SOFR+610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14,687</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14,459</w:t>
            </w:r>
          </w:p>
        </w:tc>
        <w:tc>
          <w:tcPr>
            <w:tcW w:w="22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14,100</w:t>
            </w:r>
          </w:p>
        </w:tc>
        <w:tc>
          <w:tcPr>
            <w:tcW w:w="0" w:type="dxa"/>
            <w:vAlign w:val="bottom"/>
          </w:tcPr>
          <w:p>
            <w:pPr>
              <w:spacing w:after="0"/>
              <w:rPr>
                <w:sz w:val="1"/>
                <w:szCs w:val="1"/>
                <w:color w:val="auto"/>
              </w:rPr>
            </w:pPr>
          </w:p>
        </w:tc>
      </w:tr>
      <w:tr>
        <w:trPr>
          <w:trHeight w:val="12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Amsive Holding Corporation (f/k/a Vision Purchaser Corporation)</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06/10/25</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10.75 %</w:t>
            </w:r>
          </w:p>
        </w:tc>
        <w:tc>
          <w:tcPr>
            <w:tcW w:w="9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SOFR+650</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13,813</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13,769</w:t>
            </w:r>
          </w:p>
        </w:tc>
        <w:tc>
          <w:tcPr>
            <w:tcW w:w="2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13,675</w:t>
            </w:r>
          </w:p>
        </w:tc>
        <w:tc>
          <w:tcPr>
            <w:tcW w:w="0" w:type="dxa"/>
            <w:vAlign w:val="bottom"/>
          </w:tcPr>
          <w:p>
            <w:pPr>
              <w:spacing w:after="0"/>
              <w:rPr>
                <w:sz w:val="1"/>
                <w:szCs w:val="1"/>
                <w:color w:val="auto"/>
              </w:rPr>
            </w:pPr>
          </w:p>
        </w:tc>
      </w:tr>
      <w:tr>
        <w:trPr>
          <w:trHeight w:val="120"/>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Holdings Inc (fka MeritDirect)</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06/30/26</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0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10.50 %</w:t>
            </w:r>
          </w:p>
        </w:tc>
        <w:tc>
          <w:tcPr>
            <w:tcW w:w="92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SOFR+590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14,714</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14,638</w:t>
            </w:r>
          </w:p>
        </w:tc>
        <w:tc>
          <w:tcPr>
            <w:tcW w:w="22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14,714</w:t>
            </w:r>
          </w:p>
        </w:tc>
        <w:tc>
          <w:tcPr>
            <w:tcW w:w="0" w:type="dxa"/>
            <w:vAlign w:val="bottom"/>
          </w:tcPr>
          <w:p>
            <w:pPr>
              <w:spacing w:after="0"/>
              <w:rPr>
                <w:sz w:val="1"/>
                <w:szCs w:val="1"/>
                <w:color w:val="auto"/>
              </w:rPr>
            </w:pPr>
          </w:p>
        </w:tc>
      </w:tr>
      <w:tr>
        <w:trPr>
          <w:trHeight w:val="12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12/29/26</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10.50 %</w:t>
            </w:r>
          </w:p>
        </w:tc>
        <w:tc>
          <w:tcPr>
            <w:tcW w:w="9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SOFR+590</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14,522</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14,389</w:t>
            </w:r>
          </w:p>
        </w:tc>
        <w:tc>
          <w:tcPr>
            <w:tcW w:w="2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14,304</w:t>
            </w:r>
          </w:p>
        </w:tc>
        <w:tc>
          <w:tcPr>
            <w:tcW w:w="0" w:type="dxa"/>
            <w:vAlign w:val="bottom"/>
          </w:tcPr>
          <w:p>
            <w:pPr>
              <w:spacing w:after="0"/>
              <w:rPr>
                <w:sz w:val="1"/>
                <w:szCs w:val="1"/>
                <w:color w:val="auto"/>
              </w:rPr>
            </w:pPr>
          </w:p>
        </w:tc>
      </w:tr>
      <w:tr>
        <w:trPr>
          <w:trHeight w:val="120"/>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08/03/29</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11.56 %</w:t>
            </w:r>
          </w:p>
        </w:tc>
        <w:tc>
          <w:tcPr>
            <w:tcW w:w="92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SOFR+625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21,574</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21,270</w:t>
            </w:r>
          </w:p>
        </w:tc>
        <w:tc>
          <w:tcPr>
            <w:tcW w:w="22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21,466</w:t>
            </w:r>
          </w:p>
        </w:tc>
        <w:tc>
          <w:tcPr>
            <w:tcW w:w="0" w:type="dxa"/>
            <w:vAlign w:val="bottom"/>
          </w:tcPr>
          <w:p>
            <w:pPr>
              <w:spacing w:after="0"/>
              <w:rPr>
                <w:sz w:val="1"/>
                <w:szCs w:val="1"/>
                <w:color w:val="auto"/>
              </w:rPr>
            </w:pPr>
          </w:p>
        </w:tc>
      </w:tr>
      <w:tr>
        <w:trPr>
          <w:trHeight w:val="12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Beacon Behavioral Support Services,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06/21/29</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9.92 %</w:t>
            </w:r>
          </w:p>
        </w:tc>
        <w:tc>
          <w:tcPr>
            <w:tcW w:w="9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SOFR+525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14,963</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14,750</w:t>
            </w:r>
          </w:p>
        </w:tc>
        <w:tc>
          <w:tcPr>
            <w:tcW w:w="2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14,738</w:t>
            </w:r>
          </w:p>
        </w:tc>
        <w:tc>
          <w:tcPr>
            <w:tcW w:w="0" w:type="dxa"/>
            <w:vAlign w:val="bottom"/>
          </w:tcPr>
          <w:p>
            <w:pPr>
              <w:spacing w:after="0"/>
              <w:rPr>
                <w:sz w:val="1"/>
                <w:szCs w:val="1"/>
                <w:color w:val="auto"/>
              </w:rPr>
            </w:pPr>
          </w:p>
        </w:tc>
      </w:tr>
      <w:tr>
        <w:trPr>
          <w:trHeight w:val="120"/>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07/01/29</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10.35 %</w:t>
            </w:r>
          </w:p>
        </w:tc>
        <w:tc>
          <w:tcPr>
            <w:tcW w:w="92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SOFR+575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14,700</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14,486</w:t>
            </w:r>
          </w:p>
        </w:tc>
        <w:tc>
          <w:tcPr>
            <w:tcW w:w="22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14,259</w:t>
            </w:r>
          </w:p>
        </w:tc>
        <w:tc>
          <w:tcPr>
            <w:tcW w:w="0" w:type="dxa"/>
            <w:vAlign w:val="bottom"/>
          </w:tcPr>
          <w:p>
            <w:pPr>
              <w:spacing w:after="0"/>
              <w:rPr>
                <w:sz w:val="1"/>
                <w:szCs w:val="1"/>
                <w:color w:val="auto"/>
              </w:rPr>
            </w:pPr>
          </w:p>
        </w:tc>
      </w:tr>
      <w:tr>
        <w:trPr>
          <w:trHeight w:val="12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Big Top Holdings,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02/28/30</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Manufacturing / Basic Industries</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11.18 %</w:t>
            </w:r>
          </w:p>
        </w:tc>
        <w:tc>
          <w:tcPr>
            <w:tcW w:w="9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SOFR+625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6,965</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6,852</w:t>
            </w:r>
          </w:p>
        </w:tc>
        <w:tc>
          <w:tcPr>
            <w:tcW w:w="2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6,965</w:t>
            </w:r>
          </w:p>
        </w:tc>
        <w:tc>
          <w:tcPr>
            <w:tcW w:w="0" w:type="dxa"/>
            <w:vAlign w:val="bottom"/>
          </w:tcPr>
          <w:p>
            <w:pPr>
              <w:spacing w:after="0"/>
              <w:rPr>
                <w:sz w:val="1"/>
                <w:szCs w:val="1"/>
                <w:color w:val="auto"/>
              </w:rPr>
            </w:pPr>
          </w:p>
        </w:tc>
      </w:tr>
      <w:tr>
        <w:trPr>
          <w:trHeight w:val="120"/>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01/31/28</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11.84 %</w:t>
            </w:r>
          </w:p>
        </w:tc>
        <w:tc>
          <w:tcPr>
            <w:tcW w:w="92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SOFR+650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8,887</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8,795</w:t>
            </w:r>
          </w:p>
        </w:tc>
        <w:tc>
          <w:tcPr>
            <w:tcW w:w="22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8,776</w:t>
            </w:r>
          </w:p>
        </w:tc>
        <w:tc>
          <w:tcPr>
            <w:tcW w:w="0" w:type="dxa"/>
            <w:vAlign w:val="bottom"/>
          </w:tcPr>
          <w:p>
            <w:pPr>
              <w:spacing w:after="0"/>
              <w:rPr>
                <w:sz w:val="1"/>
                <w:szCs w:val="1"/>
                <w:color w:val="auto"/>
              </w:rPr>
            </w:pPr>
          </w:p>
        </w:tc>
      </w:tr>
      <w:tr>
        <w:trPr>
          <w:trHeight w:val="12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09/17/26</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10.92 %</w:t>
            </w:r>
          </w:p>
        </w:tc>
        <w:tc>
          <w:tcPr>
            <w:tcW w:w="9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SOFR+640</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20,504</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20,245</w:t>
            </w:r>
          </w:p>
        </w:tc>
        <w:tc>
          <w:tcPr>
            <w:tcW w:w="2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20,152</w:t>
            </w:r>
          </w:p>
        </w:tc>
        <w:tc>
          <w:tcPr>
            <w:tcW w:w="0" w:type="dxa"/>
            <w:vAlign w:val="bottom"/>
          </w:tcPr>
          <w:p>
            <w:pPr>
              <w:spacing w:after="0"/>
              <w:rPr>
                <w:sz w:val="1"/>
                <w:szCs w:val="1"/>
                <w:color w:val="auto"/>
              </w:rPr>
            </w:pPr>
          </w:p>
        </w:tc>
      </w:tr>
      <w:tr>
        <w:trPr>
          <w:trHeight w:val="120"/>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BlueHalo Global Holdings,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10/31/25</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10.70 %</w:t>
            </w:r>
          </w:p>
        </w:tc>
        <w:tc>
          <w:tcPr>
            <w:tcW w:w="92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SOFR+600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13,292</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13,218</w:t>
            </w:r>
          </w:p>
        </w:tc>
        <w:tc>
          <w:tcPr>
            <w:tcW w:w="22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13,026</w:t>
            </w:r>
          </w:p>
        </w:tc>
        <w:tc>
          <w:tcPr>
            <w:tcW w:w="0" w:type="dxa"/>
            <w:vAlign w:val="bottom"/>
          </w:tcPr>
          <w:p>
            <w:pPr>
              <w:spacing w:after="0"/>
              <w:rPr>
                <w:sz w:val="1"/>
                <w:szCs w:val="1"/>
                <w:color w:val="auto"/>
              </w:rPr>
            </w:pPr>
          </w:p>
        </w:tc>
      </w:tr>
      <w:tr>
        <w:trPr>
          <w:trHeight w:val="12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12/04/25</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10.97 %</w:t>
            </w:r>
          </w:p>
        </w:tc>
        <w:tc>
          <w:tcPr>
            <w:tcW w:w="9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SOFR+611</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9,374</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9,374</w:t>
            </w:r>
          </w:p>
        </w:tc>
        <w:tc>
          <w:tcPr>
            <w:tcW w:w="2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9,374</w:t>
            </w:r>
          </w:p>
        </w:tc>
        <w:tc>
          <w:tcPr>
            <w:tcW w:w="0" w:type="dxa"/>
            <w:vAlign w:val="bottom"/>
          </w:tcPr>
          <w:p>
            <w:pPr>
              <w:spacing w:after="0"/>
              <w:rPr>
                <w:sz w:val="1"/>
                <w:szCs w:val="1"/>
                <w:color w:val="auto"/>
              </w:rPr>
            </w:pPr>
          </w:p>
        </w:tc>
      </w:tr>
      <w:tr>
        <w:trPr>
          <w:trHeight w:val="120"/>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07/25/29</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0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10.20 %</w:t>
            </w:r>
          </w:p>
        </w:tc>
        <w:tc>
          <w:tcPr>
            <w:tcW w:w="92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SOFR+535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4,874</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4,625</w:t>
            </w:r>
          </w:p>
        </w:tc>
        <w:tc>
          <w:tcPr>
            <w:tcW w:w="22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4,585</w:t>
            </w:r>
          </w:p>
        </w:tc>
        <w:tc>
          <w:tcPr>
            <w:tcW w:w="0" w:type="dxa"/>
            <w:vAlign w:val="bottom"/>
          </w:tcPr>
          <w:p>
            <w:pPr>
              <w:spacing w:after="0"/>
              <w:rPr>
                <w:sz w:val="1"/>
                <w:szCs w:val="1"/>
                <w:color w:val="auto"/>
              </w:rPr>
            </w:pPr>
          </w:p>
        </w:tc>
      </w:tr>
      <w:tr>
        <w:trPr>
          <w:trHeight w:val="12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Carisk Buyer,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11/30/29</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10.35 %</w:t>
            </w:r>
          </w:p>
        </w:tc>
        <w:tc>
          <w:tcPr>
            <w:tcW w:w="9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SOFR+575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5,473</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5,400</w:t>
            </w:r>
          </w:p>
        </w:tc>
        <w:tc>
          <w:tcPr>
            <w:tcW w:w="2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5,390</w:t>
            </w:r>
          </w:p>
        </w:tc>
        <w:tc>
          <w:tcPr>
            <w:tcW w:w="0" w:type="dxa"/>
            <w:vAlign w:val="bottom"/>
          </w:tcPr>
          <w:p>
            <w:pPr>
              <w:spacing w:after="0"/>
              <w:rPr>
                <w:sz w:val="1"/>
                <w:szCs w:val="1"/>
                <w:color w:val="auto"/>
              </w:rPr>
            </w:pPr>
          </w:p>
        </w:tc>
      </w:tr>
      <w:tr>
        <w:trPr>
          <w:trHeight w:val="120"/>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Carnegie Dartlet,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02/07/30</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90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10.35 %</w:t>
            </w:r>
          </w:p>
        </w:tc>
        <w:tc>
          <w:tcPr>
            <w:tcW w:w="92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SOFR+550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9,950</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9,810</w:t>
            </w:r>
          </w:p>
        </w:tc>
        <w:tc>
          <w:tcPr>
            <w:tcW w:w="22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9,801</w:t>
            </w:r>
          </w:p>
        </w:tc>
        <w:tc>
          <w:tcPr>
            <w:tcW w:w="0" w:type="dxa"/>
            <w:vAlign w:val="bottom"/>
          </w:tcPr>
          <w:p>
            <w:pPr>
              <w:spacing w:after="0"/>
              <w:rPr>
                <w:sz w:val="1"/>
                <w:szCs w:val="1"/>
                <w:color w:val="auto"/>
              </w:rPr>
            </w:pPr>
          </w:p>
        </w:tc>
      </w:tr>
      <w:tr>
        <w:trPr>
          <w:trHeight w:val="12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06/14/28</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10.35 %</w:t>
            </w:r>
          </w:p>
        </w:tc>
        <w:tc>
          <w:tcPr>
            <w:tcW w:w="9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SOFR+575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17,106</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16,879</w:t>
            </w:r>
          </w:p>
        </w:tc>
        <w:tc>
          <w:tcPr>
            <w:tcW w:w="2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17,106</w:t>
            </w:r>
          </w:p>
        </w:tc>
        <w:tc>
          <w:tcPr>
            <w:tcW w:w="0" w:type="dxa"/>
            <w:vAlign w:val="bottom"/>
          </w:tcPr>
          <w:p>
            <w:pPr>
              <w:spacing w:after="0"/>
              <w:rPr>
                <w:sz w:val="1"/>
                <w:szCs w:val="1"/>
                <w:color w:val="auto"/>
              </w:rPr>
            </w:pPr>
          </w:p>
        </w:tc>
      </w:tr>
      <w:tr>
        <w:trPr>
          <w:trHeight w:val="120"/>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08/20/26</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0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11.21 %</w:t>
            </w:r>
          </w:p>
        </w:tc>
        <w:tc>
          <w:tcPr>
            <w:tcW w:w="92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SOFR+619</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2,891</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2,876</w:t>
            </w:r>
          </w:p>
        </w:tc>
        <w:tc>
          <w:tcPr>
            <w:tcW w:w="22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2,848</w:t>
            </w:r>
          </w:p>
        </w:tc>
        <w:tc>
          <w:tcPr>
            <w:tcW w:w="0" w:type="dxa"/>
            <w:vAlign w:val="bottom"/>
          </w:tcPr>
          <w:p>
            <w:pPr>
              <w:spacing w:after="0"/>
              <w:rPr>
                <w:sz w:val="1"/>
                <w:szCs w:val="1"/>
                <w:color w:val="auto"/>
              </w:rPr>
            </w:pPr>
          </w:p>
        </w:tc>
      </w:tr>
      <w:tr>
        <w:trPr>
          <w:trHeight w:val="12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07/13/27</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10.53 %</w:t>
            </w:r>
          </w:p>
        </w:tc>
        <w:tc>
          <w:tcPr>
            <w:tcW w:w="9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SOFR+561</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8,716</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8,702</w:t>
            </w:r>
          </w:p>
        </w:tc>
        <w:tc>
          <w:tcPr>
            <w:tcW w:w="2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8,716</w:t>
            </w:r>
          </w:p>
        </w:tc>
        <w:tc>
          <w:tcPr>
            <w:tcW w:w="0" w:type="dxa"/>
            <w:vAlign w:val="bottom"/>
          </w:tcPr>
          <w:p>
            <w:pPr>
              <w:spacing w:after="0"/>
              <w:rPr>
                <w:sz w:val="1"/>
                <w:szCs w:val="1"/>
                <w:color w:val="auto"/>
              </w:rPr>
            </w:pPr>
          </w:p>
        </w:tc>
      </w:tr>
      <w:tr>
        <w:trPr>
          <w:trHeight w:val="120"/>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08/16/27</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0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10.71 %</w:t>
            </w:r>
          </w:p>
        </w:tc>
        <w:tc>
          <w:tcPr>
            <w:tcW w:w="92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SOFR+586</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2,549</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2,529</w:t>
            </w:r>
          </w:p>
        </w:tc>
        <w:tc>
          <w:tcPr>
            <w:tcW w:w="22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2,530</w:t>
            </w:r>
          </w:p>
        </w:tc>
        <w:tc>
          <w:tcPr>
            <w:tcW w:w="0" w:type="dxa"/>
            <w:vAlign w:val="bottom"/>
          </w:tcPr>
          <w:p>
            <w:pPr>
              <w:spacing w:after="0"/>
              <w:rPr>
                <w:sz w:val="1"/>
                <w:szCs w:val="1"/>
                <w:color w:val="auto"/>
              </w:rPr>
            </w:pPr>
          </w:p>
        </w:tc>
      </w:tr>
      <w:tr>
        <w:trPr>
          <w:trHeight w:val="12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08/31/27</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9.95 %</w:t>
            </w:r>
          </w:p>
        </w:tc>
        <w:tc>
          <w:tcPr>
            <w:tcW w:w="9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SOFR+535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22,993</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22,842</w:t>
            </w:r>
          </w:p>
        </w:tc>
        <w:tc>
          <w:tcPr>
            <w:tcW w:w="2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22,993</w:t>
            </w:r>
          </w:p>
        </w:tc>
        <w:tc>
          <w:tcPr>
            <w:tcW w:w="0" w:type="dxa"/>
            <w:vAlign w:val="bottom"/>
          </w:tcPr>
          <w:p>
            <w:pPr>
              <w:spacing w:after="0"/>
              <w:rPr>
                <w:sz w:val="1"/>
                <w:szCs w:val="1"/>
                <w:color w:val="auto"/>
              </w:rPr>
            </w:pPr>
          </w:p>
        </w:tc>
      </w:tr>
      <w:tr>
        <w:trPr>
          <w:trHeight w:val="120"/>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12/21/28</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0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10.20 %</w:t>
            </w:r>
          </w:p>
        </w:tc>
        <w:tc>
          <w:tcPr>
            <w:tcW w:w="92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SOFR+535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5,830</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5,423</w:t>
            </w:r>
          </w:p>
        </w:tc>
        <w:tc>
          <w:tcPr>
            <w:tcW w:w="22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5,626</w:t>
            </w:r>
          </w:p>
        </w:tc>
        <w:tc>
          <w:tcPr>
            <w:tcW w:w="0" w:type="dxa"/>
            <w:vAlign w:val="bottom"/>
          </w:tcPr>
          <w:p>
            <w:pPr>
              <w:spacing w:after="0"/>
              <w:rPr>
                <w:sz w:val="1"/>
                <w:szCs w:val="1"/>
                <w:color w:val="auto"/>
              </w:rPr>
            </w:pPr>
          </w:p>
        </w:tc>
      </w:tr>
      <w:tr>
        <w:trPr>
          <w:trHeight w:val="12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11/03/25</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11.20 %</w:t>
            </w:r>
          </w:p>
        </w:tc>
        <w:tc>
          <w:tcPr>
            <w:tcW w:w="9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SOFR+635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13,777</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13,760</w:t>
            </w:r>
          </w:p>
        </w:tc>
        <w:tc>
          <w:tcPr>
            <w:tcW w:w="2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13,667</w:t>
            </w:r>
          </w:p>
        </w:tc>
        <w:tc>
          <w:tcPr>
            <w:tcW w:w="0" w:type="dxa"/>
            <w:vAlign w:val="bottom"/>
          </w:tcPr>
          <w:p>
            <w:pPr>
              <w:spacing w:after="0"/>
              <w:rPr>
                <w:sz w:val="1"/>
                <w:szCs w:val="1"/>
                <w:color w:val="auto"/>
              </w:rPr>
            </w:pPr>
          </w:p>
        </w:tc>
      </w:tr>
      <w:tr>
        <w:trPr>
          <w:trHeight w:val="120"/>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Dynata, LLC - First Out Term Loan</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07/15/28</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10.38 %</w:t>
            </w:r>
          </w:p>
        </w:tc>
        <w:tc>
          <w:tcPr>
            <w:tcW w:w="92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SOFR+526</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1,588</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1,476</w:t>
            </w:r>
          </w:p>
        </w:tc>
        <w:tc>
          <w:tcPr>
            <w:tcW w:w="22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1,586</w:t>
            </w:r>
          </w:p>
        </w:tc>
        <w:tc>
          <w:tcPr>
            <w:tcW w:w="0" w:type="dxa"/>
            <w:vAlign w:val="bottom"/>
          </w:tcPr>
          <w:p>
            <w:pPr>
              <w:spacing w:after="0"/>
              <w:rPr>
                <w:sz w:val="1"/>
                <w:szCs w:val="1"/>
                <w:color w:val="auto"/>
              </w:rPr>
            </w:pPr>
          </w:p>
        </w:tc>
      </w:tr>
      <w:tr>
        <w:trPr>
          <w:trHeight w:val="12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Dynata, LLC - Last Out Term Loan</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10/15/28</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10.88 %</w:t>
            </w:r>
          </w:p>
        </w:tc>
        <w:tc>
          <w:tcPr>
            <w:tcW w:w="9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SOFR+576</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9,768</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9,768</w:t>
            </w:r>
          </w:p>
        </w:tc>
        <w:tc>
          <w:tcPr>
            <w:tcW w:w="2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8,993</w:t>
            </w:r>
          </w:p>
        </w:tc>
        <w:tc>
          <w:tcPr>
            <w:tcW w:w="0" w:type="dxa"/>
            <w:vAlign w:val="bottom"/>
          </w:tcPr>
          <w:p>
            <w:pPr>
              <w:spacing w:after="0"/>
              <w:rPr>
                <w:sz w:val="1"/>
                <w:szCs w:val="1"/>
                <w:color w:val="auto"/>
              </w:rPr>
            </w:pPr>
          </w:p>
        </w:tc>
      </w:tr>
      <w:tr>
        <w:trPr>
          <w:trHeight w:val="120"/>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01/10/29</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10.35 %</w:t>
            </w:r>
          </w:p>
        </w:tc>
        <w:tc>
          <w:tcPr>
            <w:tcW w:w="92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SOFR+575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11,144</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11,013</w:t>
            </w:r>
          </w:p>
        </w:tc>
        <w:tc>
          <w:tcPr>
            <w:tcW w:w="22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10,977</w:t>
            </w:r>
          </w:p>
        </w:tc>
        <w:tc>
          <w:tcPr>
            <w:tcW w:w="0" w:type="dxa"/>
            <w:vAlign w:val="bottom"/>
          </w:tcPr>
          <w:p>
            <w:pPr>
              <w:spacing w:after="0"/>
              <w:rPr>
                <w:sz w:val="1"/>
                <w:szCs w:val="1"/>
                <w:color w:val="auto"/>
              </w:rPr>
            </w:pPr>
          </w:p>
        </w:tc>
      </w:tr>
      <w:tr>
        <w:trPr>
          <w:trHeight w:val="124"/>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ETE Intermediate II, LLC</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05/29/29</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00" w:type="dxa"/>
            <w:vAlign w:val="bottom"/>
            <w:vMerge w:val="restart"/>
          </w:tcPr>
          <w:p>
            <w:pPr>
              <w:jc w:val="right"/>
              <w:ind w:right="31"/>
              <w:spacing w:after="0"/>
              <w:rPr>
                <w:sz w:val="20"/>
                <w:szCs w:val="20"/>
                <w:color w:val="auto"/>
              </w:rPr>
            </w:pPr>
            <w:r>
              <w:rPr>
                <w:rFonts w:ascii="Times New Roman" w:cs="Times New Roman" w:eastAsia="Times New Roman" w:hAnsi="Times New Roman"/>
                <w:sz w:val="10"/>
                <w:szCs w:val="10"/>
                <w:color w:val="auto"/>
              </w:rPr>
              <w:t>11.56 %</w:t>
            </w:r>
          </w:p>
        </w:tc>
        <w:tc>
          <w:tcPr>
            <w:tcW w:w="92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auto"/>
              </w:rPr>
              <w:t>SOFR+650</w:t>
            </w:r>
          </w:p>
        </w:tc>
        <w:tc>
          <w:tcPr>
            <w:tcW w:w="86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12,249</w:t>
            </w:r>
          </w:p>
        </w:tc>
        <w:tc>
          <w:tcPr>
            <w:tcW w:w="220" w:type="dxa"/>
            <w:vAlign w:val="bottom"/>
          </w:tcPr>
          <w:p>
            <w:pPr>
              <w:spacing w:after="0"/>
              <w:rPr>
                <w:sz w:val="10"/>
                <w:szCs w:val="10"/>
                <w:color w:val="auto"/>
              </w:rPr>
            </w:pPr>
          </w:p>
        </w:tc>
        <w:tc>
          <w:tcPr>
            <w:tcW w:w="56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12,049</w:t>
            </w:r>
          </w:p>
        </w:tc>
        <w:tc>
          <w:tcPr>
            <w:tcW w:w="220" w:type="dxa"/>
            <w:vAlign w:val="bottom"/>
          </w:tcPr>
          <w:p>
            <w:pPr>
              <w:spacing w:after="0"/>
              <w:rPr>
                <w:sz w:val="10"/>
                <w:szCs w:val="10"/>
                <w:color w:val="auto"/>
              </w:rPr>
            </w:pPr>
          </w:p>
        </w:tc>
        <w:tc>
          <w:tcPr>
            <w:tcW w:w="98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12,249</w:t>
            </w:r>
          </w:p>
        </w:tc>
        <w:tc>
          <w:tcPr>
            <w:tcW w:w="0" w:type="dxa"/>
            <w:vAlign w:val="bottom"/>
          </w:tcPr>
          <w:p>
            <w:pPr>
              <w:spacing w:after="0"/>
              <w:rPr>
                <w:sz w:val="1"/>
                <w:szCs w:val="1"/>
                <w:color w:val="auto"/>
              </w:rPr>
            </w:pPr>
          </w:p>
        </w:tc>
      </w:tr>
      <w:tr>
        <w:trPr>
          <w:trHeight w:val="80"/>
        </w:trPr>
        <w:tc>
          <w:tcPr>
            <w:tcW w:w="27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21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Eval Home Health Solutions Intermediate,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05/10/30</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10.85 %</w:t>
            </w:r>
          </w:p>
        </w:tc>
        <w:tc>
          <w:tcPr>
            <w:tcW w:w="92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SOFR+575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7,396</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7,293</w:t>
            </w:r>
          </w:p>
        </w:tc>
        <w:tc>
          <w:tcPr>
            <w:tcW w:w="22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7,322</w:t>
            </w:r>
          </w:p>
        </w:tc>
        <w:tc>
          <w:tcPr>
            <w:tcW w:w="0" w:type="dxa"/>
            <w:vAlign w:val="bottom"/>
          </w:tcPr>
          <w:p>
            <w:pPr>
              <w:spacing w:after="0"/>
              <w:rPr>
                <w:sz w:val="1"/>
                <w:szCs w:val="1"/>
                <w:color w:val="auto"/>
              </w:rPr>
            </w:pPr>
          </w:p>
        </w:tc>
      </w:tr>
      <w:tr>
        <w:trPr>
          <w:trHeight w:val="12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03/15/27</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11.20 %</w:t>
            </w:r>
          </w:p>
        </w:tc>
        <w:tc>
          <w:tcPr>
            <w:tcW w:w="9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SOFR+635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9,651</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9,556</w:t>
            </w:r>
          </w:p>
        </w:tc>
        <w:tc>
          <w:tcPr>
            <w:tcW w:w="2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9,603</w:t>
            </w:r>
          </w:p>
        </w:tc>
        <w:tc>
          <w:tcPr>
            <w:tcW w:w="0" w:type="dxa"/>
            <w:vAlign w:val="bottom"/>
          </w:tcPr>
          <w:p>
            <w:pPr>
              <w:spacing w:after="0"/>
              <w:rPr>
                <w:sz w:val="1"/>
                <w:szCs w:val="1"/>
                <w:color w:val="auto"/>
              </w:rPr>
            </w:pPr>
          </w:p>
        </w:tc>
      </w:tr>
      <w:tr>
        <w:trPr>
          <w:trHeight w:val="120"/>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Fairbanks Morse Defense</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06/17/28</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9.74 %</w:t>
            </w:r>
          </w:p>
        </w:tc>
        <w:tc>
          <w:tcPr>
            <w:tcW w:w="92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SOFR+450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3,491</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3,417</w:t>
            </w:r>
          </w:p>
        </w:tc>
        <w:tc>
          <w:tcPr>
            <w:tcW w:w="22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3,495</w:t>
            </w:r>
          </w:p>
        </w:tc>
        <w:tc>
          <w:tcPr>
            <w:tcW w:w="0" w:type="dxa"/>
            <w:vAlign w:val="bottom"/>
          </w:tcPr>
          <w:p>
            <w:pPr>
              <w:spacing w:after="0"/>
              <w:rPr>
                <w:sz w:val="1"/>
                <w:szCs w:val="1"/>
                <w:color w:val="auto"/>
              </w:rPr>
            </w:pPr>
          </w:p>
        </w:tc>
      </w:tr>
      <w:tr>
        <w:trPr>
          <w:trHeight w:val="12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Five Star Buyer,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02/23/28</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Hotels, Motels, Inns and Gaming</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12.21 %</w:t>
            </w:r>
          </w:p>
        </w:tc>
        <w:tc>
          <w:tcPr>
            <w:tcW w:w="9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SOFR+710</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4,241</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4,175</w:t>
            </w:r>
          </w:p>
        </w:tc>
        <w:tc>
          <w:tcPr>
            <w:tcW w:w="2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4,241</w:t>
            </w:r>
          </w:p>
        </w:tc>
        <w:tc>
          <w:tcPr>
            <w:tcW w:w="0" w:type="dxa"/>
            <w:vAlign w:val="bottom"/>
          </w:tcPr>
          <w:p>
            <w:pPr>
              <w:spacing w:after="0"/>
              <w:rPr>
                <w:sz w:val="1"/>
                <w:szCs w:val="1"/>
                <w:color w:val="auto"/>
              </w:rPr>
            </w:pPr>
          </w:p>
        </w:tc>
      </w:tr>
      <w:tr>
        <w:trPr>
          <w:trHeight w:val="120"/>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03/16/26</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Banking, Finance, Insurance &amp; Real Estate</w:t>
            </w:r>
          </w:p>
        </w:tc>
        <w:tc>
          <w:tcPr>
            <w:tcW w:w="90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11.43 %</w:t>
            </w:r>
          </w:p>
        </w:tc>
        <w:tc>
          <w:tcPr>
            <w:tcW w:w="92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SOFR+615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6,952</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6,940</w:t>
            </w:r>
          </w:p>
        </w:tc>
        <w:tc>
          <w:tcPr>
            <w:tcW w:w="22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6,605</w:t>
            </w:r>
          </w:p>
        </w:tc>
        <w:tc>
          <w:tcPr>
            <w:tcW w:w="0" w:type="dxa"/>
            <w:vAlign w:val="bottom"/>
          </w:tcPr>
          <w:p>
            <w:pPr>
              <w:spacing w:after="0"/>
              <w:rPr>
                <w:sz w:val="1"/>
                <w:szCs w:val="1"/>
                <w:color w:val="auto"/>
              </w:rPr>
            </w:pPr>
          </w:p>
        </w:tc>
      </w:tr>
      <w:tr>
        <w:trPr>
          <w:trHeight w:val="12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08/10/27</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10.45 %</w:t>
            </w:r>
          </w:p>
        </w:tc>
        <w:tc>
          <w:tcPr>
            <w:tcW w:w="9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SOFR+560</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3,118</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3,081</w:t>
            </w:r>
          </w:p>
        </w:tc>
        <w:tc>
          <w:tcPr>
            <w:tcW w:w="2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3,087</w:t>
            </w:r>
          </w:p>
        </w:tc>
        <w:tc>
          <w:tcPr>
            <w:tcW w:w="0" w:type="dxa"/>
            <w:vAlign w:val="bottom"/>
          </w:tcPr>
          <w:p>
            <w:pPr>
              <w:spacing w:after="0"/>
              <w:rPr>
                <w:sz w:val="1"/>
                <w:szCs w:val="1"/>
                <w:color w:val="auto"/>
              </w:rPr>
            </w:pPr>
          </w:p>
        </w:tc>
      </w:tr>
      <w:tr>
        <w:trPr>
          <w:trHeight w:val="120"/>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12/31/26</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90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10.20 %</w:t>
            </w:r>
          </w:p>
        </w:tc>
        <w:tc>
          <w:tcPr>
            <w:tcW w:w="92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SOFR+560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6,146</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6,146</w:t>
            </w:r>
          </w:p>
        </w:tc>
        <w:tc>
          <w:tcPr>
            <w:tcW w:w="22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6,023</w:t>
            </w:r>
          </w:p>
        </w:tc>
        <w:tc>
          <w:tcPr>
            <w:tcW w:w="0" w:type="dxa"/>
            <w:vAlign w:val="bottom"/>
          </w:tcPr>
          <w:p>
            <w:pPr>
              <w:spacing w:after="0"/>
              <w:rPr>
                <w:sz w:val="1"/>
                <w:szCs w:val="1"/>
                <w:color w:val="auto"/>
              </w:rPr>
            </w:pPr>
          </w:p>
        </w:tc>
      </w:tr>
      <w:tr>
        <w:trPr>
          <w:trHeight w:val="12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HEC Purchaser Corp.</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06/17/29</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9.75 %</w:t>
            </w:r>
          </w:p>
        </w:tc>
        <w:tc>
          <w:tcPr>
            <w:tcW w:w="9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SOFR+550</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7,980</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7,887</w:t>
            </w:r>
          </w:p>
        </w:tc>
        <w:tc>
          <w:tcPr>
            <w:tcW w:w="2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7,924</w:t>
            </w:r>
          </w:p>
        </w:tc>
        <w:tc>
          <w:tcPr>
            <w:tcW w:w="0" w:type="dxa"/>
            <w:vAlign w:val="bottom"/>
          </w:tcPr>
          <w:p>
            <w:pPr>
              <w:spacing w:after="0"/>
              <w:rPr>
                <w:sz w:val="1"/>
                <w:szCs w:val="1"/>
                <w:color w:val="auto"/>
              </w:rPr>
            </w:pPr>
          </w:p>
        </w:tc>
      </w:tr>
      <w:tr>
        <w:trPr>
          <w:trHeight w:val="120"/>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Hills Distribution, Inc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11/08/29</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0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11.11 %</w:t>
            </w:r>
          </w:p>
        </w:tc>
        <w:tc>
          <w:tcPr>
            <w:tcW w:w="92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SOFR+600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14,292</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14,106</w:t>
            </w:r>
          </w:p>
        </w:tc>
        <w:tc>
          <w:tcPr>
            <w:tcW w:w="22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14,149</w:t>
            </w:r>
          </w:p>
        </w:tc>
        <w:tc>
          <w:tcPr>
            <w:tcW w:w="0" w:type="dxa"/>
            <w:vAlign w:val="bottom"/>
          </w:tcPr>
          <w:p>
            <w:pPr>
              <w:spacing w:after="0"/>
              <w:rPr>
                <w:sz w:val="1"/>
                <w:szCs w:val="1"/>
                <w:color w:val="auto"/>
              </w:rPr>
            </w:pPr>
          </w:p>
        </w:tc>
      </w:tr>
      <w:tr>
        <w:trPr>
          <w:trHeight w:val="121"/>
        </w:trPr>
        <w:tc>
          <w:tcPr>
            <w:tcW w:w="2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90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12.00%</w:t>
            </w:r>
          </w:p>
        </w:tc>
        <w:tc>
          <w:tcPr>
            <w:tcW w:w="9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12/17/26</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(PIK 4.0%)</w:t>
            </w:r>
          </w:p>
        </w:tc>
        <w:tc>
          <w:tcPr>
            <w:tcW w:w="920" w:type="dxa"/>
            <w:vAlign w:val="bottom"/>
          </w:tcPr>
          <w:p>
            <w:pPr>
              <w:spacing w:after="0"/>
              <w:rPr>
                <w:sz w:val="10"/>
                <w:szCs w:val="10"/>
                <w:color w:val="auto"/>
              </w:rPr>
            </w:pP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15,144</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15,019</w:t>
            </w:r>
          </w:p>
        </w:tc>
        <w:tc>
          <w:tcPr>
            <w:tcW w:w="2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13,887</w:t>
            </w:r>
          </w:p>
        </w:tc>
        <w:tc>
          <w:tcPr>
            <w:tcW w:w="0" w:type="dxa"/>
            <w:vAlign w:val="bottom"/>
          </w:tcPr>
          <w:p>
            <w:pPr>
              <w:spacing w:after="0"/>
              <w:rPr>
                <w:sz w:val="1"/>
                <w:szCs w:val="1"/>
                <w:color w:val="auto"/>
              </w:rPr>
            </w:pPr>
          </w:p>
        </w:tc>
      </w:tr>
      <w:tr>
        <w:trPr>
          <w:trHeight w:val="120"/>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05/10/26</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0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11.04 %</w:t>
            </w:r>
          </w:p>
        </w:tc>
        <w:tc>
          <w:tcPr>
            <w:tcW w:w="92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SOFR+590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18,355</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18,296</w:t>
            </w:r>
          </w:p>
        </w:tc>
        <w:tc>
          <w:tcPr>
            <w:tcW w:w="22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18,355</w:t>
            </w:r>
          </w:p>
        </w:tc>
        <w:tc>
          <w:tcPr>
            <w:tcW w:w="0" w:type="dxa"/>
            <w:vAlign w:val="bottom"/>
          </w:tcPr>
          <w:p>
            <w:pPr>
              <w:spacing w:after="0"/>
              <w:rPr>
                <w:sz w:val="1"/>
                <w:szCs w:val="1"/>
                <w:color w:val="auto"/>
              </w:rPr>
            </w:pPr>
          </w:p>
        </w:tc>
      </w:tr>
      <w:tr>
        <w:trPr>
          <w:trHeight w:val="12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IG Investments Holdings,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09/22/28</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11.35 %</w:t>
            </w:r>
          </w:p>
        </w:tc>
        <w:tc>
          <w:tcPr>
            <w:tcW w:w="9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SOFR+610</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4,383</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4,322</w:t>
            </w:r>
          </w:p>
        </w:tc>
        <w:tc>
          <w:tcPr>
            <w:tcW w:w="2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4,339</w:t>
            </w:r>
          </w:p>
        </w:tc>
        <w:tc>
          <w:tcPr>
            <w:tcW w:w="0" w:type="dxa"/>
            <w:vAlign w:val="bottom"/>
          </w:tcPr>
          <w:p>
            <w:pPr>
              <w:spacing w:after="0"/>
              <w:rPr>
                <w:sz w:val="1"/>
                <w:szCs w:val="1"/>
                <w:color w:val="auto"/>
              </w:rPr>
            </w:pPr>
          </w:p>
        </w:tc>
      </w:tr>
      <w:tr>
        <w:trPr>
          <w:trHeight w:val="120"/>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11/15/27</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10.20 %</w:t>
            </w:r>
          </w:p>
        </w:tc>
        <w:tc>
          <w:tcPr>
            <w:tcW w:w="92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SOFR+510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5,509</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5,440</w:t>
            </w:r>
          </w:p>
        </w:tc>
        <w:tc>
          <w:tcPr>
            <w:tcW w:w="22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5,481</w:t>
            </w:r>
          </w:p>
        </w:tc>
        <w:tc>
          <w:tcPr>
            <w:tcW w:w="0" w:type="dxa"/>
            <w:vAlign w:val="bottom"/>
          </w:tcPr>
          <w:p>
            <w:pPr>
              <w:spacing w:after="0"/>
              <w:rPr>
                <w:sz w:val="1"/>
                <w:szCs w:val="1"/>
                <w:color w:val="auto"/>
              </w:rPr>
            </w:pPr>
          </w:p>
        </w:tc>
      </w:tr>
      <w:tr>
        <w:trPr>
          <w:trHeight w:val="12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12/28/28</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11.49 %</w:t>
            </w:r>
          </w:p>
        </w:tc>
        <w:tc>
          <w:tcPr>
            <w:tcW w:w="9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SOFR+685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13,890</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13,730</w:t>
            </w:r>
          </w:p>
        </w:tc>
        <w:tc>
          <w:tcPr>
            <w:tcW w:w="2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14,029</w:t>
            </w:r>
          </w:p>
        </w:tc>
        <w:tc>
          <w:tcPr>
            <w:tcW w:w="0" w:type="dxa"/>
            <w:vAlign w:val="bottom"/>
          </w:tcPr>
          <w:p>
            <w:pPr>
              <w:spacing w:after="0"/>
              <w:rPr>
                <w:sz w:val="1"/>
                <w:szCs w:val="1"/>
                <w:color w:val="auto"/>
              </w:rPr>
            </w:pPr>
          </w:p>
        </w:tc>
      </w:tr>
      <w:tr>
        <w:trPr>
          <w:trHeight w:val="120"/>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Infolinks Media Buyco,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11/01/26</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0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10.10 %</w:t>
            </w:r>
          </w:p>
        </w:tc>
        <w:tc>
          <w:tcPr>
            <w:tcW w:w="92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SOFR+550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12,286</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12,214</w:t>
            </w:r>
          </w:p>
        </w:tc>
        <w:tc>
          <w:tcPr>
            <w:tcW w:w="22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12,194</w:t>
            </w:r>
          </w:p>
        </w:tc>
        <w:tc>
          <w:tcPr>
            <w:tcW w:w="0" w:type="dxa"/>
            <w:vAlign w:val="bottom"/>
          </w:tcPr>
          <w:p>
            <w:pPr>
              <w:spacing w:after="0"/>
              <w:rPr>
                <w:sz w:val="1"/>
                <w:szCs w:val="1"/>
                <w:color w:val="auto"/>
              </w:rPr>
            </w:pPr>
          </w:p>
        </w:tc>
      </w:tr>
      <w:tr>
        <w:trPr>
          <w:trHeight w:val="12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Inventus Power,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06/30/25</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12.46 %</w:t>
            </w:r>
          </w:p>
        </w:tc>
        <w:tc>
          <w:tcPr>
            <w:tcW w:w="9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SOFR+761</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13,101</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12,980</w:t>
            </w:r>
          </w:p>
        </w:tc>
        <w:tc>
          <w:tcPr>
            <w:tcW w:w="2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12,905</w:t>
            </w:r>
          </w:p>
        </w:tc>
        <w:tc>
          <w:tcPr>
            <w:tcW w:w="0" w:type="dxa"/>
            <w:vAlign w:val="bottom"/>
          </w:tcPr>
          <w:p>
            <w:pPr>
              <w:spacing w:after="0"/>
              <w:rPr>
                <w:sz w:val="1"/>
                <w:szCs w:val="1"/>
                <w:color w:val="auto"/>
              </w:rPr>
            </w:pPr>
          </w:p>
        </w:tc>
      </w:tr>
      <w:tr>
        <w:trPr>
          <w:trHeight w:val="120"/>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11/10/27</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0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10.75 %</w:t>
            </w:r>
          </w:p>
        </w:tc>
        <w:tc>
          <w:tcPr>
            <w:tcW w:w="92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SOFR+615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13,701</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13,520</w:t>
            </w:r>
          </w:p>
        </w:tc>
        <w:tc>
          <w:tcPr>
            <w:tcW w:w="22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13,701</w:t>
            </w:r>
          </w:p>
        </w:tc>
        <w:tc>
          <w:tcPr>
            <w:tcW w:w="0" w:type="dxa"/>
            <w:vAlign w:val="bottom"/>
          </w:tcPr>
          <w:p>
            <w:pPr>
              <w:spacing w:after="0"/>
              <w:rPr>
                <w:sz w:val="1"/>
                <w:szCs w:val="1"/>
                <w:color w:val="auto"/>
              </w:rPr>
            </w:pPr>
          </w:p>
        </w:tc>
      </w:tr>
      <w:tr>
        <w:trPr>
          <w:trHeight w:val="121"/>
        </w:trPr>
        <w:tc>
          <w:tcPr>
            <w:tcW w:w="2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Leisure, Amusement, Motion Pictures,</w:t>
            </w:r>
          </w:p>
        </w:tc>
        <w:tc>
          <w:tcPr>
            <w:tcW w:w="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10/31/25</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11.66 %</w:t>
            </w:r>
          </w:p>
        </w:tc>
        <w:tc>
          <w:tcPr>
            <w:tcW w:w="9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SOFR+640</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4,613</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4,601</w:t>
            </w:r>
          </w:p>
        </w:tc>
        <w:tc>
          <w:tcPr>
            <w:tcW w:w="2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4,530</w:t>
            </w:r>
          </w:p>
        </w:tc>
        <w:tc>
          <w:tcPr>
            <w:tcW w:w="0" w:type="dxa"/>
            <w:vAlign w:val="bottom"/>
          </w:tcPr>
          <w:p>
            <w:pPr>
              <w:spacing w:after="0"/>
              <w:rPr>
                <w:sz w:val="1"/>
                <w:szCs w:val="1"/>
                <w:color w:val="auto"/>
              </w:rPr>
            </w:pPr>
          </w:p>
        </w:tc>
      </w:tr>
      <w:tr>
        <w:trPr>
          <w:trHeight w:val="121"/>
        </w:trPr>
        <w:tc>
          <w:tcPr>
            <w:tcW w:w="278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2180" w:type="dxa"/>
            <w:vAlign w:val="bottom"/>
            <w:shd w:val="clear" w:color="auto" w:fill="CCECFF"/>
          </w:tcPr>
          <w:p>
            <w:pPr>
              <w:spacing w:after="0"/>
              <w:rPr>
                <w:sz w:val="10"/>
                <w:szCs w:val="10"/>
                <w:color w:val="auto"/>
              </w:rPr>
            </w:pPr>
          </w:p>
        </w:tc>
        <w:tc>
          <w:tcPr>
            <w:tcW w:w="90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12.94%</w:t>
            </w:r>
          </w:p>
        </w:tc>
        <w:tc>
          <w:tcPr>
            <w:tcW w:w="92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02/18/27</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0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(PIK 5.10%)</w:t>
            </w:r>
          </w:p>
        </w:tc>
        <w:tc>
          <w:tcPr>
            <w:tcW w:w="92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SOFR+785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20,447</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20,338</w:t>
            </w:r>
          </w:p>
        </w:tc>
        <w:tc>
          <w:tcPr>
            <w:tcW w:w="22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20,243</w:t>
            </w:r>
          </w:p>
        </w:tc>
        <w:tc>
          <w:tcPr>
            <w:tcW w:w="0" w:type="dxa"/>
            <w:vAlign w:val="bottom"/>
          </w:tcPr>
          <w:p>
            <w:pPr>
              <w:spacing w:after="0"/>
              <w:rPr>
                <w:sz w:val="1"/>
                <w:szCs w:val="1"/>
                <w:color w:val="auto"/>
              </w:rPr>
            </w:pPr>
          </w:p>
        </w:tc>
      </w:tr>
      <w:tr>
        <w:trPr>
          <w:trHeight w:val="12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02/03/26</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10.20 %</w:t>
            </w:r>
          </w:p>
        </w:tc>
        <w:tc>
          <w:tcPr>
            <w:tcW w:w="9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SOFR+535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14,267</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14,170</w:t>
            </w:r>
          </w:p>
        </w:tc>
        <w:tc>
          <w:tcPr>
            <w:tcW w:w="2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14,267</w:t>
            </w:r>
          </w:p>
        </w:tc>
        <w:tc>
          <w:tcPr>
            <w:tcW w:w="0" w:type="dxa"/>
            <w:vAlign w:val="bottom"/>
          </w:tcPr>
          <w:p>
            <w:pPr>
              <w:spacing w:after="0"/>
              <w:rPr>
                <w:sz w:val="1"/>
                <w:szCs w:val="1"/>
                <w:color w:val="auto"/>
              </w:rPr>
            </w:pPr>
          </w:p>
        </w:tc>
      </w:tr>
      <w:tr>
        <w:trPr>
          <w:trHeight w:val="120"/>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01/31/30</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0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10.48 %</w:t>
            </w:r>
          </w:p>
        </w:tc>
        <w:tc>
          <w:tcPr>
            <w:tcW w:w="92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SOFR+525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6,255</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6,151</w:t>
            </w:r>
          </w:p>
        </w:tc>
        <w:tc>
          <w:tcPr>
            <w:tcW w:w="22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6,255</w:t>
            </w:r>
          </w:p>
        </w:tc>
        <w:tc>
          <w:tcPr>
            <w:tcW w:w="0" w:type="dxa"/>
            <w:vAlign w:val="bottom"/>
          </w:tcPr>
          <w:p>
            <w:pPr>
              <w:spacing w:after="0"/>
              <w:rPr>
                <w:sz w:val="1"/>
                <w:szCs w:val="1"/>
                <w:color w:val="auto"/>
              </w:rPr>
            </w:pPr>
          </w:p>
        </w:tc>
      </w:tr>
      <w:tr>
        <w:trPr>
          <w:trHeight w:val="12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04/01/27</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10.20 %</w:t>
            </w:r>
          </w:p>
        </w:tc>
        <w:tc>
          <w:tcPr>
            <w:tcW w:w="9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SOFR+550</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8,266</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7,890</w:t>
            </w:r>
          </w:p>
        </w:tc>
        <w:tc>
          <w:tcPr>
            <w:tcW w:w="2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7,770</w:t>
            </w:r>
          </w:p>
        </w:tc>
        <w:tc>
          <w:tcPr>
            <w:tcW w:w="0" w:type="dxa"/>
            <w:vAlign w:val="bottom"/>
          </w:tcPr>
          <w:p>
            <w:pPr>
              <w:spacing w:after="0"/>
              <w:rPr>
                <w:sz w:val="1"/>
                <w:szCs w:val="1"/>
                <w:color w:val="auto"/>
              </w:rPr>
            </w:pPr>
          </w:p>
        </w:tc>
      </w:tr>
      <w:tr>
        <w:trPr>
          <w:trHeight w:val="120"/>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Magenta Buyer, LLC -First out</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07/31/28</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90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12.13 %</w:t>
            </w:r>
          </w:p>
        </w:tc>
        <w:tc>
          <w:tcPr>
            <w:tcW w:w="92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SOFR+701</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450</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450</w:t>
            </w:r>
          </w:p>
        </w:tc>
        <w:tc>
          <w:tcPr>
            <w:tcW w:w="22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425</w:t>
            </w:r>
          </w:p>
        </w:tc>
        <w:tc>
          <w:tcPr>
            <w:tcW w:w="0" w:type="dxa"/>
            <w:vAlign w:val="bottom"/>
          </w:tcPr>
          <w:p>
            <w:pPr>
              <w:spacing w:after="0"/>
              <w:rPr>
                <w:sz w:val="1"/>
                <w:szCs w:val="1"/>
                <w:color w:val="auto"/>
              </w:rPr>
            </w:pPr>
          </w:p>
        </w:tc>
      </w:tr>
      <w:tr>
        <w:trPr>
          <w:trHeight w:val="12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Magenta Buyer, LLC -Second out</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07/31/28</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12.38 %</w:t>
            </w:r>
          </w:p>
        </w:tc>
        <w:tc>
          <w:tcPr>
            <w:tcW w:w="9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SOFR+801</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569</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569</w:t>
            </w:r>
          </w:p>
        </w:tc>
        <w:tc>
          <w:tcPr>
            <w:tcW w:w="2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390</w:t>
            </w:r>
          </w:p>
        </w:tc>
        <w:tc>
          <w:tcPr>
            <w:tcW w:w="0" w:type="dxa"/>
            <w:vAlign w:val="bottom"/>
          </w:tcPr>
          <w:p>
            <w:pPr>
              <w:spacing w:after="0"/>
              <w:rPr>
                <w:sz w:val="1"/>
                <w:szCs w:val="1"/>
                <w:color w:val="auto"/>
              </w:rPr>
            </w:pPr>
          </w:p>
        </w:tc>
      </w:tr>
      <w:tr>
        <w:trPr>
          <w:trHeight w:val="120"/>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Magenta Buyer, LLC -Third out</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07/31/28</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90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11.63 %</w:t>
            </w:r>
          </w:p>
        </w:tc>
        <w:tc>
          <w:tcPr>
            <w:tcW w:w="92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SOFR+726</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2,109</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2,109</w:t>
            </w:r>
          </w:p>
        </w:tc>
        <w:tc>
          <w:tcPr>
            <w:tcW w:w="22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617</w:t>
            </w:r>
          </w:p>
        </w:tc>
        <w:tc>
          <w:tcPr>
            <w:tcW w:w="0" w:type="dxa"/>
            <w:vAlign w:val="bottom"/>
          </w:tcPr>
          <w:p>
            <w:pPr>
              <w:spacing w:after="0"/>
              <w:rPr>
                <w:sz w:val="1"/>
                <w:szCs w:val="1"/>
                <w:color w:val="auto"/>
              </w:rPr>
            </w:pPr>
          </w:p>
        </w:tc>
      </w:tr>
      <w:tr>
        <w:trPr>
          <w:trHeight w:val="12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04/16/27</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10.67 %</w:t>
            </w:r>
          </w:p>
        </w:tc>
        <w:tc>
          <w:tcPr>
            <w:tcW w:w="9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SOFR+585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8,330</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8,256</w:t>
            </w:r>
          </w:p>
        </w:tc>
        <w:tc>
          <w:tcPr>
            <w:tcW w:w="2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8,338</w:t>
            </w:r>
          </w:p>
        </w:tc>
        <w:tc>
          <w:tcPr>
            <w:tcW w:w="0" w:type="dxa"/>
            <w:vAlign w:val="bottom"/>
          </w:tcPr>
          <w:p>
            <w:pPr>
              <w:spacing w:after="0"/>
              <w:rPr>
                <w:sz w:val="1"/>
                <w:szCs w:val="1"/>
                <w:color w:val="auto"/>
              </w:rPr>
            </w:pPr>
          </w:p>
        </w:tc>
      </w:tr>
      <w:tr>
        <w:trPr>
          <w:trHeight w:val="120"/>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12/10/27</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10.50 %</w:t>
            </w:r>
          </w:p>
        </w:tc>
        <w:tc>
          <w:tcPr>
            <w:tcW w:w="92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SOFR+590</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2,923</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2,884</w:t>
            </w:r>
          </w:p>
        </w:tc>
        <w:tc>
          <w:tcPr>
            <w:tcW w:w="22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2,850</w:t>
            </w:r>
          </w:p>
        </w:tc>
        <w:tc>
          <w:tcPr>
            <w:tcW w:w="0" w:type="dxa"/>
            <w:vAlign w:val="bottom"/>
          </w:tcPr>
          <w:p>
            <w:pPr>
              <w:spacing w:after="0"/>
              <w:rPr>
                <w:sz w:val="1"/>
                <w:szCs w:val="1"/>
                <w:color w:val="auto"/>
              </w:rPr>
            </w:pPr>
          </w:p>
        </w:tc>
      </w:tr>
      <w:tr>
        <w:trPr>
          <w:trHeight w:val="12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Medina Health,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10/20/28</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10.85 %</w:t>
            </w:r>
          </w:p>
        </w:tc>
        <w:tc>
          <w:tcPr>
            <w:tcW w:w="9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SOFR+625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14,912</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14,765</w:t>
            </w:r>
          </w:p>
        </w:tc>
        <w:tc>
          <w:tcPr>
            <w:tcW w:w="2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14,912</w:t>
            </w:r>
          </w:p>
        </w:tc>
        <w:tc>
          <w:tcPr>
            <w:tcW w:w="0" w:type="dxa"/>
            <w:vAlign w:val="bottom"/>
          </w:tcPr>
          <w:p>
            <w:pPr>
              <w:spacing w:after="0"/>
              <w:rPr>
                <w:sz w:val="1"/>
                <w:szCs w:val="1"/>
                <w:color w:val="auto"/>
              </w:rPr>
            </w:pPr>
          </w:p>
        </w:tc>
      </w:tr>
      <w:tr>
        <w:trPr>
          <w:trHeight w:val="120"/>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Megawatt Acquisitionco, Inc.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03/01/30</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9.85 %</w:t>
            </w:r>
          </w:p>
        </w:tc>
        <w:tc>
          <w:tcPr>
            <w:tcW w:w="92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SOFR+525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7,960</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7,851</w:t>
            </w:r>
          </w:p>
        </w:tc>
        <w:tc>
          <w:tcPr>
            <w:tcW w:w="22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7,514</w:t>
            </w:r>
          </w:p>
        </w:tc>
        <w:tc>
          <w:tcPr>
            <w:tcW w:w="0" w:type="dxa"/>
            <w:vAlign w:val="bottom"/>
          </w:tcPr>
          <w:p>
            <w:pPr>
              <w:spacing w:after="0"/>
              <w:rPr>
                <w:sz w:val="1"/>
                <w:szCs w:val="1"/>
                <w:color w:val="auto"/>
              </w:rPr>
            </w:pPr>
          </w:p>
        </w:tc>
      </w:tr>
      <w:tr>
        <w:trPr>
          <w:trHeight w:val="12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MOREgroup Holdings,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01/16/30</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10.35 %</w:t>
            </w:r>
          </w:p>
        </w:tc>
        <w:tc>
          <w:tcPr>
            <w:tcW w:w="9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SOFR+575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12,450</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12,303</w:t>
            </w:r>
          </w:p>
        </w:tc>
        <w:tc>
          <w:tcPr>
            <w:tcW w:w="2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12,263</w:t>
            </w:r>
          </w:p>
        </w:tc>
        <w:tc>
          <w:tcPr>
            <w:tcW w:w="0" w:type="dxa"/>
            <w:vAlign w:val="bottom"/>
          </w:tcPr>
          <w:p>
            <w:pPr>
              <w:spacing w:after="0"/>
              <w:rPr>
                <w:sz w:val="1"/>
                <w:szCs w:val="1"/>
                <w:color w:val="auto"/>
              </w:rPr>
            </w:pPr>
          </w:p>
        </w:tc>
      </w:tr>
      <w:tr>
        <w:trPr>
          <w:trHeight w:val="120"/>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10/01/27</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0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9.77 %</w:t>
            </w:r>
          </w:p>
        </w:tc>
        <w:tc>
          <w:tcPr>
            <w:tcW w:w="92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SOFR+515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5,912</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5,822</w:t>
            </w:r>
          </w:p>
        </w:tc>
        <w:tc>
          <w:tcPr>
            <w:tcW w:w="22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5,912</w:t>
            </w:r>
          </w:p>
        </w:tc>
        <w:tc>
          <w:tcPr>
            <w:tcW w:w="0" w:type="dxa"/>
            <w:vAlign w:val="bottom"/>
          </w:tcPr>
          <w:p>
            <w:pPr>
              <w:spacing w:after="0"/>
              <w:rPr>
                <w:sz w:val="1"/>
                <w:szCs w:val="1"/>
                <w:color w:val="auto"/>
              </w:rPr>
            </w:pPr>
          </w:p>
        </w:tc>
      </w:tr>
      <w:tr>
        <w:trPr>
          <w:trHeight w:val="12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NBH Group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08/19/26</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11.19 %</w:t>
            </w:r>
          </w:p>
        </w:tc>
        <w:tc>
          <w:tcPr>
            <w:tcW w:w="9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SOFR+585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7,353</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7,311</w:t>
            </w:r>
          </w:p>
        </w:tc>
        <w:tc>
          <w:tcPr>
            <w:tcW w:w="2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7,133</w:t>
            </w:r>
          </w:p>
        </w:tc>
        <w:tc>
          <w:tcPr>
            <w:tcW w:w="0" w:type="dxa"/>
            <w:vAlign w:val="bottom"/>
          </w:tcPr>
          <w:p>
            <w:pPr>
              <w:spacing w:after="0"/>
              <w:rPr>
                <w:sz w:val="1"/>
                <w:szCs w:val="1"/>
                <w:color w:val="auto"/>
              </w:rPr>
            </w:pPr>
          </w:p>
        </w:tc>
      </w:tr>
      <w:tr>
        <w:trPr>
          <w:trHeight w:val="120"/>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NORA Acquisition,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08/31/29</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0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10.95 %</w:t>
            </w:r>
          </w:p>
        </w:tc>
        <w:tc>
          <w:tcPr>
            <w:tcW w:w="92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SOFR+635</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14,850</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14,597</w:t>
            </w:r>
          </w:p>
        </w:tc>
        <w:tc>
          <w:tcPr>
            <w:tcW w:w="22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14,850</w:t>
            </w:r>
          </w:p>
        </w:tc>
        <w:tc>
          <w:tcPr>
            <w:tcW w:w="0" w:type="dxa"/>
            <w:vAlign w:val="bottom"/>
          </w:tcPr>
          <w:p>
            <w:pPr>
              <w:spacing w:after="0"/>
              <w:rPr>
                <w:sz w:val="1"/>
                <w:szCs w:val="1"/>
                <w:color w:val="auto"/>
              </w:rPr>
            </w:pPr>
          </w:p>
        </w:tc>
      </w:tr>
      <w:tr>
        <w:trPr>
          <w:trHeight w:val="12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Omnia Exterior Solutions,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12/29/29</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Conglomerate Service</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10.01 %</w:t>
            </w:r>
          </w:p>
        </w:tc>
        <w:tc>
          <w:tcPr>
            <w:tcW w:w="9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SOFR+550</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9,768</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9,650</w:t>
            </w:r>
          </w:p>
        </w:tc>
        <w:tc>
          <w:tcPr>
            <w:tcW w:w="2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9,622</w:t>
            </w:r>
          </w:p>
        </w:tc>
        <w:tc>
          <w:tcPr>
            <w:tcW w:w="0" w:type="dxa"/>
            <w:vAlign w:val="bottom"/>
          </w:tcPr>
          <w:p>
            <w:pPr>
              <w:spacing w:after="0"/>
              <w:rPr>
                <w:sz w:val="1"/>
                <w:szCs w:val="1"/>
                <w:color w:val="auto"/>
              </w:rPr>
            </w:pPr>
          </w:p>
        </w:tc>
      </w:tr>
      <w:tr>
        <w:trPr>
          <w:trHeight w:val="120"/>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05/07/27</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90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11.21 %</w:t>
            </w:r>
          </w:p>
        </w:tc>
        <w:tc>
          <w:tcPr>
            <w:tcW w:w="92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SOFR+636</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8,380</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8,256</w:t>
            </w:r>
          </w:p>
        </w:tc>
        <w:tc>
          <w:tcPr>
            <w:tcW w:w="22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8,380</w:t>
            </w:r>
          </w:p>
        </w:tc>
        <w:tc>
          <w:tcPr>
            <w:tcW w:w="0" w:type="dxa"/>
            <w:vAlign w:val="bottom"/>
          </w:tcPr>
          <w:p>
            <w:pPr>
              <w:spacing w:after="0"/>
              <w:rPr>
                <w:sz w:val="1"/>
                <w:szCs w:val="1"/>
                <w:color w:val="auto"/>
              </w:rPr>
            </w:pPr>
          </w:p>
        </w:tc>
      </w:tr>
      <w:tr>
        <w:trPr>
          <w:trHeight w:val="12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02/04/28</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10.20 %</w:t>
            </w:r>
          </w:p>
        </w:tc>
        <w:tc>
          <w:tcPr>
            <w:tcW w:w="9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SOFR+535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3,893</w:t>
            </w:r>
          </w:p>
        </w:tc>
        <w:tc>
          <w:tcPr>
            <w:tcW w:w="22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3,811</w:t>
            </w:r>
          </w:p>
        </w:tc>
        <w:tc>
          <w:tcPr>
            <w:tcW w:w="2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3,825</w:t>
            </w:r>
          </w:p>
        </w:tc>
        <w:tc>
          <w:tcPr>
            <w:tcW w:w="0" w:type="dxa"/>
            <w:vAlign w:val="bottom"/>
          </w:tcPr>
          <w:p>
            <w:pPr>
              <w:spacing w:after="0"/>
              <w:rPr>
                <w:sz w:val="1"/>
                <w:szCs w:val="1"/>
                <w:color w:val="auto"/>
              </w:rPr>
            </w:pPr>
          </w:p>
        </w:tc>
      </w:tr>
      <w:tr>
        <w:trPr>
          <w:trHeight w:val="120"/>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Ox Two, LLC (New Issue)</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05/18/26</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0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0"/>
                <w:szCs w:val="10"/>
                <w:color w:val="auto"/>
              </w:rPr>
              <w:t>11.12 %</w:t>
            </w:r>
          </w:p>
        </w:tc>
        <w:tc>
          <w:tcPr>
            <w:tcW w:w="92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SOFR+651</w:t>
            </w:r>
          </w:p>
        </w:tc>
        <w:tc>
          <w:tcPr>
            <w:tcW w:w="8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9,340</w:t>
            </w:r>
          </w:p>
        </w:tc>
        <w:tc>
          <w:tcPr>
            <w:tcW w:w="22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9,307</w:t>
            </w:r>
          </w:p>
        </w:tc>
        <w:tc>
          <w:tcPr>
            <w:tcW w:w="220" w:type="dxa"/>
            <w:vAlign w:val="bottom"/>
            <w:shd w:val="clear" w:color="auto" w:fill="CCECFF"/>
          </w:tcPr>
          <w:p>
            <w:pPr>
              <w:spacing w:after="0"/>
              <w:rPr>
                <w:sz w:val="10"/>
                <w:szCs w:val="10"/>
                <w:color w:val="auto"/>
              </w:rPr>
            </w:pP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9,340</w:t>
            </w: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5" w:right="680" w:bottom="1440" w:gutter="0" w:footer="0" w:header="0"/>
        </w:sectPr>
      </w:pPr>
    </w:p>
    <w:bookmarkStart w:id="126" w:name="page127"/>
    <w:bookmarkEnd w:id="126"/>
    <w:p>
      <w:pPr>
        <w:spacing w:after="0" w:line="200" w:lineRule="exact"/>
        <w:rPr>
          <w:sz w:val="20"/>
          <w:szCs w:val="20"/>
          <w:color w:val="auto"/>
        </w:rPr>
      </w:pPr>
    </w:p>
    <w:p>
      <w:pPr>
        <w:spacing w:after="0" w:line="35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w:t>
      </w:r>
    </w:p>
    <w:p>
      <w:pPr>
        <w:jc w:val="center"/>
        <w:ind w:right="100"/>
        <w:spacing w:after="0" w:line="234" w:lineRule="auto"/>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60" w:type="dxa"/>
            <w:vAlign w:val="bottom"/>
          </w:tcPr>
          <w:p>
            <w:pPr>
              <w:jc w:val="right"/>
              <w:ind w:right="251"/>
              <w:spacing w:after="0" w:line="14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900" w:type="dxa"/>
            <w:vAlign w:val="bottom"/>
          </w:tcPr>
          <w:p>
            <w:pPr>
              <w:jc w:val="center"/>
              <w:ind w:right="10"/>
              <w:spacing w:after="0" w:line="145" w:lineRule="exact"/>
              <w:rPr>
                <w:sz w:val="20"/>
                <w:szCs w:val="20"/>
                <w:color w:val="auto"/>
              </w:rPr>
            </w:pPr>
            <w:r>
              <w:rPr>
                <w:rFonts w:ascii="Times New Roman" w:cs="Times New Roman" w:eastAsia="Times New Roman" w:hAnsi="Times New Roman"/>
                <w:sz w:val="13"/>
                <w:szCs w:val="13"/>
                <w:b w:val="1"/>
                <w:bCs w:val="1"/>
                <w:color w:val="auto"/>
              </w:rPr>
              <w:t>Above</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40" w:type="dxa"/>
            <w:vAlign w:val="bottom"/>
          </w:tcPr>
          <w:p>
            <w:pPr>
              <w:ind w:left="20"/>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Issuer Name </w:t>
            </w:r>
            <w:r>
              <w:rPr>
                <w:rFonts w:ascii="Times New Roman" w:cs="Times New Roman" w:eastAsia="Times New Roman" w:hAnsi="Times New Roman"/>
                <w:sz w:val="16"/>
                <w:szCs w:val="16"/>
                <w:b w:val="1"/>
                <w:bCs w:val="1"/>
                <w:color w:val="auto"/>
                <w:vertAlign w:val="superscript"/>
              </w:rPr>
              <w:t>3,4</w:t>
            </w:r>
          </w:p>
        </w:tc>
        <w:tc>
          <w:tcPr>
            <w:tcW w:w="960" w:type="dxa"/>
            <w:vAlign w:val="bottom"/>
          </w:tcPr>
          <w:p>
            <w:pPr>
              <w:jc w:val="center"/>
              <w:ind w:right="92"/>
              <w:spacing w:after="0"/>
              <w:rPr>
                <w:sz w:val="20"/>
                <w:szCs w:val="20"/>
                <w:color w:val="auto"/>
              </w:rPr>
            </w:pPr>
            <w:r>
              <w:rPr>
                <w:rFonts w:ascii="Times New Roman" w:cs="Times New Roman" w:eastAsia="Times New Roman" w:hAnsi="Times New Roman"/>
                <w:sz w:val="13"/>
                <w:szCs w:val="13"/>
                <w:b w:val="1"/>
                <w:bCs w:val="1"/>
                <w:color w:val="auto"/>
                <w:w w:val="98"/>
              </w:rPr>
              <w:t>Maturity</w:t>
            </w: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Industry</w:t>
            </w:r>
          </w:p>
        </w:tc>
        <w:tc>
          <w:tcPr>
            <w:tcW w:w="960" w:type="dxa"/>
            <w:vAlign w:val="bottom"/>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900" w:type="dxa"/>
            <w:vAlign w:val="bottom"/>
          </w:tcPr>
          <w:p>
            <w:pPr>
              <w:jc w:val="center"/>
              <w:ind w:right="50"/>
              <w:spacing w:after="0" w:line="181" w:lineRule="exact"/>
              <w:rPr>
                <w:sz w:val="20"/>
                <w:szCs w:val="20"/>
                <w:color w:val="auto"/>
              </w:rPr>
            </w:pPr>
            <w:r>
              <w:rPr>
                <w:rFonts w:ascii="Times New Roman" w:cs="Times New Roman" w:eastAsia="Times New Roman" w:hAnsi="Times New Roman"/>
                <w:sz w:val="13"/>
                <w:szCs w:val="13"/>
                <w:b w:val="1"/>
                <w:bCs w:val="1"/>
                <w:color w:val="auto"/>
                <w:w w:val="98"/>
              </w:rPr>
              <w:t xml:space="preserve">Index </w:t>
            </w:r>
            <w:r>
              <w:rPr>
                <w:rFonts w:ascii="Times New Roman" w:cs="Times New Roman" w:eastAsia="Times New Roman" w:hAnsi="Times New Roman"/>
                <w:sz w:val="16"/>
                <w:szCs w:val="16"/>
                <w:b w:val="1"/>
                <w:bCs w:val="1"/>
                <w:color w:val="auto"/>
                <w:w w:val="98"/>
                <w:vertAlign w:val="superscript"/>
              </w:rPr>
              <w:t>1</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3"/>
                <w:szCs w:val="13"/>
                <w:b w:val="1"/>
                <w:bCs w:val="1"/>
                <w:color w:val="auto"/>
              </w:rPr>
              <w:t>Par/Shares</w:t>
            </w:r>
          </w:p>
        </w:tc>
        <w:tc>
          <w:tcPr>
            <w:tcW w:w="120" w:type="dxa"/>
            <w:vAlign w:val="bottom"/>
          </w:tcPr>
          <w:p>
            <w:pPr>
              <w:spacing w:after="0"/>
              <w:rPr>
                <w:sz w:val="15"/>
                <w:szCs w:val="15"/>
                <w:color w:val="auto"/>
              </w:rPr>
            </w:pPr>
          </w:p>
        </w:tc>
        <w:tc>
          <w:tcPr>
            <w:tcW w:w="440" w:type="dxa"/>
            <w:vAlign w:val="bottom"/>
          </w:tcPr>
          <w:p>
            <w:pPr>
              <w:jc w:val="right"/>
              <w:ind w:right="92"/>
              <w:spacing w:after="0"/>
              <w:rPr>
                <w:sz w:val="20"/>
                <w:szCs w:val="20"/>
                <w:color w:val="auto"/>
              </w:rPr>
            </w:pPr>
            <w:r>
              <w:rPr>
                <w:rFonts w:ascii="Times New Roman" w:cs="Times New Roman" w:eastAsia="Times New Roman" w:hAnsi="Times New Roman"/>
                <w:sz w:val="13"/>
                <w:szCs w:val="13"/>
                <w:b w:val="1"/>
                <w:bCs w:val="1"/>
                <w:color w:val="auto"/>
              </w:rPr>
              <w:t>Cost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60"/>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Fair Value </w:t>
            </w:r>
            <w:r>
              <w:rPr>
                <w:rFonts w:ascii="Times New Roman" w:cs="Times New Roman" w:eastAsia="Times New Roman" w:hAnsi="Times New Roman"/>
                <w:sz w:val="16"/>
                <w:szCs w:val="16"/>
                <w:b w:val="1"/>
                <w:bCs w:val="1"/>
                <w:color w:val="auto"/>
                <w:vertAlign w:val="superscript"/>
              </w:rPr>
              <w:t>2</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Pacific Purchaser, LLC</w:t>
            </w:r>
          </w:p>
        </w:tc>
        <w:tc>
          <w:tcPr>
            <w:tcW w:w="96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10/02/28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11.51 %</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SOFR+600</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12,903</w:t>
            </w:r>
          </w:p>
        </w:tc>
        <w:tc>
          <w:tcPr>
            <w:tcW w:w="1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12,682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12,877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PCS Midco, Inc.</w:t>
            </w:r>
          </w:p>
        </w:tc>
        <w:tc>
          <w:tcPr>
            <w:tcW w:w="96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5"/>
              </w:rPr>
              <w:t>03/01/30</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96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10.81 %</w:t>
            </w:r>
          </w:p>
        </w:tc>
        <w:tc>
          <w:tcPr>
            <w:tcW w:w="90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SOFR+575</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5,812</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5,735</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5,812</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9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11.99%</w:t>
            </w:r>
          </w:p>
        </w:tc>
        <w:tc>
          <w:tcPr>
            <w:tcW w:w="9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96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11/09/27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Retail</w:t>
            </w:r>
          </w:p>
        </w:tc>
        <w:tc>
          <w:tcPr>
            <w:tcW w:w="9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(PIK 3.5%)</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SOFR+725</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8,193</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8,100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6,554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96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5"/>
              </w:rPr>
              <w:t>11/19/26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60" w:type="dxa"/>
            <w:vAlign w:val="bottom"/>
            <w:shd w:val="clear" w:color="auto" w:fill="CCECFF"/>
          </w:tcPr>
          <w:p>
            <w:pPr>
              <w:jc w:val="right"/>
              <w:ind w:right="51"/>
              <w:spacing w:after="0" w:line="156" w:lineRule="exact"/>
              <w:rPr>
                <w:sz w:val="20"/>
                <w:szCs w:val="20"/>
                <w:color w:val="auto"/>
              </w:rPr>
            </w:pPr>
            <w:r>
              <w:rPr>
                <w:rFonts w:ascii="Times New Roman" w:cs="Times New Roman" w:eastAsia="Times New Roman" w:hAnsi="Times New Roman"/>
                <w:sz w:val="9"/>
                <w:szCs w:val="9"/>
                <w:color w:val="auto"/>
              </w:rPr>
              <w:t xml:space="preserve">10.95 </w:t>
            </w:r>
            <w:r>
              <w:rPr>
                <w:rFonts w:ascii="Times New Roman" w:cs="Times New Roman" w:eastAsia="Times New Roman" w:hAnsi="Times New Roman"/>
                <w:sz w:val="18"/>
                <w:szCs w:val="18"/>
                <w:color w:val="auto"/>
                <w:vertAlign w:val="superscript"/>
              </w:rPr>
              <w:t>%</w:t>
            </w:r>
          </w:p>
        </w:tc>
        <w:tc>
          <w:tcPr>
            <w:tcW w:w="90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SOFR+635</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3,280</w:t>
            </w:r>
          </w:p>
        </w:tc>
        <w:tc>
          <w:tcPr>
            <w:tcW w:w="12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3,245</w:t>
            </w: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3,263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RTIC Subsidiary Holdings, LLC</w:t>
            </w:r>
          </w:p>
        </w:tc>
        <w:tc>
          <w:tcPr>
            <w:tcW w:w="96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05/03/29</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10.35 %</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SOFR+575</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19,950</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19,673</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19,551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Radius Aerospace, Inc.</w:t>
            </w:r>
          </w:p>
        </w:tc>
        <w:tc>
          <w:tcPr>
            <w:tcW w:w="96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5"/>
              </w:rPr>
              <w:t>03/31/25</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6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10.75 %</w:t>
            </w:r>
          </w:p>
        </w:tc>
        <w:tc>
          <w:tcPr>
            <w:tcW w:w="90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SOFR+575</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12,565</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12,543</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12,313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96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12/18/25</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10.85 %</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SOFR+560</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5,530</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5,530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96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5"/>
              </w:rPr>
              <w:t>04/28/28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96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25.00 %</w:t>
            </w:r>
          </w:p>
        </w:tc>
        <w:tc>
          <w:tcPr>
            <w:tcW w:w="90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SOFR+615</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4,937</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4,888</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3,703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96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01/29/26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11.75 %</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SOFR+715</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9,650</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9,592</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9,554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Riverpoint Medical, LLC</w:t>
            </w:r>
          </w:p>
        </w:tc>
        <w:tc>
          <w:tcPr>
            <w:tcW w:w="96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5"/>
              </w:rPr>
              <w:t>06/21/25</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9.85 %</w:t>
            </w:r>
          </w:p>
        </w:tc>
        <w:tc>
          <w:tcPr>
            <w:tcW w:w="90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SOFR+525</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3,932</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3,919</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3,936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96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06/16/29</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10.74 %</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SOFR+575</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4,336</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4,268</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4,282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S101 Holdings Inc.</w:t>
            </w:r>
          </w:p>
        </w:tc>
        <w:tc>
          <w:tcPr>
            <w:tcW w:w="96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5"/>
              </w:rPr>
              <w:t>12/29/26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96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11.48 %</w:t>
            </w:r>
          </w:p>
        </w:tc>
        <w:tc>
          <w:tcPr>
            <w:tcW w:w="90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SOFR+615</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6,467</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6,387</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6,402</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96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01/03/25</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10.80 %</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SOFR+620</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6,676</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6,668</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6,676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4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2060" w:type="dxa"/>
            <w:vAlign w:val="bottom"/>
            <w:shd w:val="clear" w:color="auto" w:fill="CCECFF"/>
          </w:tcPr>
          <w:p>
            <w:pPr>
              <w:spacing w:after="0"/>
              <w:rPr>
                <w:sz w:val="10"/>
                <w:szCs w:val="10"/>
                <w:color w:val="auto"/>
              </w:rPr>
            </w:pPr>
          </w:p>
        </w:tc>
        <w:tc>
          <w:tcPr>
            <w:tcW w:w="96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12.45%</w:t>
            </w:r>
          </w:p>
        </w:tc>
        <w:tc>
          <w:tcPr>
            <w:tcW w:w="90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96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5"/>
              </w:rPr>
              <w:t>12/20/24</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96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(PIK 1.00%)</w:t>
            </w:r>
          </w:p>
        </w:tc>
        <w:tc>
          <w:tcPr>
            <w:tcW w:w="90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SOFR+760</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4,634</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4,634</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4,634</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96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06/13/29</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10.75 %</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SOFR+615</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14,700</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14,510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14,186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96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5"/>
              </w:rPr>
              <w:t>12/18/27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6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11.50 %</w:t>
            </w:r>
          </w:p>
        </w:tc>
        <w:tc>
          <w:tcPr>
            <w:tcW w:w="90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SOFR+690</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14,621</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14,465</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14,475</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Simplicity Financial Marketing Group Holdings, Inc</w:t>
            </w:r>
          </w:p>
        </w:tc>
        <w:tc>
          <w:tcPr>
            <w:tcW w:w="96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12/02/26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Banking, Finance, Insurance &amp; Real Estate</w:t>
            </w: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11.38 %</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SOFR+640</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11,359</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11,207</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11,472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Skopima Consilio Parent, LLC</w:t>
            </w:r>
          </w:p>
        </w:tc>
        <w:tc>
          <w:tcPr>
            <w:tcW w:w="96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5"/>
              </w:rPr>
              <w:t>05/17/28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9.46 %</w:t>
            </w:r>
          </w:p>
        </w:tc>
        <w:tc>
          <w:tcPr>
            <w:tcW w:w="90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SOFR+461</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1,290</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1,269</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1,289</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Smartronix, LLC</w:t>
            </w:r>
          </w:p>
        </w:tc>
        <w:tc>
          <w:tcPr>
            <w:tcW w:w="96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11/23/28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10.35 %</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SOFR+610</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25,078</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24,798</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25,073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96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5"/>
              </w:rPr>
              <w:t>07/17/25</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Communications</w:t>
            </w:r>
          </w:p>
        </w:tc>
        <w:tc>
          <w:tcPr>
            <w:tcW w:w="96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12.40 %</w:t>
            </w:r>
          </w:p>
        </w:tc>
        <w:tc>
          <w:tcPr>
            <w:tcW w:w="90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SOFR+715</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9,239</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9,216</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9,239</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96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03/01/28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10.26 %</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SOFR+565</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9,510</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9,302</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96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5"/>
              </w:rPr>
              <w:t>11/24/28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9.31 %</w:t>
            </w:r>
          </w:p>
        </w:tc>
        <w:tc>
          <w:tcPr>
            <w:tcW w:w="90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SOFR+425</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3,554</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3,398</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3,305</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(f/k/a Management Consulting &amp;</w:t>
            </w:r>
          </w:p>
        </w:tc>
        <w:tc>
          <w:tcPr>
            <w:tcW w:w="9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Research, LLC)</w:t>
            </w:r>
          </w:p>
        </w:tc>
        <w:tc>
          <w:tcPr>
            <w:tcW w:w="96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08/16/27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10.26 %</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SOFR+500</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15,803</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15,600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15,772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TCG 3.0 Jogger Acquisitionco, Inc.</w:t>
            </w:r>
          </w:p>
        </w:tc>
        <w:tc>
          <w:tcPr>
            <w:tcW w:w="96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5"/>
              </w:rPr>
              <w:t>01/23/29</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11.10 %</w:t>
            </w:r>
          </w:p>
        </w:tc>
        <w:tc>
          <w:tcPr>
            <w:tcW w:w="90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SOFR+650</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9,950</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9,800</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9,851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TPC US Parent, LLC</w:t>
            </w:r>
          </w:p>
        </w:tc>
        <w:tc>
          <w:tcPr>
            <w:tcW w:w="96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11/24/25</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Food</w:t>
            </w: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10.98 %</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SOFR+565</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11,392</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11,330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11,392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96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5"/>
              </w:rPr>
              <w:t>06/06/25</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96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11.33 %</w:t>
            </w:r>
          </w:p>
        </w:tc>
        <w:tc>
          <w:tcPr>
            <w:tcW w:w="90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SOFR+640</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1,568</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1,567</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1,568</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96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11/24/28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9.95 %</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SOFR+510</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9,661</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9,462</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9,537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Teneo Holdings LLC</w:t>
            </w:r>
          </w:p>
        </w:tc>
        <w:tc>
          <w:tcPr>
            <w:tcW w:w="96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5"/>
              </w:rPr>
              <w:t>03/13/31</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9.60 %</w:t>
            </w:r>
          </w:p>
        </w:tc>
        <w:tc>
          <w:tcPr>
            <w:tcW w:w="90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SOFR+475</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2,985</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2,955</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2,994</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960" w:type="dxa"/>
            <w:vAlign w:val="bottom"/>
            <w:vMerge w:val="restart"/>
          </w:tcPr>
          <w:p>
            <w:pPr>
              <w:jc w:val="center"/>
              <w:ind w:right="92"/>
              <w:spacing w:after="0"/>
              <w:rPr>
                <w:sz w:val="20"/>
                <w:szCs w:val="20"/>
                <w:color w:val="auto"/>
              </w:rPr>
            </w:pPr>
            <w:r>
              <w:rPr>
                <w:rFonts w:ascii="Times New Roman" w:cs="Times New Roman" w:eastAsia="Times New Roman" w:hAnsi="Times New Roman"/>
                <w:sz w:val="10"/>
                <w:szCs w:val="10"/>
                <w:color w:val="auto"/>
                <w:w w:val="95"/>
              </w:rPr>
              <w:t>07/27/26</w:t>
            </w: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vMerge w:val="restart"/>
          </w:tcPr>
          <w:p>
            <w:pPr>
              <w:jc w:val="right"/>
              <w:ind w:right="51"/>
              <w:spacing w:after="0"/>
              <w:rPr>
                <w:sz w:val="20"/>
                <w:szCs w:val="20"/>
                <w:color w:val="auto"/>
              </w:rPr>
            </w:pPr>
            <w:r>
              <w:rPr>
                <w:rFonts w:ascii="Times New Roman" w:cs="Times New Roman" w:eastAsia="Times New Roman" w:hAnsi="Times New Roman"/>
                <w:sz w:val="10"/>
                <w:szCs w:val="10"/>
                <w:color w:val="auto"/>
              </w:rPr>
              <w:t>11.25 %</w:t>
            </w:r>
          </w:p>
        </w:tc>
        <w:tc>
          <w:tcPr>
            <w:tcW w:w="900" w:type="dxa"/>
            <w:vAlign w:val="bottom"/>
            <w:vMerge w:val="restart"/>
          </w:tcPr>
          <w:p>
            <w:pPr>
              <w:jc w:val="right"/>
              <w:ind w:right="70"/>
              <w:spacing w:after="0"/>
              <w:rPr>
                <w:sz w:val="20"/>
                <w:szCs w:val="20"/>
                <w:color w:val="auto"/>
              </w:rPr>
            </w:pPr>
            <w:r>
              <w:rPr>
                <w:rFonts w:ascii="Times New Roman" w:cs="Times New Roman" w:eastAsia="Times New Roman" w:hAnsi="Times New Roman"/>
                <w:sz w:val="10"/>
                <w:szCs w:val="10"/>
                <w:color w:val="auto"/>
              </w:rPr>
              <w:t>SOFR+665</w:t>
            </w:r>
          </w:p>
        </w:tc>
        <w:tc>
          <w:tcPr>
            <w:tcW w:w="980" w:type="dxa"/>
            <w:vAlign w:val="bottom"/>
            <w:vMerge w:val="restart"/>
          </w:tcPr>
          <w:p>
            <w:pPr>
              <w:jc w:val="right"/>
              <w:ind w:right="172"/>
              <w:spacing w:after="0"/>
              <w:rPr>
                <w:sz w:val="20"/>
                <w:szCs w:val="20"/>
                <w:color w:val="auto"/>
              </w:rPr>
            </w:pPr>
            <w:r>
              <w:rPr>
                <w:rFonts w:ascii="Times New Roman" w:cs="Times New Roman" w:eastAsia="Times New Roman" w:hAnsi="Times New Roman"/>
                <w:sz w:val="10"/>
                <w:szCs w:val="10"/>
                <w:color w:val="auto"/>
              </w:rPr>
              <w:t>14,445</w:t>
            </w:r>
          </w:p>
        </w:tc>
        <w:tc>
          <w:tcPr>
            <w:tcW w:w="12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14,404</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14,445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84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2060" w:type="dxa"/>
            <w:vAlign w:val="bottom"/>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96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5"/>
              </w:rPr>
              <w:t>08/31/27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10.99 %</w:t>
            </w:r>
          </w:p>
        </w:tc>
        <w:tc>
          <w:tcPr>
            <w:tcW w:w="90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SOFR+610</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7,611</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7,536</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7,611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Transgo, LLC</w:t>
            </w:r>
          </w:p>
        </w:tc>
        <w:tc>
          <w:tcPr>
            <w:tcW w:w="96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12/29/28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Auto Sector</w:t>
            </w: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10.60 %</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SOFR+575</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14,479</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14,282</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14,479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96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5"/>
              </w:rPr>
              <w:t>04/03/28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6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10.23 %</w:t>
            </w:r>
          </w:p>
        </w:tc>
        <w:tc>
          <w:tcPr>
            <w:tcW w:w="90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SOFR+490</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11,393</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11,306</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11,165</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96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06/15/26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11.46 %</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SOFR+550</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10,928</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10,836</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10,819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Watchtower Buyer, LLC</w:t>
            </w:r>
          </w:p>
        </w:tc>
        <w:tc>
          <w:tcPr>
            <w:tcW w:w="96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5"/>
              </w:rPr>
              <w:t>12/01/29</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6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10.60 %</w:t>
            </w:r>
          </w:p>
        </w:tc>
        <w:tc>
          <w:tcPr>
            <w:tcW w:w="90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SOFR+600</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13,942</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13,769</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13,803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96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5"/>
              </w:rPr>
              <w:t>02/27/27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10.60 %</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SOFR+575</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19,256</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19,126</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19,256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4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2060" w:type="dxa"/>
            <w:vAlign w:val="bottom"/>
            <w:shd w:val="clear" w:color="auto" w:fill="CCECFF"/>
          </w:tcPr>
          <w:p>
            <w:pPr>
              <w:spacing w:after="0"/>
              <w:rPr>
                <w:sz w:val="10"/>
                <w:szCs w:val="10"/>
                <w:color w:val="auto"/>
              </w:rPr>
            </w:pPr>
          </w:p>
        </w:tc>
        <w:tc>
          <w:tcPr>
            <w:tcW w:w="96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12.46%</w:t>
            </w:r>
          </w:p>
        </w:tc>
        <w:tc>
          <w:tcPr>
            <w:tcW w:w="90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96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5"/>
              </w:rPr>
              <w:t>12/31/24</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(PIK 1.5%)</w:t>
            </w:r>
          </w:p>
        </w:tc>
        <w:tc>
          <w:tcPr>
            <w:tcW w:w="90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SOFR+740</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19,687</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19,648</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18,801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960" w:type="dxa"/>
            <w:vAlign w:val="bottom"/>
            <w:shd w:val="clear" w:color="auto" w:fill="CCECFF"/>
          </w:tcPr>
          <w:p>
            <w:pPr>
              <w:spacing w:after="0"/>
              <w:rPr>
                <w:sz w:val="13"/>
                <w:szCs w:val="13"/>
                <w:color w:val="auto"/>
              </w:rPr>
            </w:pPr>
          </w:p>
        </w:tc>
        <w:tc>
          <w:tcPr>
            <w:tcW w:w="206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99"/>
              </w:rPr>
              <w:t>1,033,954</w:t>
            </w: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1,028,874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Equity Security - 2.1%</w:t>
            </w:r>
          </w:p>
        </w:tc>
        <w:tc>
          <w:tcPr>
            <w:tcW w:w="9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Dynata, LLC - Common Equity</w:t>
            </w:r>
          </w:p>
        </w:tc>
        <w:tc>
          <w:tcPr>
            <w:tcW w:w="96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134</w:t>
            </w:r>
          </w:p>
        </w:tc>
        <w:tc>
          <w:tcPr>
            <w:tcW w:w="12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2,351</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2,351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- 918.5%</w:t>
            </w:r>
          </w:p>
        </w:tc>
        <w:tc>
          <w:tcPr>
            <w:tcW w:w="960" w:type="dxa"/>
            <w:vAlign w:val="bottom"/>
            <w:shd w:val="clear" w:color="auto" w:fill="CCECFF"/>
          </w:tcPr>
          <w:p>
            <w:pPr>
              <w:spacing w:after="0"/>
              <w:rPr>
                <w:sz w:val="13"/>
                <w:szCs w:val="13"/>
                <w:color w:val="auto"/>
              </w:rPr>
            </w:pPr>
          </w:p>
        </w:tc>
        <w:tc>
          <w:tcPr>
            <w:tcW w:w="206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99"/>
              </w:rPr>
              <w:t>1,036,305</w:t>
            </w: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1,031,225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- 32.6%</w:t>
            </w:r>
          </w:p>
        </w:tc>
        <w:tc>
          <w:tcPr>
            <w:tcW w:w="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960" w:type="dxa"/>
            <w:vAlign w:val="bottom"/>
            <w:shd w:val="clear" w:color="auto" w:fill="CCECFF"/>
          </w:tcPr>
          <w:p>
            <w:pPr>
              <w:spacing w:after="0"/>
              <w:rPr>
                <w:sz w:val="13"/>
                <w:szCs w:val="13"/>
                <w:color w:val="auto"/>
              </w:rPr>
            </w:pPr>
          </w:p>
        </w:tc>
        <w:tc>
          <w:tcPr>
            <w:tcW w:w="206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36,595</w:t>
            </w: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36,595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36,595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36,595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40" w:type="dxa"/>
            <w:vAlign w:val="bottom"/>
            <w:tcBorders>
              <w:bottom w:val="single" w:sz="8" w:color="CCECFF"/>
            </w:tcBorders>
            <w:shd w:val="clear" w:color="auto" w:fill="CCEC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Total Investments and Cash Equivalents - 951.1)%</w:t>
            </w:r>
          </w:p>
        </w:tc>
        <w:tc>
          <w:tcPr>
            <w:tcW w:w="960" w:type="dxa"/>
            <w:vAlign w:val="bottom"/>
            <w:tcBorders>
              <w:bottom w:val="single" w:sz="8" w:color="CCECFF"/>
            </w:tcBorders>
            <w:shd w:val="clear" w:color="auto" w:fill="CCECFF"/>
          </w:tcPr>
          <w:p>
            <w:pPr>
              <w:spacing w:after="0"/>
              <w:rPr>
                <w:sz w:val="13"/>
                <w:szCs w:val="13"/>
                <w:color w:val="auto"/>
              </w:rPr>
            </w:pPr>
          </w:p>
        </w:tc>
        <w:tc>
          <w:tcPr>
            <w:tcW w:w="2060" w:type="dxa"/>
            <w:vAlign w:val="bottom"/>
            <w:tcBorders>
              <w:bottom w:val="single" w:sz="8" w:color="CCECFF"/>
            </w:tcBorders>
            <w:shd w:val="clear" w:color="auto" w:fill="CCECFF"/>
          </w:tcPr>
          <w:p>
            <w:pPr>
              <w:spacing w:after="0"/>
              <w:rPr>
                <w:sz w:val="13"/>
                <w:szCs w:val="13"/>
                <w:color w:val="auto"/>
              </w:rPr>
            </w:pPr>
          </w:p>
        </w:tc>
        <w:tc>
          <w:tcPr>
            <w:tcW w:w="960" w:type="dxa"/>
            <w:vAlign w:val="bottom"/>
            <w:tcBorders>
              <w:bottom w:val="single" w:sz="8" w:color="CCECFF"/>
            </w:tcBorders>
            <w:shd w:val="clear" w:color="auto" w:fill="CCECFF"/>
          </w:tcPr>
          <w:p>
            <w:pPr>
              <w:spacing w:after="0"/>
              <w:rPr>
                <w:sz w:val="13"/>
                <w:szCs w:val="13"/>
                <w:color w:val="auto"/>
              </w:rPr>
            </w:pPr>
          </w:p>
        </w:tc>
        <w:tc>
          <w:tcPr>
            <w:tcW w:w="900" w:type="dxa"/>
            <w:vAlign w:val="bottom"/>
            <w:tcBorders>
              <w:bottom w:val="single" w:sz="8" w:color="CCECFF"/>
            </w:tcBorders>
            <w:shd w:val="clear" w:color="auto" w:fill="CCECFF"/>
          </w:tcPr>
          <w:p>
            <w:pPr>
              <w:spacing w:after="0"/>
              <w:rPr>
                <w:sz w:val="13"/>
                <w:szCs w:val="13"/>
                <w:color w:val="auto"/>
              </w:rPr>
            </w:pPr>
          </w:p>
        </w:tc>
        <w:tc>
          <w:tcPr>
            <w:tcW w:w="98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99"/>
              </w:rPr>
              <w:t>1,072,900</w:t>
            </w:r>
          </w:p>
        </w:tc>
        <w:tc>
          <w:tcPr>
            <w:tcW w:w="22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1,067,820</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84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Liabilities in Excess of Other Assets — (851.1)%</w:t>
            </w:r>
          </w:p>
        </w:tc>
        <w:tc>
          <w:tcPr>
            <w:tcW w:w="9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(955,549 )</w:t>
            </w:r>
          </w:p>
        </w:tc>
        <w:tc>
          <w:tcPr>
            <w:tcW w:w="0" w:type="dxa"/>
            <w:vAlign w:val="bottom"/>
          </w:tcPr>
          <w:p>
            <w:pPr>
              <w:spacing w:after="0"/>
              <w:rPr>
                <w:sz w:val="1"/>
                <w:szCs w:val="1"/>
                <w:color w:val="auto"/>
              </w:rPr>
            </w:pPr>
          </w:p>
        </w:tc>
      </w:tr>
      <w:tr>
        <w:trPr>
          <w:trHeight w:val="160"/>
        </w:trPr>
        <w:tc>
          <w:tcPr>
            <w:tcW w:w="2840" w:type="dxa"/>
            <w:vAlign w:val="bottom"/>
            <w:shd w:val="clear" w:color="auto" w:fill="CCEC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Members' Equity—100.0%</w:t>
            </w:r>
          </w:p>
        </w:tc>
        <w:tc>
          <w:tcPr>
            <w:tcW w:w="960" w:type="dxa"/>
            <w:vAlign w:val="bottom"/>
            <w:shd w:val="clear" w:color="auto" w:fill="CCECFF"/>
          </w:tcPr>
          <w:p>
            <w:pPr>
              <w:spacing w:after="0"/>
              <w:rPr>
                <w:sz w:val="13"/>
                <w:szCs w:val="13"/>
                <w:color w:val="auto"/>
              </w:rPr>
            </w:pPr>
          </w:p>
        </w:tc>
        <w:tc>
          <w:tcPr>
            <w:tcW w:w="206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40" w:type="dxa"/>
            <w:vAlign w:val="bottom"/>
            <w:shd w:val="clear" w:color="auto" w:fill="CCECFF"/>
          </w:tcPr>
          <w:p>
            <w:pPr>
              <w:spacing w:after="0"/>
              <w:rPr>
                <w:sz w:val="13"/>
                <w:szCs w:val="13"/>
                <w:color w:val="auto"/>
              </w:rPr>
            </w:pPr>
          </w:p>
        </w:tc>
        <w:tc>
          <w:tcPr>
            <w:tcW w:w="3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112,271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840" w:type="dxa"/>
            <w:vAlign w:val="bottom"/>
            <w:tcBorders>
              <w:top w:val="single" w:sz="8" w:color="CCECFF"/>
            </w:tcBorders>
          </w:tcPr>
          <w:p>
            <w:pPr>
              <w:spacing w:after="0"/>
              <w:rPr>
                <w:sz w:val="11"/>
                <w:szCs w:val="11"/>
                <w:color w:val="auto"/>
              </w:rPr>
            </w:pPr>
          </w:p>
        </w:tc>
        <w:tc>
          <w:tcPr>
            <w:tcW w:w="960" w:type="dxa"/>
            <w:vAlign w:val="bottom"/>
            <w:tcBorders>
              <w:top w:val="single" w:sz="8" w:color="CCECFF"/>
            </w:tcBorders>
          </w:tcPr>
          <w:p>
            <w:pPr>
              <w:spacing w:after="0"/>
              <w:rPr>
                <w:sz w:val="11"/>
                <w:szCs w:val="11"/>
                <w:color w:val="auto"/>
              </w:rPr>
            </w:pPr>
          </w:p>
        </w:tc>
        <w:tc>
          <w:tcPr>
            <w:tcW w:w="2060" w:type="dxa"/>
            <w:vAlign w:val="bottom"/>
            <w:tcBorders>
              <w:top w:val="single" w:sz="8" w:color="CCECFF"/>
            </w:tcBorders>
          </w:tcPr>
          <w:p>
            <w:pPr>
              <w:spacing w:after="0"/>
              <w:rPr>
                <w:sz w:val="11"/>
                <w:szCs w:val="11"/>
                <w:color w:val="auto"/>
              </w:rPr>
            </w:pPr>
          </w:p>
        </w:tc>
        <w:tc>
          <w:tcPr>
            <w:tcW w:w="960" w:type="dxa"/>
            <w:vAlign w:val="bottom"/>
            <w:tcBorders>
              <w:top w:val="single" w:sz="8" w:color="CCECFF"/>
            </w:tcBorders>
          </w:tcPr>
          <w:p>
            <w:pPr>
              <w:spacing w:after="0"/>
              <w:rPr>
                <w:sz w:val="11"/>
                <w:szCs w:val="11"/>
                <w:color w:val="auto"/>
              </w:rPr>
            </w:pPr>
          </w:p>
        </w:tc>
        <w:tc>
          <w:tcPr>
            <w:tcW w:w="900" w:type="dxa"/>
            <w:vAlign w:val="bottom"/>
            <w:tcBorders>
              <w:top w:val="single" w:sz="8" w:color="CCECFF"/>
            </w:tcBorders>
          </w:tcPr>
          <w:p>
            <w:pPr>
              <w:spacing w:after="0"/>
              <w:rPr>
                <w:sz w:val="11"/>
                <w:szCs w:val="11"/>
                <w:color w:val="auto"/>
              </w:rPr>
            </w:pPr>
          </w:p>
        </w:tc>
        <w:tc>
          <w:tcPr>
            <w:tcW w:w="980" w:type="dxa"/>
            <w:vAlign w:val="bottom"/>
            <w:tcBorders>
              <w:top w:val="single" w:sz="8" w:color="CCECFF"/>
            </w:tcBorders>
          </w:tcPr>
          <w:p>
            <w:pPr>
              <w:spacing w:after="0"/>
              <w:rPr>
                <w:sz w:val="11"/>
                <w:szCs w:val="11"/>
                <w:color w:val="auto"/>
              </w:rPr>
            </w:pPr>
          </w:p>
        </w:tc>
        <w:tc>
          <w:tcPr>
            <w:tcW w:w="120" w:type="dxa"/>
            <w:vAlign w:val="bottom"/>
            <w:tcBorders>
              <w:top w:val="single" w:sz="8" w:color="CCECFF"/>
            </w:tcBorders>
          </w:tcPr>
          <w:p>
            <w:pPr>
              <w:spacing w:after="0"/>
              <w:rPr>
                <w:sz w:val="11"/>
                <w:szCs w:val="11"/>
                <w:color w:val="auto"/>
              </w:rPr>
            </w:pPr>
          </w:p>
        </w:tc>
        <w:tc>
          <w:tcPr>
            <w:tcW w:w="440" w:type="dxa"/>
            <w:vAlign w:val="bottom"/>
            <w:tcBorders>
              <w:top w:val="single" w:sz="8" w:color="CCECFF"/>
            </w:tcBorders>
          </w:tcPr>
          <w:p>
            <w:pPr>
              <w:spacing w:after="0"/>
              <w:rPr>
                <w:sz w:val="11"/>
                <w:szCs w:val="11"/>
                <w:color w:val="auto"/>
              </w:rPr>
            </w:pPr>
          </w:p>
        </w:tc>
        <w:tc>
          <w:tcPr>
            <w:tcW w:w="220" w:type="dxa"/>
            <w:vAlign w:val="bottom"/>
            <w:tcBorders>
              <w:top w:val="single" w:sz="8" w:color="CCEC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84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206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bl>
    <w:p>
      <w:pPr>
        <w:ind w:left="20" w:right="340" w:hanging="2"/>
        <w:spacing w:after="0" w:line="231" w:lineRule="auto"/>
        <w:tabs>
          <w:tab w:leader="none" w:pos="80" w:val="left"/>
        </w:tabs>
        <w:numPr>
          <w:ilvl w:val="0"/>
          <w:numId w:val="14"/>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Represents floating rate instruments that accrue interest at a predetermined spread relative to an index, typically the applicable Secured Overnight Financing Rate ("S" or "SOFR"). The spread may change based on the type of rate used. The terms in the Schedule of Investments disclose the actual interest rate in effect as of the reporting period. SOFR loans are typically indexed to a 30-day,</w:t>
      </w:r>
    </w:p>
    <w:p>
      <w:pPr>
        <w:ind w:left="40"/>
        <w:spacing w:after="0"/>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60-day, 90-day or 180-day SOFR rate (1M S, 2M S, 3M S, or 6M S, respectively), at the borrower’s option. All securities are subject to the SOFR floor where a spread is provided, unless noted. The spread provided includes PIK interest and other fee rates, if any.</w:t>
      </w:r>
    </w:p>
    <w:p>
      <w:pPr>
        <w:spacing w:after="0" w:line="5" w:lineRule="exact"/>
        <w:rPr>
          <w:rFonts w:ascii="Times New Roman" w:cs="Times New Roman" w:eastAsia="Times New Roman" w:hAnsi="Times New Roman"/>
          <w:sz w:val="12"/>
          <w:szCs w:val="12"/>
          <w:color w:val="auto"/>
          <w:vertAlign w:val="superscript"/>
        </w:rPr>
      </w:pPr>
    </w:p>
    <w:p>
      <w:pPr>
        <w:ind w:left="20"/>
        <w:spacing w:after="0" w:line="220" w:lineRule="auto"/>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2"/>
          <w:szCs w:val="12"/>
          <w:color w:val="auto"/>
          <w:vertAlign w:val="superscript"/>
        </w:rPr>
        <w:t>2</w:t>
      </w:r>
      <w:r>
        <w:rPr>
          <w:rFonts w:ascii="Times New Roman" w:cs="Times New Roman" w:eastAsia="Times New Roman" w:hAnsi="Times New Roman"/>
          <w:sz w:val="10"/>
          <w:szCs w:val="10"/>
          <w:color w:val="auto"/>
        </w:rPr>
        <w:t xml:space="preserve"> Valued based on PSLF's accounting policy .</w:t>
      </w:r>
    </w:p>
    <w:p>
      <w:pPr>
        <w:ind w:left="20"/>
        <w:spacing w:after="0" w:line="208" w:lineRule="auto"/>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2"/>
          <w:szCs w:val="12"/>
          <w:color w:val="auto"/>
          <w:vertAlign w:val="superscript"/>
        </w:rPr>
        <w:t>3</w:t>
      </w:r>
      <w:r>
        <w:rPr>
          <w:rFonts w:ascii="Times New Roman" w:cs="Times New Roman" w:eastAsia="Times New Roman" w:hAnsi="Times New Roman"/>
          <w:sz w:val="10"/>
          <w:szCs w:val="10"/>
          <w:color w:val="auto"/>
        </w:rPr>
        <w:t xml:space="preserve"> All investments are in US Companies unless noted otherwise</w:t>
      </w:r>
    </w:p>
    <w:p>
      <w:pPr>
        <w:ind w:left="20"/>
        <w:spacing w:after="0" w:line="227" w:lineRule="auto"/>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1"/>
          <w:szCs w:val="11"/>
          <w:color w:val="auto"/>
          <w:vertAlign w:val="superscript"/>
        </w:rPr>
        <w:t>4</w:t>
      </w:r>
      <w:r>
        <w:rPr>
          <w:rFonts w:ascii="Times New Roman" w:cs="Times New Roman" w:eastAsia="Times New Roman" w:hAnsi="Times New Roman"/>
          <w:sz w:val="9"/>
          <w:szCs w:val="9"/>
          <w:color w:val="auto"/>
        </w:rPr>
        <w:t xml:space="preserve"> The securities are, 1) pledged as collateral under the BNP Credit Facility and held through Funding I; or, 2) securing the 2034 Asset-Backed Debt and held through PennantPark CLO IV, LLC; or, 3) securing the 2035 Asset-Backed Debt held through PennantPark</w:t>
      </w:r>
    </w:p>
    <w:p>
      <w:pPr>
        <w:ind w:left="20"/>
        <w:spacing w:after="0" w:line="234" w:lineRule="auto"/>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CLO VII, LLC</w:t>
      </w: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7" w:name="page128"/>
    <w:bookmarkEnd w:id="127"/>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w:t>
      </w:r>
    </w:p>
    <w:p>
      <w:pPr>
        <w:jc w:val="center"/>
        <w:ind w:right="100"/>
        <w:spacing w:after="0" w:line="234" w:lineRule="auto"/>
        <w:rPr>
          <w:sz w:val="20"/>
          <w:szCs w:val="20"/>
          <w:color w:val="auto"/>
        </w:rPr>
      </w:pPr>
      <w:r>
        <w:rPr>
          <w:rFonts w:ascii="Times New Roman" w:cs="Times New Roman" w:eastAsia="Times New Roman" w:hAnsi="Times New Roman"/>
          <w:sz w:val="16"/>
          <w:szCs w:val="16"/>
          <w:b w:val="1"/>
          <w:bCs w:val="1"/>
          <w:color w:val="auto"/>
        </w:rPr>
        <w:t>September 30, 2023</w:t>
      </w:r>
    </w:p>
    <w:p>
      <w:pPr>
        <w:spacing w:after="0" w:line="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20" w:type="dxa"/>
            <w:vAlign w:val="bottom"/>
          </w:tcPr>
          <w:p>
            <w:pPr>
              <w:ind w:left="240"/>
              <w:spacing w:after="0" w:line="14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400" w:type="dxa"/>
            <w:vAlign w:val="bottom"/>
          </w:tcPr>
          <w:p>
            <w:pPr>
              <w:spacing w:after="0"/>
              <w:rPr>
                <w:sz w:val="12"/>
                <w:szCs w:val="12"/>
                <w:color w:val="auto"/>
              </w:rPr>
            </w:pPr>
          </w:p>
        </w:tc>
        <w:tc>
          <w:tcPr>
            <w:tcW w:w="840" w:type="dxa"/>
            <w:vAlign w:val="bottom"/>
          </w:tcPr>
          <w:p>
            <w:pPr>
              <w:jc w:val="center"/>
              <w:ind w:right="31"/>
              <w:spacing w:after="0" w:line="145" w:lineRule="exact"/>
              <w:rPr>
                <w:sz w:val="20"/>
                <w:szCs w:val="20"/>
                <w:color w:val="auto"/>
              </w:rPr>
            </w:pPr>
            <w:r>
              <w:rPr>
                <w:rFonts w:ascii="Times New Roman" w:cs="Times New Roman" w:eastAsia="Times New Roman" w:hAnsi="Times New Roman"/>
                <w:sz w:val="13"/>
                <w:szCs w:val="13"/>
                <w:b w:val="1"/>
                <w:bCs w:val="1"/>
                <w:color w:val="auto"/>
              </w:rPr>
              <w:t>Above</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840" w:type="dxa"/>
            <w:vAlign w:val="bottom"/>
          </w:tcPr>
          <w:p>
            <w:pPr>
              <w:ind w:left="20"/>
              <w:spacing w:after="0" w:line="179" w:lineRule="exact"/>
              <w:rPr>
                <w:sz w:val="20"/>
                <w:szCs w:val="20"/>
                <w:color w:val="auto"/>
              </w:rPr>
            </w:pPr>
            <w:r>
              <w:rPr>
                <w:rFonts w:ascii="Times New Roman" w:cs="Times New Roman" w:eastAsia="Times New Roman" w:hAnsi="Times New Roman"/>
                <w:sz w:val="13"/>
                <w:szCs w:val="13"/>
                <w:b w:val="1"/>
                <w:bCs w:val="1"/>
                <w:color w:val="auto"/>
              </w:rPr>
              <w:t xml:space="preserve">Issuer Name </w:t>
            </w:r>
            <w:r>
              <w:rPr>
                <w:rFonts w:ascii="Times New Roman" w:cs="Times New Roman" w:eastAsia="Times New Roman" w:hAnsi="Times New Roman"/>
                <w:sz w:val="16"/>
                <w:szCs w:val="16"/>
                <w:b w:val="1"/>
                <w:bCs w:val="1"/>
                <w:color w:val="auto"/>
                <w:vertAlign w:val="superscript"/>
              </w:rPr>
              <w:t>4,5</w:t>
            </w:r>
          </w:p>
        </w:tc>
        <w:tc>
          <w:tcPr>
            <w:tcW w:w="96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2240" w:type="dxa"/>
            <w:vAlign w:val="bottom"/>
          </w:tcPr>
          <w:p>
            <w:pPr>
              <w:ind w:left="840"/>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72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w w:val="95"/>
              </w:rPr>
              <w:t>Coupon</w:t>
            </w:r>
          </w:p>
        </w:tc>
        <w:tc>
          <w:tcPr>
            <w:tcW w:w="400" w:type="dxa"/>
            <w:vAlign w:val="bottom"/>
          </w:tcPr>
          <w:p>
            <w:pPr>
              <w:spacing w:after="0"/>
              <w:rPr>
                <w:sz w:val="15"/>
                <w:szCs w:val="15"/>
                <w:color w:val="auto"/>
              </w:rPr>
            </w:pPr>
          </w:p>
        </w:tc>
        <w:tc>
          <w:tcPr>
            <w:tcW w:w="840" w:type="dxa"/>
            <w:vAlign w:val="bottom"/>
          </w:tcPr>
          <w:p>
            <w:pPr>
              <w:jc w:val="center"/>
              <w:ind w:right="31"/>
              <w:spacing w:after="0" w:line="179" w:lineRule="exact"/>
              <w:rPr>
                <w:sz w:val="20"/>
                <w:szCs w:val="20"/>
                <w:color w:val="auto"/>
              </w:rPr>
            </w:pPr>
            <w:r>
              <w:rPr>
                <w:rFonts w:ascii="Times New Roman" w:cs="Times New Roman" w:eastAsia="Times New Roman" w:hAnsi="Times New Roman"/>
                <w:sz w:val="13"/>
                <w:szCs w:val="13"/>
                <w:b w:val="1"/>
                <w:bCs w:val="1"/>
                <w:color w:val="auto"/>
                <w:w w:val="98"/>
              </w:rPr>
              <w:t xml:space="preserve">Index </w:t>
            </w:r>
            <w:r>
              <w:rPr>
                <w:rFonts w:ascii="Times New Roman" w:cs="Times New Roman" w:eastAsia="Times New Roman" w:hAnsi="Times New Roman"/>
                <w:sz w:val="16"/>
                <w:szCs w:val="16"/>
                <w:b w:val="1"/>
                <w:bCs w:val="1"/>
                <w:color w:val="auto"/>
                <w:w w:val="98"/>
                <w:vertAlign w:val="superscript"/>
              </w:rPr>
              <w:t>1</w:t>
            </w:r>
          </w:p>
        </w:tc>
        <w:tc>
          <w:tcPr>
            <w:tcW w:w="620" w:type="dxa"/>
            <w:vAlign w:val="bottom"/>
          </w:tcPr>
          <w:p>
            <w:pPr>
              <w:jc w:val="right"/>
              <w:ind w:right="232"/>
              <w:spacing w:after="0"/>
              <w:rPr>
                <w:sz w:val="20"/>
                <w:szCs w:val="20"/>
                <w:color w:val="auto"/>
              </w:rPr>
            </w:pPr>
            <w:r>
              <w:rPr>
                <w:rFonts w:ascii="Times New Roman" w:cs="Times New Roman" w:eastAsia="Times New Roman" w:hAnsi="Times New Roman"/>
                <w:sz w:val="13"/>
                <w:szCs w:val="13"/>
                <w:b w:val="1"/>
                <w:bCs w:val="1"/>
                <w:color w:val="auto"/>
              </w:rPr>
              <w:t>Par</w:t>
            </w:r>
          </w:p>
        </w:tc>
        <w:tc>
          <w:tcPr>
            <w:tcW w:w="220" w:type="dxa"/>
            <w:vAlign w:val="bottom"/>
          </w:tcPr>
          <w:p>
            <w:pPr>
              <w:spacing w:after="0"/>
              <w:rPr>
                <w:sz w:val="15"/>
                <w:szCs w:val="15"/>
                <w:color w:val="auto"/>
              </w:rPr>
            </w:pPr>
          </w:p>
        </w:tc>
        <w:tc>
          <w:tcPr>
            <w:tcW w:w="540" w:type="dxa"/>
            <w:vAlign w:val="bottom"/>
          </w:tcPr>
          <w:p>
            <w:pPr>
              <w:jc w:val="right"/>
              <w:ind w:right="192"/>
              <w:spacing w:after="0"/>
              <w:rPr>
                <w:sz w:val="20"/>
                <w:szCs w:val="20"/>
                <w:color w:val="auto"/>
              </w:rPr>
            </w:pPr>
            <w:r>
              <w:rPr>
                <w:rFonts w:ascii="Times New Roman" w:cs="Times New Roman" w:eastAsia="Times New Roman" w:hAnsi="Times New Roman"/>
                <w:sz w:val="13"/>
                <w:szCs w:val="13"/>
                <w:b w:val="1"/>
                <w:bCs w:val="1"/>
                <w:color w:val="auto"/>
              </w:rPr>
              <w:t>Cost</w:t>
            </w:r>
          </w:p>
        </w:tc>
        <w:tc>
          <w:tcPr>
            <w:tcW w:w="220" w:type="dxa"/>
            <w:vAlign w:val="bottom"/>
          </w:tcPr>
          <w:p>
            <w:pPr>
              <w:spacing w:after="0"/>
              <w:rPr>
                <w:sz w:val="15"/>
                <w:szCs w:val="15"/>
                <w:color w:val="auto"/>
              </w:rPr>
            </w:pPr>
          </w:p>
        </w:tc>
        <w:tc>
          <w:tcPr>
            <w:tcW w:w="960" w:type="dxa"/>
            <w:vAlign w:val="bottom"/>
          </w:tcPr>
          <w:p>
            <w:pPr>
              <w:jc w:val="right"/>
              <w:ind w:right="192"/>
              <w:spacing w:after="0" w:line="179" w:lineRule="exact"/>
              <w:rPr>
                <w:sz w:val="20"/>
                <w:szCs w:val="20"/>
                <w:color w:val="auto"/>
              </w:rPr>
            </w:pPr>
            <w:r>
              <w:rPr>
                <w:rFonts w:ascii="Times New Roman" w:cs="Times New Roman" w:eastAsia="Times New Roman" w:hAnsi="Times New Roman"/>
                <w:sz w:val="13"/>
                <w:szCs w:val="13"/>
                <w:b w:val="1"/>
                <w:bCs w:val="1"/>
                <w:color w:val="auto"/>
              </w:rPr>
              <w:t xml:space="preserve">Fair Value </w:t>
            </w:r>
            <w:r>
              <w:rPr>
                <w:rFonts w:ascii="Times New Roman" w:cs="Times New Roman" w:eastAsia="Times New Roman" w:hAnsi="Times New Roman"/>
                <w:sz w:val="16"/>
                <w:szCs w:val="16"/>
                <w:b w:val="1"/>
                <w:bCs w:val="1"/>
                <w:color w:val="auto"/>
                <w:vertAlign w:val="superscript"/>
              </w:rPr>
              <w:t>2</w:t>
            </w:r>
          </w:p>
        </w:tc>
        <w:tc>
          <w:tcPr>
            <w:tcW w:w="0" w:type="dxa"/>
            <w:vAlign w:val="bottom"/>
          </w:tcPr>
          <w:p>
            <w:pPr>
              <w:spacing w:after="0"/>
              <w:rPr>
                <w:sz w:val="1"/>
                <w:szCs w:val="1"/>
                <w:color w:val="auto"/>
              </w:rPr>
            </w:pPr>
          </w:p>
        </w:tc>
      </w:tr>
      <w:tr>
        <w:trPr>
          <w:trHeight w:val="122"/>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- 783.7%</w:t>
            </w:r>
          </w:p>
        </w:tc>
        <w:tc>
          <w:tcPr>
            <w:tcW w:w="9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12/22/2028</w:t>
            </w:r>
          </w:p>
        </w:tc>
        <w:tc>
          <w:tcPr>
            <w:tcW w:w="22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7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11.84 %</w:t>
            </w:r>
          </w:p>
        </w:tc>
        <w:tc>
          <w:tcPr>
            <w:tcW w:w="84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SOFR+660</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14,925</w:t>
            </w:r>
          </w:p>
        </w:tc>
        <w:tc>
          <w:tcPr>
            <w:tcW w:w="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14,668</w:t>
            </w:r>
          </w:p>
        </w:tc>
        <w:tc>
          <w:tcPr>
            <w:tcW w:w="2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14,850</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9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5/7/2026</w:t>
            </w:r>
          </w:p>
        </w:tc>
        <w:tc>
          <w:tcPr>
            <w:tcW w:w="22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rPr>
              <w:t>Media</w:t>
            </w:r>
          </w:p>
        </w:tc>
        <w:tc>
          <w:tcPr>
            <w:tcW w:w="72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11.65 %</w:t>
            </w: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SOFR+600</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4,888</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4,888</w:t>
            </w:r>
          </w:p>
        </w:tc>
        <w:tc>
          <w:tcPr>
            <w:tcW w:w="22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4,863</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11/30/2026</w:t>
            </w:r>
          </w:p>
        </w:tc>
        <w:tc>
          <w:tcPr>
            <w:tcW w:w="22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Containers, Packaging and Glass</w:t>
            </w:r>
          </w:p>
        </w:tc>
        <w:tc>
          <w:tcPr>
            <w:tcW w:w="7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11.26 %</w:t>
            </w:r>
          </w:p>
        </w:tc>
        <w:tc>
          <w:tcPr>
            <w:tcW w:w="84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SOFR+600</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14,837</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14,528</w:t>
            </w:r>
          </w:p>
        </w:tc>
        <w:tc>
          <w:tcPr>
            <w:tcW w:w="220" w:type="dxa"/>
            <w:vAlign w:val="bottom"/>
            <w:shd w:val="clear" w:color="auto" w:fill="CCECFF"/>
          </w:tcPr>
          <w:p>
            <w:pPr>
              <w:spacing w:after="0"/>
              <w:rPr>
                <w:sz w:val="10"/>
                <w:szCs w:val="10"/>
                <w:color w:val="auto"/>
              </w:rPr>
            </w:pP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14,244</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Amsive Holding Corporation (f/k/a Vision Purchaser Corporation)</w:t>
            </w:r>
          </w:p>
        </w:tc>
        <w:tc>
          <w:tcPr>
            <w:tcW w:w="9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3"/>
              </w:rPr>
              <w:t>6/10/2025</w:t>
            </w:r>
          </w:p>
        </w:tc>
        <w:tc>
          <w:tcPr>
            <w:tcW w:w="22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rPr>
              <w:t>Media</w:t>
            </w:r>
          </w:p>
        </w:tc>
        <w:tc>
          <w:tcPr>
            <w:tcW w:w="72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11.79 %</w:t>
            </w: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SOFR+640</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13,958</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13,869</w:t>
            </w:r>
          </w:p>
        </w:tc>
        <w:tc>
          <w:tcPr>
            <w:tcW w:w="22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13,749</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9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3"/>
              </w:rPr>
              <w:t>5/23/2024</w:t>
            </w:r>
          </w:p>
        </w:tc>
        <w:tc>
          <w:tcPr>
            <w:tcW w:w="22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rPr>
              <w:t>Media</w:t>
            </w:r>
          </w:p>
        </w:tc>
        <w:tc>
          <w:tcPr>
            <w:tcW w:w="7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12.04 %</w:t>
            </w:r>
          </w:p>
        </w:tc>
        <w:tc>
          <w:tcPr>
            <w:tcW w:w="84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SOFR+665</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14,354</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14,319</w:t>
            </w:r>
          </w:p>
        </w:tc>
        <w:tc>
          <w:tcPr>
            <w:tcW w:w="220" w:type="dxa"/>
            <w:vAlign w:val="bottom"/>
            <w:shd w:val="clear" w:color="auto" w:fill="CCECFF"/>
          </w:tcPr>
          <w:p>
            <w:pPr>
              <w:spacing w:after="0"/>
              <w:rPr>
                <w:sz w:val="10"/>
                <w:szCs w:val="10"/>
                <w:color w:val="auto"/>
              </w:rPr>
            </w:pP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14,103</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Any Hour Services</w:t>
            </w:r>
          </w:p>
        </w:tc>
        <w:tc>
          <w:tcPr>
            <w:tcW w:w="9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3"/>
              </w:rPr>
              <w:t>7/21/2027</w:t>
            </w:r>
          </w:p>
        </w:tc>
        <w:tc>
          <w:tcPr>
            <w:tcW w:w="22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72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11.22 %</w:t>
            </w: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SOFR+585</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10,882</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10,847</w:t>
            </w:r>
          </w:p>
        </w:tc>
        <w:tc>
          <w:tcPr>
            <w:tcW w:w="22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10,665</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w:t>
            </w:r>
          </w:p>
        </w:tc>
        <w:tc>
          <w:tcPr>
            <w:tcW w:w="9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3"/>
              </w:rPr>
              <w:t>7/31/2025</w:t>
            </w:r>
          </w:p>
        </w:tc>
        <w:tc>
          <w:tcPr>
            <w:tcW w:w="22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7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10.52 %</w:t>
            </w:r>
          </w:p>
        </w:tc>
        <w:tc>
          <w:tcPr>
            <w:tcW w:w="84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SOFR+525</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6,424</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6,380</w:t>
            </w:r>
          </w:p>
        </w:tc>
        <w:tc>
          <w:tcPr>
            <w:tcW w:w="220" w:type="dxa"/>
            <w:vAlign w:val="bottom"/>
            <w:shd w:val="clear" w:color="auto" w:fill="CCECFF"/>
          </w:tcPr>
          <w:p>
            <w:pPr>
              <w:spacing w:after="0"/>
              <w:rPr>
                <w:sz w:val="10"/>
                <w:szCs w:val="10"/>
                <w:color w:val="auto"/>
              </w:rPr>
            </w:pP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6,408</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 Term Loan B</w:t>
            </w:r>
          </w:p>
        </w:tc>
        <w:tc>
          <w:tcPr>
            <w:tcW w:w="9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3"/>
              </w:rPr>
              <w:t>7/31/2025</w:t>
            </w:r>
          </w:p>
        </w:tc>
        <w:tc>
          <w:tcPr>
            <w:tcW w:w="22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72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11.11 %</w:t>
            </w: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SOFR+550</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3,316</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3,299</w:t>
            </w:r>
          </w:p>
        </w:tc>
        <w:tc>
          <w:tcPr>
            <w:tcW w:w="22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3,308</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 - Term Loan C</w:t>
            </w:r>
          </w:p>
        </w:tc>
        <w:tc>
          <w:tcPr>
            <w:tcW w:w="9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3"/>
              </w:rPr>
              <w:t>7/31/2025</w:t>
            </w:r>
          </w:p>
        </w:tc>
        <w:tc>
          <w:tcPr>
            <w:tcW w:w="22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7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10.76 %</w:t>
            </w:r>
          </w:p>
        </w:tc>
        <w:tc>
          <w:tcPr>
            <w:tcW w:w="84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SOFR+525</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7,531</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7,531</w:t>
            </w:r>
          </w:p>
        </w:tc>
        <w:tc>
          <w:tcPr>
            <w:tcW w:w="220" w:type="dxa"/>
            <w:vAlign w:val="bottom"/>
            <w:shd w:val="clear" w:color="auto" w:fill="CCECFF"/>
          </w:tcPr>
          <w:p>
            <w:pPr>
              <w:spacing w:after="0"/>
              <w:rPr>
                <w:sz w:val="10"/>
                <w:szCs w:val="10"/>
                <w:color w:val="auto"/>
              </w:rPr>
            </w:pP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7,512</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12/29/2026</w:t>
            </w:r>
          </w:p>
        </w:tc>
        <w:tc>
          <w:tcPr>
            <w:tcW w:w="22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72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11.51 %</w:t>
            </w: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SOFR+615</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11,394</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11,271</w:t>
            </w:r>
          </w:p>
        </w:tc>
        <w:tc>
          <w:tcPr>
            <w:tcW w:w="22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11,166</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Applied Technical Services, LLC - Unfunded Term Loan </w:t>
            </w:r>
            <w:r>
              <w:rPr>
                <w:rFonts w:ascii="Times New Roman" w:cs="Times New Roman" w:eastAsia="Times New Roman" w:hAnsi="Times New Roman"/>
                <w:sz w:val="12"/>
                <w:szCs w:val="12"/>
                <w:color w:val="auto"/>
                <w:vertAlign w:val="superscript"/>
              </w:rPr>
              <w:t>(3)</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12/29/2026</w:t>
            </w:r>
          </w:p>
        </w:tc>
        <w:tc>
          <w:tcPr>
            <w:tcW w:w="22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720" w:type="dxa"/>
            <w:vAlign w:val="bottom"/>
            <w:shd w:val="clear" w:color="auto" w:fill="CCECFF"/>
          </w:tcPr>
          <w:p>
            <w:pPr>
              <w:spacing w:after="0"/>
              <w:rPr>
                <w:sz w:val="10"/>
                <w:szCs w:val="10"/>
                <w:color w:val="auto"/>
              </w:rPr>
            </w:pPr>
          </w:p>
        </w:tc>
        <w:tc>
          <w:tcPr>
            <w:tcW w:w="40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513</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CFF"/>
          </w:tcPr>
          <w:p>
            <w:pPr>
              <w:spacing w:after="0"/>
              <w:rPr>
                <w:sz w:val="10"/>
                <w:szCs w:val="10"/>
                <w:color w:val="auto"/>
              </w:rPr>
            </w:pPr>
          </w:p>
        </w:tc>
        <w:tc>
          <w:tcPr>
            <w:tcW w:w="9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9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8/3/2029</w:t>
            </w:r>
          </w:p>
        </w:tc>
        <w:tc>
          <w:tcPr>
            <w:tcW w:w="22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2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11.62 %</w:t>
            </w: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SOFR+625</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11,820</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11,642</w:t>
            </w:r>
          </w:p>
        </w:tc>
        <w:tc>
          <w:tcPr>
            <w:tcW w:w="22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11,702</w:t>
            </w:r>
          </w:p>
        </w:tc>
        <w:tc>
          <w:tcPr>
            <w:tcW w:w="0" w:type="dxa"/>
            <w:vAlign w:val="bottom"/>
          </w:tcPr>
          <w:p>
            <w:pPr>
              <w:spacing w:after="0"/>
              <w:rPr>
                <w:sz w:val="1"/>
                <w:szCs w:val="1"/>
                <w:color w:val="auto"/>
              </w:rPr>
            </w:pPr>
          </w:p>
        </w:tc>
      </w:tr>
      <w:tr>
        <w:trPr>
          <w:trHeight w:val="204"/>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9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5"/>
              </w:rPr>
              <w:t>7/1/2029</w:t>
            </w:r>
          </w:p>
        </w:tc>
        <w:tc>
          <w:tcPr>
            <w:tcW w:w="22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20" w:type="dxa"/>
            <w:vAlign w:val="bottom"/>
            <w:shd w:val="clear" w:color="auto" w:fill="CCECFF"/>
          </w:tcPr>
          <w:p>
            <w:pPr>
              <w:spacing w:after="0"/>
              <w:rPr>
                <w:sz w:val="17"/>
                <w:szCs w:val="17"/>
                <w:color w:val="auto"/>
              </w:rPr>
            </w:pPr>
          </w:p>
        </w:tc>
        <w:tc>
          <w:tcPr>
            <w:tcW w:w="400" w:type="dxa"/>
            <w:vAlign w:val="bottom"/>
            <w:shd w:val="clear" w:color="auto" w:fill="CCECFF"/>
          </w:tcPr>
          <w:p>
            <w:pPr>
              <w:jc w:val="right"/>
              <w:ind w:right="12"/>
              <w:spacing w:after="0" w:line="204" w:lineRule="exact"/>
              <w:rPr>
                <w:sz w:val="20"/>
                <w:szCs w:val="20"/>
                <w:color w:val="auto"/>
              </w:rPr>
            </w:pPr>
            <w:r>
              <w:rPr>
                <w:rFonts w:ascii="Times New Roman" w:cs="Times New Roman" w:eastAsia="Times New Roman" w:hAnsi="Times New Roman"/>
                <w:sz w:val="10"/>
                <w:szCs w:val="10"/>
                <w:color w:val="auto"/>
                <w:w w:val="89"/>
              </w:rPr>
              <w:t xml:space="preserve">11.14 </w:t>
            </w:r>
            <w:r>
              <w:rPr>
                <w:rFonts w:ascii="Times New Roman" w:cs="Times New Roman" w:eastAsia="Times New Roman" w:hAnsi="Times New Roman"/>
                <w:sz w:val="19"/>
                <w:szCs w:val="19"/>
                <w:color w:val="auto"/>
                <w:w w:val="89"/>
                <w:vertAlign w:val="subscript"/>
              </w:rPr>
              <w:t>%</w:t>
            </w:r>
          </w:p>
        </w:tc>
        <w:tc>
          <w:tcPr>
            <w:tcW w:w="84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SOFR+575</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14,850</w:t>
            </w:r>
          </w:p>
        </w:tc>
        <w:tc>
          <w:tcPr>
            <w:tcW w:w="220" w:type="dxa"/>
            <w:vAlign w:val="bottom"/>
            <w:shd w:val="clear" w:color="auto" w:fill="CCECFF"/>
          </w:tcPr>
          <w:p>
            <w:pPr>
              <w:spacing w:after="0"/>
              <w:rPr>
                <w:sz w:val="17"/>
                <w:szCs w:val="17"/>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14,604</w:t>
            </w:r>
          </w:p>
        </w:tc>
        <w:tc>
          <w:tcPr>
            <w:tcW w:w="220" w:type="dxa"/>
            <w:vAlign w:val="bottom"/>
            <w:shd w:val="clear" w:color="auto" w:fill="CCECFF"/>
          </w:tcPr>
          <w:p>
            <w:pPr>
              <w:spacing w:after="0"/>
              <w:rPr>
                <w:sz w:val="17"/>
                <w:szCs w:val="17"/>
                <w:color w:val="auto"/>
              </w:rPr>
            </w:pP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13,811</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9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3"/>
              </w:rPr>
              <w:t>1/31/2028</w:t>
            </w:r>
          </w:p>
        </w:tc>
        <w:tc>
          <w:tcPr>
            <w:tcW w:w="22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72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11.83 %</w:t>
            </w: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SOFR+650</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8,978</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8,874</w:t>
            </w:r>
          </w:p>
        </w:tc>
        <w:tc>
          <w:tcPr>
            <w:tcW w:w="22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8,933</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9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3"/>
              </w:rPr>
              <w:t>9/17/2024</w:t>
            </w:r>
          </w:p>
        </w:tc>
        <w:tc>
          <w:tcPr>
            <w:tcW w:w="22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Distribution</w:t>
            </w:r>
          </w:p>
        </w:tc>
        <w:tc>
          <w:tcPr>
            <w:tcW w:w="7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11.79 %</w:t>
            </w:r>
          </w:p>
        </w:tc>
        <w:tc>
          <w:tcPr>
            <w:tcW w:w="84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SOFR+640</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17,823</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17,588</w:t>
            </w:r>
          </w:p>
        </w:tc>
        <w:tc>
          <w:tcPr>
            <w:tcW w:w="220" w:type="dxa"/>
            <w:vAlign w:val="bottom"/>
            <w:shd w:val="clear" w:color="auto" w:fill="CCECFF"/>
          </w:tcPr>
          <w:p>
            <w:pPr>
              <w:spacing w:after="0"/>
              <w:rPr>
                <w:sz w:val="10"/>
                <w:szCs w:val="10"/>
                <w:color w:val="auto"/>
              </w:rPr>
            </w:pP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17,556</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9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3"/>
              </w:rPr>
              <w:t>12/4/2025</w:t>
            </w:r>
          </w:p>
        </w:tc>
        <w:tc>
          <w:tcPr>
            <w:tcW w:w="22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72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11.50 %</w:t>
            </w: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SOFR+626</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9,683</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9,683</w:t>
            </w:r>
          </w:p>
        </w:tc>
        <w:tc>
          <w:tcPr>
            <w:tcW w:w="22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9,683</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9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3"/>
              </w:rPr>
              <w:t>9/26/2029</w:t>
            </w:r>
          </w:p>
        </w:tc>
        <w:tc>
          <w:tcPr>
            <w:tcW w:w="22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Auto Sector</w:t>
            </w:r>
          </w:p>
        </w:tc>
        <w:tc>
          <w:tcPr>
            <w:tcW w:w="7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10.67 %</w:t>
            </w:r>
          </w:p>
        </w:tc>
        <w:tc>
          <w:tcPr>
            <w:tcW w:w="84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SOFR+532</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893</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836</w:t>
            </w:r>
          </w:p>
        </w:tc>
        <w:tc>
          <w:tcPr>
            <w:tcW w:w="220" w:type="dxa"/>
            <w:vAlign w:val="bottom"/>
            <w:shd w:val="clear" w:color="auto" w:fill="CCECFF"/>
          </w:tcPr>
          <w:p>
            <w:pPr>
              <w:spacing w:after="0"/>
              <w:rPr>
                <w:sz w:val="10"/>
                <w:szCs w:val="10"/>
                <w:color w:val="auto"/>
              </w:rPr>
            </w:pP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841</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9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3"/>
              </w:rPr>
              <w:t>6/14/2028</w:t>
            </w:r>
          </w:p>
        </w:tc>
        <w:tc>
          <w:tcPr>
            <w:tcW w:w="22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Distribution</w:t>
            </w:r>
          </w:p>
        </w:tc>
        <w:tc>
          <w:tcPr>
            <w:tcW w:w="72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11.39 %</w:t>
            </w: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SOFR+600</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17,281</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17,013</w:t>
            </w:r>
          </w:p>
        </w:tc>
        <w:tc>
          <w:tcPr>
            <w:tcW w:w="22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17,281</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9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3"/>
              </w:rPr>
              <w:t>8/20/2026</w:t>
            </w:r>
          </w:p>
        </w:tc>
        <w:tc>
          <w:tcPr>
            <w:tcW w:w="22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rPr>
              <w:t>Media</w:t>
            </w:r>
          </w:p>
        </w:tc>
        <w:tc>
          <w:tcPr>
            <w:tcW w:w="7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11.60 %</w:t>
            </w:r>
          </w:p>
        </w:tc>
        <w:tc>
          <w:tcPr>
            <w:tcW w:w="84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SOFR+600</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2,921</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2,901</w:t>
            </w:r>
          </w:p>
        </w:tc>
        <w:tc>
          <w:tcPr>
            <w:tcW w:w="220" w:type="dxa"/>
            <w:vAlign w:val="bottom"/>
            <w:shd w:val="clear" w:color="auto" w:fill="CCECFF"/>
          </w:tcPr>
          <w:p>
            <w:pPr>
              <w:spacing w:after="0"/>
              <w:rPr>
                <w:sz w:val="10"/>
                <w:szCs w:val="10"/>
                <w:color w:val="auto"/>
              </w:rPr>
            </w:pP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2,862</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9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3"/>
              </w:rPr>
              <w:t>7/13/2027</w:t>
            </w:r>
          </w:p>
        </w:tc>
        <w:tc>
          <w:tcPr>
            <w:tcW w:w="22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rPr>
              <w:t>Media</w:t>
            </w:r>
          </w:p>
        </w:tc>
        <w:tc>
          <w:tcPr>
            <w:tcW w:w="72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11.16 %</w:t>
            </w: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SOFR+550</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8,808</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8,792</w:t>
            </w:r>
          </w:p>
        </w:tc>
        <w:tc>
          <w:tcPr>
            <w:tcW w:w="22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8,500</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9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3"/>
              </w:rPr>
              <w:t>8/16/2027</w:t>
            </w:r>
          </w:p>
        </w:tc>
        <w:tc>
          <w:tcPr>
            <w:tcW w:w="22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7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10.90 %</w:t>
            </w:r>
          </w:p>
        </w:tc>
        <w:tc>
          <w:tcPr>
            <w:tcW w:w="84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SOFR+551</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2,575</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2,550</w:t>
            </w:r>
          </w:p>
        </w:tc>
        <w:tc>
          <w:tcPr>
            <w:tcW w:w="220" w:type="dxa"/>
            <w:vAlign w:val="bottom"/>
            <w:shd w:val="clear" w:color="auto" w:fill="CCECFF"/>
          </w:tcPr>
          <w:p>
            <w:pPr>
              <w:spacing w:after="0"/>
              <w:rPr>
                <w:sz w:val="10"/>
                <w:szCs w:val="10"/>
                <w:color w:val="auto"/>
              </w:rPr>
            </w:pP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2,562</w:t>
            </w:r>
          </w:p>
        </w:tc>
        <w:tc>
          <w:tcPr>
            <w:tcW w:w="0" w:type="dxa"/>
            <w:vAlign w:val="bottom"/>
          </w:tcPr>
          <w:p>
            <w:pPr>
              <w:spacing w:after="0"/>
              <w:rPr>
                <w:sz w:val="1"/>
                <w:szCs w:val="1"/>
                <w:color w:val="auto"/>
              </w:rPr>
            </w:pPr>
          </w:p>
        </w:tc>
      </w:tr>
      <w:tr>
        <w:trPr>
          <w:trHeight w:val="124"/>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960" w:type="dxa"/>
            <w:vAlign w:val="bottom"/>
            <w:vMerge w:val="restart"/>
          </w:tcPr>
          <w:p>
            <w:pPr>
              <w:jc w:val="center"/>
              <w:ind w:left="12"/>
              <w:spacing w:after="0"/>
              <w:rPr>
                <w:sz w:val="20"/>
                <w:szCs w:val="20"/>
                <w:color w:val="auto"/>
              </w:rPr>
            </w:pPr>
            <w:r>
              <w:rPr>
                <w:rFonts w:ascii="Times New Roman" w:cs="Times New Roman" w:eastAsia="Times New Roman" w:hAnsi="Times New Roman"/>
                <w:sz w:val="10"/>
                <w:szCs w:val="10"/>
                <w:color w:val="auto"/>
                <w:w w:val="93"/>
              </w:rPr>
              <w:t>8/31/2027</w:t>
            </w:r>
          </w:p>
        </w:tc>
        <w:tc>
          <w:tcPr>
            <w:tcW w:w="2240" w:type="dxa"/>
            <w:vAlign w:val="bottom"/>
            <w:vMerge w:val="restart"/>
          </w:tcPr>
          <w:p>
            <w:pPr>
              <w:jc w:val="center"/>
              <w:ind w:right="32"/>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720" w:type="dxa"/>
            <w:vAlign w:val="bottom"/>
          </w:tcPr>
          <w:p>
            <w:pPr>
              <w:spacing w:after="0"/>
              <w:rPr>
                <w:sz w:val="10"/>
                <w:szCs w:val="10"/>
                <w:color w:val="auto"/>
              </w:rPr>
            </w:pPr>
          </w:p>
        </w:tc>
        <w:tc>
          <w:tcPr>
            <w:tcW w:w="400" w:type="dxa"/>
            <w:vAlign w:val="bottom"/>
            <w:vMerge w:val="restart"/>
          </w:tcPr>
          <w:p>
            <w:pPr>
              <w:jc w:val="right"/>
              <w:ind w:right="12"/>
              <w:spacing w:after="0"/>
              <w:rPr>
                <w:sz w:val="20"/>
                <w:szCs w:val="20"/>
                <w:color w:val="auto"/>
              </w:rPr>
            </w:pPr>
            <w:r>
              <w:rPr>
                <w:rFonts w:ascii="Times New Roman" w:cs="Times New Roman" w:eastAsia="Times New Roman" w:hAnsi="Times New Roman"/>
                <w:sz w:val="10"/>
                <w:szCs w:val="10"/>
                <w:color w:val="auto"/>
                <w:w w:val="95"/>
              </w:rPr>
              <w:t>11.24 %</w:t>
            </w:r>
          </w:p>
        </w:tc>
        <w:tc>
          <w:tcPr>
            <w:tcW w:w="840" w:type="dxa"/>
            <w:vAlign w:val="bottom"/>
            <w:vMerge w:val="restart"/>
          </w:tcPr>
          <w:p>
            <w:pPr>
              <w:jc w:val="right"/>
              <w:ind w:right="91"/>
              <w:spacing w:after="0"/>
              <w:rPr>
                <w:sz w:val="20"/>
                <w:szCs w:val="20"/>
                <w:color w:val="auto"/>
              </w:rPr>
            </w:pPr>
            <w:r>
              <w:rPr>
                <w:rFonts w:ascii="Times New Roman" w:cs="Times New Roman" w:eastAsia="Times New Roman" w:hAnsi="Times New Roman"/>
                <w:sz w:val="10"/>
                <w:szCs w:val="10"/>
                <w:color w:val="auto"/>
              </w:rPr>
              <w:t>SOFR+585</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10,882</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10,834</w:t>
            </w:r>
          </w:p>
        </w:tc>
        <w:tc>
          <w:tcPr>
            <w:tcW w:w="22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10,882</w:t>
            </w:r>
          </w:p>
        </w:tc>
        <w:tc>
          <w:tcPr>
            <w:tcW w:w="0" w:type="dxa"/>
            <w:vAlign w:val="bottom"/>
          </w:tcPr>
          <w:p>
            <w:pPr>
              <w:spacing w:after="0"/>
              <w:rPr>
                <w:sz w:val="1"/>
                <w:szCs w:val="1"/>
                <w:color w:val="auto"/>
              </w:rPr>
            </w:pPr>
          </w:p>
        </w:tc>
      </w:tr>
      <w:tr>
        <w:trPr>
          <w:trHeight w:val="32"/>
        </w:trPr>
        <w:tc>
          <w:tcPr>
            <w:tcW w:w="2840" w:type="dxa"/>
            <w:vAlign w:val="bottom"/>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224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12/21/2028</w:t>
            </w:r>
          </w:p>
        </w:tc>
        <w:tc>
          <w:tcPr>
            <w:tcW w:w="22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rPr>
              <w:t>Media</w:t>
            </w:r>
          </w:p>
        </w:tc>
        <w:tc>
          <w:tcPr>
            <w:tcW w:w="7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10.67 %</w:t>
            </w:r>
          </w:p>
        </w:tc>
        <w:tc>
          <w:tcPr>
            <w:tcW w:w="84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SOFR+525</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4,382</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3,959</w:t>
            </w:r>
          </w:p>
        </w:tc>
        <w:tc>
          <w:tcPr>
            <w:tcW w:w="220" w:type="dxa"/>
            <w:vAlign w:val="bottom"/>
            <w:shd w:val="clear" w:color="auto" w:fill="CCECFF"/>
          </w:tcPr>
          <w:p>
            <w:pPr>
              <w:spacing w:after="0"/>
              <w:rPr>
                <w:sz w:val="10"/>
                <w:szCs w:val="10"/>
                <w:color w:val="auto"/>
              </w:rPr>
            </w:pP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3,993</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9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3"/>
              </w:rPr>
              <w:t>11/3/2025</w:t>
            </w:r>
          </w:p>
        </w:tc>
        <w:tc>
          <w:tcPr>
            <w:tcW w:w="22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72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11.77 %</w:t>
            </w: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SOFR+640</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14,395</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14,345</w:t>
            </w:r>
          </w:p>
        </w:tc>
        <w:tc>
          <w:tcPr>
            <w:tcW w:w="22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14,222</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Duraco Specialty Tapes LLC</w:t>
            </w:r>
          </w:p>
        </w:tc>
        <w:tc>
          <w:tcPr>
            <w:tcW w:w="9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3"/>
              </w:rPr>
              <w:t>6/30/2024</w:t>
            </w:r>
          </w:p>
        </w:tc>
        <w:tc>
          <w:tcPr>
            <w:tcW w:w="22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Manufacturing / Basic Industries</w:t>
            </w:r>
          </w:p>
        </w:tc>
        <w:tc>
          <w:tcPr>
            <w:tcW w:w="7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11.93 %</w:t>
            </w:r>
          </w:p>
        </w:tc>
        <w:tc>
          <w:tcPr>
            <w:tcW w:w="84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SOFR+650</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8,635</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8,561</w:t>
            </w:r>
          </w:p>
        </w:tc>
        <w:tc>
          <w:tcPr>
            <w:tcW w:w="220" w:type="dxa"/>
            <w:vAlign w:val="bottom"/>
            <w:shd w:val="clear" w:color="auto" w:fill="CCECFF"/>
          </w:tcPr>
          <w:p>
            <w:pPr>
              <w:spacing w:after="0"/>
              <w:rPr>
                <w:sz w:val="10"/>
                <w:szCs w:val="10"/>
                <w:color w:val="auto"/>
              </w:rPr>
            </w:pP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8,505</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9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3"/>
              </w:rPr>
              <w:t>1/10/2029</w:t>
            </w:r>
          </w:p>
        </w:tc>
        <w:tc>
          <w:tcPr>
            <w:tcW w:w="22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2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11.64 %</w:t>
            </w: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SOFR+625</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6,219</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6,148</w:t>
            </w:r>
          </w:p>
        </w:tc>
        <w:tc>
          <w:tcPr>
            <w:tcW w:w="22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6,125</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Electro Rent Corporation</w:t>
            </w:r>
          </w:p>
        </w:tc>
        <w:tc>
          <w:tcPr>
            <w:tcW w:w="9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3"/>
              </w:rPr>
              <w:t>1/17/2024</w:t>
            </w:r>
          </w:p>
        </w:tc>
        <w:tc>
          <w:tcPr>
            <w:tcW w:w="22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Electronics</w:t>
            </w:r>
          </w:p>
        </w:tc>
        <w:tc>
          <w:tcPr>
            <w:tcW w:w="7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10.93 %</w:t>
            </w:r>
          </w:p>
        </w:tc>
        <w:tc>
          <w:tcPr>
            <w:tcW w:w="84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SOFR+550</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3,712</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3,665</w:t>
            </w:r>
          </w:p>
        </w:tc>
        <w:tc>
          <w:tcPr>
            <w:tcW w:w="220" w:type="dxa"/>
            <w:vAlign w:val="bottom"/>
            <w:shd w:val="clear" w:color="auto" w:fill="CCECFF"/>
          </w:tcPr>
          <w:p>
            <w:pPr>
              <w:spacing w:after="0"/>
              <w:rPr>
                <w:sz w:val="10"/>
                <w:szCs w:val="10"/>
                <w:color w:val="auto"/>
              </w:rPr>
            </w:pP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3,632</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ETE Intermediate II, LLC</w:t>
            </w:r>
          </w:p>
        </w:tc>
        <w:tc>
          <w:tcPr>
            <w:tcW w:w="9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3"/>
              </w:rPr>
              <w:t>5/29/2029</w:t>
            </w:r>
          </w:p>
        </w:tc>
        <w:tc>
          <w:tcPr>
            <w:tcW w:w="22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72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11.89 %</w:t>
            </w: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SOFR+650</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12,404</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12,171</w:t>
            </w:r>
          </w:p>
        </w:tc>
        <w:tc>
          <w:tcPr>
            <w:tcW w:w="22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12,193</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9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3"/>
              </w:rPr>
              <w:t>3/15/2027</w:t>
            </w:r>
          </w:p>
        </w:tc>
        <w:tc>
          <w:tcPr>
            <w:tcW w:w="22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11.17 %</w:t>
            </w:r>
          </w:p>
        </w:tc>
        <w:tc>
          <w:tcPr>
            <w:tcW w:w="84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SOFR+585</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9,750</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9,637</w:t>
            </w:r>
          </w:p>
        </w:tc>
        <w:tc>
          <w:tcPr>
            <w:tcW w:w="220" w:type="dxa"/>
            <w:vAlign w:val="bottom"/>
            <w:shd w:val="clear" w:color="auto" w:fill="CCECFF"/>
          </w:tcPr>
          <w:p>
            <w:pPr>
              <w:spacing w:after="0"/>
              <w:rPr>
                <w:sz w:val="10"/>
                <w:szCs w:val="10"/>
                <w:color w:val="auto"/>
              </w:rPr>
            </w:pP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9,555</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Fairbanks Morse Defense</w:t>
            </w:r>
          </w:p>
        </w:tc>
        <w:tc>
          <w:tcPr>
            <w:tcW w:w="9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3"/>
              </w:rPr>
              <w:t>6/17/2028</w:t>
            </w:r>
          </w:p>
        </w:tc>
        <w:tc>
          <w:tcPr>
            <w:tcW w:w="22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2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10.40 %</w:t>
            </w: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SOFR+475</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1,518</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1,470</w:t>
            </w:r>
          </w:p>
        </w:tc>
        <w:tc>
          <w:tcPr>
            <w:tcW w:w="22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1,506</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Five Star Buyer, Inc.</w:t>
            </w:r>
          </w:p>
        </w:tc>
        <w:tc>
          <w:tcPr>
            <w:tcW w:w="9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3"/>
              </w:rPr>
              <w:t>2/23/2028</w:t>
            </w:r>
          </w:p>
        </w:tc>
        <w:tc>
          <w:tcPr>
            <w:tcW w:w="22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Hotels, Motels, Inns and Gaming</w:t>
            </w:r>
          </w:p>
        </w:tc>
        <w:tc>
          <w:tcPr>
            <w:tcW w:w="7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12.43 %</w:t>
            </w:r>
          </w:p>
        </w:tc>
        <w:tc>
          <w:tcPr>
            <w:tcW w:w="84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SOFR+710</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4,373</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4,291</w:t>
            </w:r>
          </w:p>
        </w:tc>
        <w:tc>
          <w:tcPr>
            <w:tcW w:w="220" w:type="dxa"/>
            <w:vAlign w:val="bottom"/>
            <w:shd w:val="clear" w:color="auto" w:fill="CCECFF"/>
          </w:tcPr>
          <w:p>
            <w:pPr>
              <w:spacing w:after="0"/>
              <w:rPr>
                <w:sz w:val="10"/>
                <w:szCs w:val="10"/>
                <w:color w:val="auto"/>
              </w:rPr>
            </w:pP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4,307</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9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3"/>
              </w:rPr>
              <w:t>3/16/2026</w:t>
            </w:r>
          </w:p>
        </w:tc>
        <w:tc>
          <w:tcPr>
            <w:tcW w:w="22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Banking, Finance, Insurance &amp; Real Estate</w:t>
            </w:r>
          </w:p>
        </w:tc>
        <w:tc>
          <w:tcPr>
            <w:tcW w:w="72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11.96 %</w:t>
            </w: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SOFR+660</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7,027</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7,008</w:t>
            </w:r>
          </w:p>
        </w:tc>
        <w:tc>
          <w:tcPr>
            <w:tcW w:w="22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6,676</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9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3"/>
              </w:rPr>
              <w:t>8/10/2027</w:t>
            </w:r>
          </w:p>
        </w:tc>
        <w:tc>
          <w:tcPr>
            <w:tcW w:w="22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Distribution</w:t>
            </w:r>
          </w:p>
        </w:tc>
        <w:tc>
          <w:tcPr>
            <w:tcW w:w="7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10.99 %</w:t>
            </w:r>
          </w:p>
        </w:tc>
        <w:tc>
          <w:tcPr>
            <w:tcW w:w="84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SOFR+560</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1,954</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1,925</w:t>
            </w:r>
          </w:p>
        </w:tc>
        <w:tc>
          <w:tcPr>
            <w:tcW w:w="220" w:type="dxa"/>
            <w:vAlign w:val="bottom"/>
            <w:shd w:val="clear" w:color="auto" w:fill="CCECFF"/>
          </w:tcPr>
          <w:p>
            <w:pPr>
              <w:spacing w:after="0"/>
              <w:rPr>
                <w:sz w:val="10"/>
                <w:szCs w:val="10"/>
                <w:color w:val="auto"/>
              </w:rPr>
            </w:pP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1,935</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12/31/2026</w:t>
            </w:r>
          </w:p>
        </w:tc>
        <w:tc>
          <w:tcPr>
            <w:tcW w:w="22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Insurance</w:t>
            </w:r>
          </w:p>
        </w:tc>
        <w:tc>
          <w:tcPr>
            <w:tcW w:w="72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10.93 %</w:t>
            </w: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SOFR+550</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6,423</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6,423</w:t>
            </w:r>
          </w:p>
        </w:tc>
        <w:tc>
          <w:tcPr>
            <w:tcW w:w="22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6,262</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Holdco Sands Intermediate, LLC</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11/23/2028</w:t>
            </w:r>
          </w:p>
        </w:tc>
        <w:tc>
          <w:tcPr>
            <w:tcW w:w="22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11.32 %</w:t>
            </w:r>
          </w:p>
        </w:tc>
        <w:tc>
          <w:tcPr>
            <w:tcW w:w="84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SOFR+585</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19,717</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19,388</w:t>
            </w:r>
          </w:p>
        </w:tc>
        <w:tc>
          <w:tcPr>
            <w:tcW w:w="220" w:type="dxa"/>
            <w:vAlign w:val="bottom"/>
            <w:shd w:val="clear" w:color="auto" w:fill="CCECFF"/>
          </w:tcPr>
          <w:p>
            <w:pPr>
              <w:spacing w:after="0"/>
              <w:rPr>
                <w:sz w:val="10"/>
                <w:szCs w:val="10"/>
                <w:color w:val="auto"/>
              </w:rPr>
            </w:pP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19,717</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12/17/2026</w:t>
            </w:r>
          </w:p>
        </w:tc>
        <w:tc>
          <w:tcPr>
            <w:tcW w:w="22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2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11.79 %</w:t>
            </w: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SOFR+625</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15,140</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14,974</w:t>
            </w:r>
          </w:p>
        </w:tc>
        <w:tc>
          <w:tcPr>
            <w:tcW w:w="22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15,110</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12/10/2024</w:t>
            </w:r>
          </w:p>
        </w:tc>
        <w:tc>
          <w:tcPr>
            <w:tcW w:w="22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rPr>
              <w:t>Media</w:t>
            </w:r>
          </w:p>
        </w:tc>
        <w:tc>
          <w:tcPr>
            <w:tcW w:w="7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11.70 %</w:t>
            </w:r>
          </w:p>
        </w:tc>
        <w:tc>
          <w:tcPr>
            <w:tcW w:w="84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SOFR+640</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14,250</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14,171</w:t>
            </w:r>
          </w:p>
        </w:tc>
        <w:tc>
          <w:tcPr>
            <w:tcW w:w="220" w:type="dxa"/>
            <w:vAlign w:val="bottom"/>
            <w:shd w:val="clear" w:color="auto" w:fill="CCECFF"/>
          </w:tcPr>
          <w:p>
            <w:pPr>
              <w:spacing w:after="0"/>
              <w:rPr>
                <w:sz w:val="10"/>
                <w:szCs w:val="10"/>
                <w:color w:val="auto"/>
              </w:rPr>
            </w:pP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14,036</w:t>
            </w:r>
          </w:p>
        </w:tc>
        <w:tc>
          <w:tcPr>
            <w:tcW w:w="0" w:type="dxa"/>
            <w:vAlign w:val="bottom"/>
          </w:tcPr>
          <w:p>
            <w:pPr>
              <w:spacing w:after="0"/>
              <w:rPr>
                <w:sz w:val="1"/>
                <w:szCs w:val="1"/>
                <w:color w:val="auto"/>
              </w:rPr>
            </w:pPr>
          </w:p>
        </w:tc>
      </w:tr>
      <w:tr>
        <w:trPr>
          <w:trHeight w:val="204"/>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IG Investments Holdings, LLC</w:t>
            </w:r>
          </w:p>
        </w:tc>
        <w:tc>
          <w:tcPr>
            <w:tcW w:w="9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3"/>
              </w:rPr>
              <w:t>9/22/2028</w:t>
            </w:r>
          </w:p>
        </w:tc>
        <w:tc>
          <w:tcPr>
            <w:tcW w:w="22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20" w:type="dxa"/>
            <w:vAlign w:val="bottom"/>
          </w:tcPr>
          <w:p>
            <w:pPr>
              <w:spacing w:after="0"/>
              <w:rPr>
                <w:sz w:val="17"/>
                <w:szCs w:val="17"/>
                <w:color w:val="auto"/>
              </w:rPr>
            </w:pPr>
          </w:p>
        </w:tc>
        <w:tc>
          <w:tcPr>
            <w:tcW w:w="400" w:type="dxa"/>
            <w:vAlign w:val="bottom"/>
          </w:tcPr>
          <w:p>
            <w:pPr>
              <w:jc w:val="right"/>
              <w:ind w:right="12"/>
              <w:spacing w:after="0" w:line="204" w:lineRule="exact"/>
              <w:rPr>
                <w:sz w:val="20"/>
                <w:szCs w:val="20"/>
                <w:color w:val="auto"/>
              </w:rPr>
            </w:pPr>
            <w:r>
              <w:rPr>
                <w:rFonts w:ascii="Times New Roman" w:cs="Times New Roman" w:eastAsia="Times New Roman" w:hAnsi="Times New Roman"/>
                <w:sz w:val="10"/>
                <w:szCs w:val="10"/>
                <w:color w:val="auto"/>
                <w:w w:val="89"/>
              </w:rPr>
              <w:t xml:space="preserve">11.45 </w:t>
            </w:r>
            <w:r>
              <w:rPr>
                <w:rFonts w:ascii="Times New Roman" w:cs="Times New Roman" w:eastAsia="Times New Roman" w:hAnsi="Times New Roman"/>
                <w:sz w:val="19"/>
                <w:szCs w:val="19"/>
                <w:color w:val="auto"/>
                <w:w w:val="89"/>
                <w:vertAlign w:val="superscript"/>
              </w:rPr>
              <w:t>%</w:t>
            </w: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SOFR+610</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4,428</w:t>
            </w:r>
          </w:p>
        </w:tc>
        <w:tc>
          <w:tcPr>
            <w:tcW w:w="220" w:type="dxa"/>
            <w:vAlign w:val="bottom"/>
          </w:tcPr>
          <w:p>
            <w:pPr>
              <w:spacing w:after="0"/>
              <w:rPr>
                <w:sz w:val="17"/>
                <w:szCs w:val="17"/>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4,355</w:t>
            </w:r>
          </w:p>
        </w:tc>
        <w:tc>
          <w:tcPr>
            <w:tcW w:w="220" w:type="dxa"/>
            <w:vAlign w:val="bottom"/>
          </w:tcPr>
          <w:p>
            <w:pPr>
              <w:spacing w:after="0"/>
              <w:rPr>
                <w:sz w:val="17"/>
                <w:szCs w:val="17"/>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4,362</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11/15/2027</w:t>
            </w:r>
          </w:p>
        </w:tc>
        <w:tc>
          <w:tcPr>
            <w:tcW w:w="22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10.72 %</w:t>
            </w:r>
          </w:p>
        </w:tc>
        <w:tc>
          <w:tcPr>
            <w:tcW w:w="84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SOFR+535</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5,565</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5,481</w:t>
            </w:r>
          </w:p>
        </w:tc>
        <w:tc>
          <w:tcPr>
            <w:tcW w:w="220" w:type="dxa"/>
            <w:vAlign w:val="bottom"/>
            <w:shd w:val="clear" w:color="auto" w:fill="CCECFF"/>
          </w:tcPr>
          <w:p>
            <w:pPr>
              <w:spacing w:after="0"/>
              <w:rPr>
                <w:sz w:val="10"/>
                <w:szCs w:val="10"/>
                <w:color w:val="auto"/>
              </w:rPr>
            </w:pP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5,482</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Inception Fertility Ventures, LLC</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12/31/2024</w:t>
            </w:r>
          </w:p>
        </w:tc>
        <w:tc>
          <w:tcPr>
            <w:tcW w:w="22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72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12.50 %</w:t>
            </w: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SOFR+715</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19,737</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19,410</w:t>
            </w:r>
          </w:p>
        </w:tc>
        <w:tc>
          <w:tcPr>
            <w:tcW w:w="22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19,737</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12/28/2028</w:t>
            </w:r>
          </w:p>
        </w:tc>
        <w:tc>
          <w:tcPr>
            <w:tcW w:w="22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7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12.24 %</w:t>
            </w:r>
          </w:p>
        </w:tc>
        <w:tc>
          <w:tcPr>
            <w:tcW w:w="84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SOFR+685</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11,053</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10,867</w:t>
            </w:r>
          </w:p>
        </w:tc>
        <w:tc>
          <w:tcPr>
            <w:tcW w:w="220" w:type="dxa"/>
            <w:vAlign w:val="bottom"/>
            <w:shd w:val="clear" w:color="auto" w:fill="CCECFF"/>
          </w:tcPr>
          <w:p>
            <w:pPr>
              <w:spacing w:after="0"/>
              <w:rPr>
                <w:sz w:val="10"/>
                <w:szCs w:val="10"/>
                <w:color w:val="auto"/>
              </w:rPr>
            </w:pP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11,053</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Infolinks Media Buyco, LLC</w:t>
            </w:r>
          </w:p>
        </w:tc>
        <w:tc>
          <w:tcPr>
            <w:tcW w:w="9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3"/>
              </w:rPr>
              <w:t>11/1/2026</w:t>
            </w:r>
          </w:p>
        </w:tc>
        <w:tc>
          <w:tcPr>
            <w:tcW w:w="22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rPr>
              <w:t>Media</w:t>
            </w:r>
          </w:p>
        </w:tc>
        <w:tc>
          <w:tcPr>
            <w:tcW w:w="72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11.17 %</w:t>
            </w: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SOFR+585</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6,364</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6,364</w:t>
            </w:r>
          </w:p>
        </w:tc>
        <w:tc>
          <w:tcPr>
            <w:tcW w:w="22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6,364</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Integrity Marketing Acquisition, LLC</w:t>
            </w:r>
          </w:p>
        </w:tc>
        <w:tc>
          <w:tcPr>
            <w:tcW w:w="9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3"/>
              </w:rPr>
              <w:t>8/27/2026</w:t>
            </w:r>
          </w:p>
        </w:tc>
        <w:tc>
          <w:tcPr>
            <w:tcW w:w="22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Insurance</w:t>
            </w:r>
          </w:p>
        </w:tc>
        <w:tc>
          <w:tcPr>
            <w:tcW w:w="7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11.57 %</w:t>
            </w:r>
          </w:p>
        </w:tc>
        <w:tc>
          <w:tcPr>
            <w:tcW w:w="84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SOFR+615</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19,701</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19,639</w:t>
            </w:r>
          </w:p>
        </w:tc>
        <w:tc>
          <w:tcPr>
            <w:tcW w:w="220" w:type="dxa"/>
            <w:vAlign w:val="bottom"/>
            <w:shd w:val="clear" w:color="auto" w:fill="CCECFF"/>
          </w:tcPr>
          <w:p>
            <w:pPr>
              <w:spacing w:after="0"/>
              <w:rPr>
                <w:sz w:val="10"/>
                <w:szCs w:val="10"/>
                <w:color w:val="auto"/>
              </w:rPr>
            </w:pP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19,504</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K2 Pure Solutions NoCal, L.P.</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12/20/2023</w:t>
            </w:r>
          </w:p>
        </w:tc>
        <w:tc>
          <w:tcPr>
            <w:tcW w:w="22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72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13.42 %</w:t>
            </w: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SOFR+810</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12,061</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12,040</w:t>
            </w:r>
          </w:p>
        </w:tc>
        <w:tc>
          <w:tcPr>
            <w:tcW w:w="22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12,061</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11/10/2027</w:t>
            </w:r>
          </w:p>
        </w:tc>
        <w:tc>
          <w:tcPr>
            <w:tcW w:w="22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7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11.54 %</w:t>
            </w:r>
          </w:p>
        </w:tc>
        <w:tc>
          <w:tcPr>
            <w:tcW w:w="84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SOFR+615</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16,920</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16,641</w:t>
            </w:r>
          </w:p>
        </w:tc>
        <w:tc>
          <w:tcPr>
            <w:tcW w:w="220" w:type="dxa"/>
            <w:vAlign w:val="bottom"/>
            <w:shd w:val="clear" w:color="auto" w:fill="CCECFF"/>
          </w:tcPr>
          <w:p>
            <w:pPr>
              <w:spacing w:after="0"/>
              <w:rPr>
                <w:sz w:val="10"/>
                <w:szCs w:val="10"/>
                <w:color w:val="auto"/>
              </w:rPr>
            </w:pP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16,666</w:t>
            </w:r>
          </w:p>
        </w:tc>
        <w:tc>
          <w:tcPr>
            <w:tcW w:w="0" w:type="dxa"/>
            <w:vAlign w:val="bottom"/>
          </w:tcPr>
          <w:p>
            <w:pPr>
              <w:spacing w:after="0"/>
              <w:rPr>
                <w:sz w:val="1"/>
                <w:szCs w:val="1"/>
                <w:color w:val="auto"/>
              </w:rPr>
            </w:pPr>
          </w:p>
        </w:tc>
      </w:tr>
      <w:tr>
        <w:trPr>
          <w:trHeight w:val="120"/>
        </w:trPr>
        <w:tc>
          <w:tcPr>
            <w:tcW w:w="28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Leisure, Amusement, Motion Pictures,</w:t>
            </w: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10/31/2024</w:t>
            </w:r>
          </w:p>
        </w:tc>
        <w:tc>
          <w:tcPr>
            <w:tcW w:w="22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Entertainment</w:t>
            </w:r>
          </w:p>
        </w:tc>
        <w:tc>
          <w:tcPr>
            <w:tcW w:w="72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11.46 %</w:t>
            </w: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SOFR+625</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4,658</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4,631</w:t>
            </w:r>
          </w:p>
        </w:tc>
        <w:tc>
          <w:tcPr>
            <w:tcW w:w="22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4,603</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9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3"/>
              </w:rPr>
              <w:t>2/18/2027</w:t>
            </w:r>
          </w:p>
        </w:tc>
        <w:tc>
          <w:tcPr>
            <w:tcW w:w="22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7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12.13 %</w:t>
            </w:r>
          </w:p>
        </w:tc>
        <w:tc>
          <w:tcPr>
            <w:tcW w:w="84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SOFR+700</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19,723</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19,565</w:t>
            </w:r>
          </w:p>
        </w:tc>
        <w:tc>
          <w:tcPr>
            <w:tcW w:w="220" w:type="dxa"/>
            <w:vAlign w:val="bottom"/>
            <w:shd w:val="clear" w:color="auto" w:fill="CCECFF"/>
          </w:tcPr>
          <w:p>
            <w:pPr>
              <w:spacing w:after="0"/>
              <w:rPr>
                <w:sz w:val="10"/>
                <w:szCs w:val="10"/>
                <w:color w:val="auto"/>
              </w:rPr>
            </w:pP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19,526</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9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2/3/2026</w:t>
            </w:r>
          </w:p>
        </w:tc>
        <w:tc>
          <w:tcPr>
            <w:tcW w:w="22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72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10.67 %</w:t>
            </w: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SOFR+535</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12,218</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12,056</w:t>
            </w:r>
          </w:p>
        </w:tc>
        <w:tc>
          <w:tcPr>
            <w:tcW w:w="22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12,096</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9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3"/>
              </w:rPr>
              <w:t>1/31/2030</w:t>
            </w:r>
          </w:p>
        </w:tc>
        <w:tc>
          <w:tcPr>
            <w:tcW w:w="22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7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11.77 %</w:t>
            </w:r>
          </w:p>
        </w:tc>
        <w:tc>
          <w:tcPr>
            <w:tcW w:w="84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SOFR+640</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6,318</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6,206</w:t>
            </w:r>
          </w:p>
        </w:tc>
        <w:tc>
          <w:tcPr>
            <w:tcW w:w="220" w:type="dxa"/>
            <w:vAlign w:val="bottom"/>
            <w:shd w:val="clear" w:color="auto" w:fill="CCECFF"/>
          </w:tcPr>
          <w:p>
            <w:pPr>
              <w:spacing w:after="0"/>
              <w:rPr>
                <w:sz w:val="10"/>
                <w:szCs w:val="10"/>
                <w:color w:val="auto"/>
              </w:rPr>
            </w:pP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6,192</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9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4/1/2027</w:t>
            </w:r>
          </w:p>
        </w:tc>
        <w:tc>
          <w:tcPr>
            <w:tcW w:w="22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2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10.99 %</w:t>
            </w: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SOFR+549</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7,601</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7,153</w:t>
            </w:r>
          </w:p>
        </w:tc>
        <w:tc>
          <w:tcPr>
            <w:tcW w:w="22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7,202</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Magenta Buyer, LLC</w:t>
            </w:r>
          </w:p>
        </w:tc>
        <w:tc>
          <w:tcPr>
            <w:tcW w:w="9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3"/>
              </w:rPr>
              <w:t>7/31/2028</w:t>
            </w:r>
          </w:p>
        </w:tc>
        <w:tc>
          <w:tcPr>
            <w:tcW w:w="22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Software</w:t>
            </w:r>
          </w:p>
        </w:tc>
        <w:tc>
          <w:tcPr>
            <w:tcW w:w="7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10.63 %</w:t>
            </w:r>
          </w:p>
        </w:tc>
        <w:tc>
          <w:tcPr>
            <w:tcW w:w="84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SOFR+500</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3,785</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3,550</w:t>
            </w:r>
          </w:p>
        </w:tc>
        <w:tc>
          <w:tcPr>
            <w:tcW w:w="220" w:type="dxa"/>
            <w:vAlign w:val="bottom"/>
            <w:shd w:val="clear" w:color="auto" w:fill="CCECFF"/>
          </w:tcPr>
          <w:p>
            <w:pPr>
              <w:spacing w:after="0"/>
              <w:rPr>
                <w:sz w:val="10"/>
                <w:szCs w:val="10"/>
                <w:color w:val="auto"/>
              </w:rPr>
            </w:pP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2,805</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w:t>
            </w:r>
          </w:p>
        </w:tc>
        <w:tc>
          <w:tcPr>
            <w:tcW w:w="9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3"/>
              </w:rPr>
              <w:t>5/14/2026</w:t>
            </w:r>
          </w:p>
        </w:tc>
        <w:tc>
          <w:tcPr>
            <w:tcW w:w="22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rPr>
              <w:t>Media</w:t>
            </w:r>
          </w:p>
        </w:tc>
        <w:tc>
          <w:tcPr>
            <w:tcW w:w="72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11.04 %</w:t>
            </w: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SOFR+550</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10,885</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10,811</w:t>
            </w:r>
          </w:p>
        </w:tc>
        <w:tc>
          <w:tcPr>
            <w:tcW w:w="22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10,776</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9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3"/>
              </w:rPr>
              <w:t>4/16/2027</w:t>
            </w:r>
          </w:p>
        </w:tc>
        <w:tc>
          <w:tcPr>
            <w:tcW w:w="22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7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11.22 %</w:t>
            </w:r>
          </w:p>
        </w:tc>
        <w:tc>
          <w:tcPr>
            <w:tcW w:w="84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SOFR+585</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7,859</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7,780</w:t>
            </w:r>
          </w:p>
        </w:tc>
        <w:tc>
          <w:tcPr>
            <w:tcW w:w="220" w:type="dxa"/>
            <w:vAlign w:val="bottom"/>
            <w:shd w:val="clear" w:color="auto" w:fill="CCECFF"/>
          </w:tcPr>
          <w:p>
            <w:pPr>
              <w:spacing w:after="0"/>
              <w:rPr>
                <w:sz w:val="10"/>
                <w:szCs w:val="10"/>
                <w:color w:val="auto"/>
              </w:rPr>
            </w:pP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7,749</w:t>
            </w:r>
          </w:p>
        </w:tc>
        <w:tc>
          <w:tcPr>
            <w:tcW w:w="0" w:type="dxa"/>
            <w:vAlign w:val="bottom"/>
          </w:tcPr>
          <w:p>
            <w:pPr>
              <w:spacing w:after="0"/>
              <w:rPr>
                <w:sz w:val="1"/>
                <w:szCs w:val="1"/>
                <w:color w:val="auto"/>
              </w:rPr>
            </w:pPr>
          </w:p>
        </w:tc>
      </w:tr>
      <w:tr>
        <w:trPr>
          <w:trHeight w:val="132"/>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12/10/2027</w:t>
            </w:r>
          </w:p>
        </w:tc>
        <w:tc>
          <w:tcPr>
            <w:tcW w:w="22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20" w:type="dxa"/>
            <w:vAlign w:val="bottom"/>
          </w:tcPr>
          <w:p>
            <w:pPr>
              <w:spacing w:after="0"/>
              <w:rPr>
                <w:sz w:val="11"/>
                <w:szCs w:val="11"/>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10.58 %</w:t>
            </w: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SOFR+550</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2,958</w:t>
            </w:r>
          </w:p>
        </w:tc>
        <w:tc>
          <w:tcPr>
            <w:tcW w:w="220" w:type="dxa"/>
            <w:vAlign w:val="bottom"/>
          </w:tcPr>
          <w:p>
            <w:pPr>
              <w:spacing w:after="0"/>
              <w:rPr>
                <w:sz w:val="11"/>
                <w:szCs w:val="11"/>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2,911</w:t>
            </w:r>
          </w:p>
        </w:tc>
        <w:tc>
          <w:tcPr>
            <w:tcW w:w="220" w:type="dxa"/>
            <w:vAlign w:val="bottom"/>
          </w:tcPr>
          <w:p>
            <w:pPr>
              <w:spacing w:after="0"/>
              <w:rPr>
                <w:sz w:val="11"/>
                <w:szCs w:val="11"/>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2,884</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9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3"/>
              </w:rPr>
              <w:t>10/1/2027</w:t>
            </w:r>
          </w:p>
        </w:tc>
        <w:tc>
          <w:tcPr>
            <w:tcW w:w="22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Distribution</w:t>
            </w:r>
          </w:p>
        </w:tc>
        <w:tc>
          <w:tcPr>
            <w:tcW w:w="7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11.04 %</w:t>
            </w:r>
          </w:p>
        </w:tc>
        <w:tc>
          <w:tcPr>
            <w:tcW w:w="84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SOFR+565</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5,975</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5,860</w:t>
            </w:r>
          </w:p>
        </w:tc>
        <w:tc>
          <w:tcPr>
            <w:tcW w:w="220" w:type="dxa"/>
            <w:vAlign w:val="bottom"/>
            <w:shd w:val="clear" w:color="auto" w:fill="CCECFF"/>
          </w:tcPr>
          <w:p>
            <w:pPr>
              <w:spacing w:after="0"/>
              <w:rPr>
                <w:sz w:val="10"/>
                <w:szCs w:val="10"/>
                <w:color w:val="auto"/>
              </w:rPr>
            </w:pP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5,843</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NBH Group LLC</w:t>
            </w:r>
          </w:p>
        </w:tc>
        <w:tc>
          <w:tcPr>
            <w:tcW w:w="9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3"/>
              </w:rPr>
              <w:t>8/19/2026</w:t>
            </w:r>
          </w:p>
        </w:tc>
        <w:tc>
          <w:tcPr>
            <w:tcW w:w="22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72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10.93 %</w:t>
            </w: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SOFR+525</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7,429</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7,369</w:t>
            </w:r>
          </w:p>
        </w:tc>
        <w:tc>
          <w:tcPr>
            <w:tcW w:w="22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7,280</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Neptune Flood Incorporated</w:t>
            </w:r>
          </w:p>
        </w:tc>
        <w:tc>
          <w:tcPr>
            <w:tcW w:w="9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5"/>
              </w:rPr>
              <w:t>5/9/2029</w:t>
            </w:r>
          </w:p>
        </w:tc>
        <w:tc>
          <w:tcPr>
            <w:tcW w:w="22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7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11.97 %</w:t>
            </w:r>
          </w:p>
        </w:tc>
        <w:tc>
          <w:tcPr>
            <w:tcW w:w="84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SOFR+650</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8,020</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7,910</w:t>
            </w:r>
          </w:p>
        </w:tc>
        <w:tc>
          <w:tcPr>
            <w:tcW w:w="220" w:type="dxa"/>
            <w:vAlign w:val="bottom"/>
            <w:shd w:val="clear" w:color="auto" w:fill="CCECFF"/>
          </w:tcPr>
          <w:p>
            <w:pPr>
              <w:spacing w:after="0"/>
              <w:rPr>
                <w:sz w:val="10"/>
                <w:szCs w:val="10"/>
                <w:color w:val="auto"/>
              </w:rPr>
            </w:pP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8,020</w:t>
            </w: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9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5"/>
              </w:rPr>
              <w:t>5/7/2027</w:t>
            </w:r>
          </w:p>
        </w:tc>
        <w:tc>
          <w:tcPr>
            <w:tcW w:w="22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Transportation</w:t>
            </w:r>
          </w:p>
        </w:tc>
        <w:tc>
          <w:tcPr>
            <w:tcW w:w="72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11.68 %</w:t>
            </w: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SOFR+636</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8,470</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8,311</w:t>
            </w:r>
          </w:p>
        </w:tc>
        <w:tc>
          <w:tcPr>
            <w:tcW w:w="22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8,470</w:t>
            </w:r>
          </w:p>
        </w:tc>
        <w:tc>
          <w:tcPr>
            <w:tcW w:w="0" w:type="dxa"/>
            <w:vAlign w:val="bottom"/>
          </w:tcPr>
          <w:p>
            <w:pPr>
              <w:spacing w:after="0"/>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960" w:type="dxa"/>
            <w:vAlign w:val="bottom"/>
            <w:shd w:val="clear" w:color="auto" w:fill="CCECFF"/>
          </w:tcPr>
          <w:p>
            <w:pPr>
              <w:jc w:val="center"/>
              <w:ind w:left="12"/>
              <w:spacing w:after="0"/>
              <w:rPr>
                <w:sz w:val="20"/>
                <w:szCs w:val="20"/>
                <w:color w:val="auto"/>
              </w:rPr>
            </w:pPr>
            <w:r>
              <w:rPr>
                <w:rFonts w:ascii="Times New Roman" w:cs="Times New Roman" w:eastAsia="Times New Roman" w:hAnsi="Times New Roman"/>
                <w:sz w:val="10"/>
                <w:szCs w:val="10"/>
                <w:color w:val="auto"/>
                <w:w w:val="95"/>
              </w:rPr>
              <w:t>2/4/2028</w:t>
            </w:r>
          </w:p>
        </w:tc>
        <w:tc>
          <w:tcPr>
            <w:tcW w:w="22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Education</w:t>
            </w:r>
          </w:p>
        </w:tc>
        <w:tc>
          <w:tcPr>
            <w:tcW w:w="7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10.80 %</w:t>
            </w:r>
          </w:p>
        </w:tc>
        <w:tc>
          <w:tcPr>
            <w:tcW w:w="840" w:type="dxa"/>
            <w:vAlign w:val="bottom"/>
            <w:shd w:val="clear" w:color="auto" w:fill="CCECFF"/>
          </w:tcPr>
          <w:p>
            <w:pPr>
              <w:jc w:val="right"/>
              <w:ind w:right="91"/>
              <w:spacing w:after="0"/>
              <w:rPr>
                <w:sz w:val="20"/>
                <w:szCs w:val="20"/>
                <w:color w:val="auto"/>
              </w:rPr>
            </w:pPr>
            <w:r>
              <w:rPr>
                <w:rFonts w:ascii="Times New Roman" w:cs="Times New Roman" w:eastAsia="Times New Roman" w:hAnsi="Times New Roman"/>
                <w:sz w:val="10"/>
                <w:szCs w:val="10"/>
                <w:color w:val="auto"/>
              </w:rPr>
              <w:t>SOFR+575</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3,893</w:t>
            </w:r>
          </w:p>
        </w:tc>
        <w:tc>
          <w:tcPr>
            <w:tcW w:w="22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3,794</w:t>
            </w:r>
          </w:p>
        </w:tc>
        <w:tc>
          <w:tcPr>
            <w:tcW w:w="220" w:type="dxa"/>
            <w:vAlign w:val="bottom"/>
            <w:shd w:val="clear" w:color="auto" w:fill="CCECFF"/>
          </w:tcPr>
          <w:p>
            <w:pPr>
              <w:spacing w:after="0"/>
              <w:rPr>
                <w:sz w:val="10"/>
                <w:szCs w:val="10"/>
                <w:color w:val="auto"/>
              </w:rPr>
            </w:pP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3,834</w:t>
            </w:r>
          </w:p>
        </w:tc>
        <w:tc>
          <w:tcPr>
            <w:tcW w:w="0" w:type="dxa"/>
            <w:vAlign w:val="bottom"/>
          </w:tcPr>
          <w:p>
            <w:pPr>
              <w:spacing w:after="0"/>
              <w:rPr>
                <w:sz w:val="1"/>
                <w:szCs w:val="1"/>
                <w:color w:val="auto"/>
              </w:rPr>
            </w:pPr>
          </w:p>
        </w:tc>
      </w:tr>
      <w:tr>
        <w:trPr>
          <w:trHeight w:val="124"/>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Ox Two, LLC (New Issue)</w:t>
            </w:r>
          </w:p>
        </w:tc>
        <w:tc>
          <w:tcPr>
            <w:tcW w:w="96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3"/>
              </w:rPr>
              <w:t>5/18/2026</w:t>
            </w:r>
          </w:p>
        </w:tc>
        <w:tc>
          <w:tcPr>
            <w:tcW w:w="22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Distribution</w:t>
            </w:r>
          </w:p>
        </w:tc>
        <w:tc>
          <w:tcPr>
            <w:tcW w:w="72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12.90 %</w:t>
            </w: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SOFR+725</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4,378</w:t>
            </w:r>
          </w:p>
        </w:tc>
        <w:tc>
          <w:tcPr>
            <w:tcW w:w="220" w:type="dxa"/>
            <w:vAlign w:val="bottom"/>
          </w:tcPr>
          <w:p>
            <w:pPr>
              <w:spacing w:after="0"/>
              <w:rPr>
                <w:sz w:val="10"/>
                <w:szCs w:val="10"/>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4,343</w:t>
            </w:r>
          </w:p>
        </w:tc>
        <w:tc>
          <w:tcPr>
            <w:tcW w:w="22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4,301</w:t>
            </w:r>
          </w:p>
        </w:tc>
        <w:tc>
          <w:tcPr>
            <w:tcW w:w="0" w:type="dxa"/>
            <w:vAlign w:val="bottom"/>
          </w:tcPr>
          <w:p>
            <w:pPr>
              <w:spacing w:after="0"/>
              <w:rPr>
                <w:sz w:val="1"/>
                <w:szCs w:val="1"/>
                <w:color w:val="auto"/>
              </w:rPr>
            </w:pPr>
          </w:p>
        </w:tc>
      </w:tr>
    </w:tbl>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5" w:right="680" w:bottom="1440" w:gutter="0" w:footer="0" w:header="0"/>
        </w:sectPr>
      </w:pPr>
    </w:p>
    <w:bookmarkStart w:id="128" w:name="page129"/>
    <w:bookmarkEnd w:id="128"/>
    <w:p>
      <w:pPr>
        <w:spacing w:after="0" w:line="5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w:t>
      </w:r>
    </w:p>
    <w:p>
      <w:pPr>
        <w:jc w:val="center"/>
        <w:ind w:right="100"/>
        <w:spacing w:after="0" w:line="234" w:lineRule="auto"/>
        <w:rPr>
          <w:sz w:val="20"/>
          <w:szCs w:val="20"/>
          <w:color w:val="auto"/>
        </w:rPr>
      </w:pPr>
      <w:r>
        <w:rPr>
          <w:rFonts w:ascii="Times New Roman" w:cs="Times New Roman" w:eastAsia="Times New Roman" w:hAnsi="Times New Roman"/>
          <w:sz w:val="16"/>
          <w:szCs w:val="16"/>
          <w:b w:val="1"/>
          <w:bCs w:val="1"/>
          <w:color w:val="auto"/>
        </w:rPr>
        <w:t>September 30, 2023</w:t>
      </w:r>
    </w:p>
    <w:p>
      <w:pPr>
        <w:spacing w:after="0" w:line="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2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5"/>
        </w:trPr>
        <w:tc>
          <w:tcPr>
            <w:tcW w:w="2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760" w:type="dxa"/>
            <w:vAlign w:val="bottom"/>
          </w:tcPr>
          <w:p>
            <w:pPr>
              <w:ind w:left="280"/>
              <w:spacing w:after="0" w:line="145" w:lineRule="exact"/>
              <w:rPr>
                <w:sz w:val="20"/>
                <w:szCs w:val="20"/>
                <w:color w:val="auto"/>
              </w:rPr>
            </w:pPr>
            <w:r>
              <w:rPr>
                <w:rFonts w:ascii="Times New Roman" w:cs="Times New Roman" w:eastAsia="Times New Roman" w:hAnsi="Times New Roman"/>
                <w:sz w:val="13"/>
                <w:szCs w:val="13"/>
                <w:b w:val="1"/>
                <w:bCs w:val="1"/>
                <w:color w:val="auto"/>
              </w:rPr>
              <w:t>Current</w:t>
            </w:r>
          </w:p>
        </w:tc>
        <w:tc>
          <w:tcPr>
            <w:tcW w:w="400" w:type="dxa"/>
            <w:vAlign w:val="bottom"/>
          </w:tcPr>
          <w:p>
            <w:pPr>
              <w:spacing w:after="0"/>
              <w:rPr>
                <w:sz w:val="12"/>
                <w:szCs w:val="12"/>
                <w:color w:val="auto"/>
              </w:rPr>
            </w:pPr>
          </w:p>
        </w:tc>
        <w:tc>
          <w:tcPr>
            <w:tcW w:w="840" w:type="dxa"/>
            <w:vAlign w:val="bottom"/>
          </w:tcPr>
          <w:p>
            <w:pPr>
              <w:jc w:val="center"/>
              <w:ind w:right="30"/>
              <w:spacing w:after="0" w:line="145" w:lineRule="exact"/>
              <w:rPr>
                <w:sz w:val="20"/>
                <w:szCs w:val="20"/>
                <w:color w:val="auto"/>
              </w:rPr>
            </w:pPr>
            <w:r>
              <w:rPr>
                <w:rFonts w:ascii="Times New Roman" w:cs="Times New Roman" w:eastAsia="Times New Roman" w:hAnsi="Times New Roman"/>
                <w:sz w:val="13"/>
                <w:szCs w:val="13"/>
                <w:b w:val="1"/>
                <w:bCs w:val="1"/>
                <w:color w:val="auto"/>
              </w:rPr>
              <w:t>Above</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21"/>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Issuer Name </w:t>
            </w:r>
            <w:r>
              <w:rPr>
                <w:rFonts w:ascii="Times New Roman" w:cs="Times New Roman" w:eastAsia="Times New Roman" w:hAnsi="Times New Roman"/>
                <w:sz w:val="16"/>
                <w:szCs w:val="16"/>
                <w:b w:val="1"/>
                <w:bCs w:val="1"/>
                <w:color w:val="auto"/>
                <w:vertAlign w:val="superscript"/>
              </w:rPr>
              <w:t>4,5</w:t>
            </w:r>
          </w:p>
        </w:tc>
        <w:tc>
          <w:tcPr>
            <w:tcW w:w="94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2180" w:type="dxa"/>
            <w:vAlign w:val="bottom"/>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w w:val="99"/>
              </w:rPr>
              <w:t>Industry</w:t>
            </w:r>
          </w:p>
        </w:tc>
        <w:tc>
          <w:tcPr>
            <w:tcW w:w="76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w w:val="95"/>
              </w:rPr>
              <w:t>Coupon</w:t>
            </w:r>
          </w:p>
        </w:tc>
        <w:tc>
          <w:tcPr>
            <w:tcW w:w="400" w:type="dxa"/>
            <w:vAlign w:val="bottom"/>
          </w:tcPr>
          <w:p>
            <w:pPr>
              <w:spacing w:after="0"/>
              <w:rPr>
                <w:sz w:val="19"/>
                <w:szCs w:val="19"/>
                <w:color w:val="auto"/>
              </w:rPr>
            </w:pPr>
          </w:p>
        </w:tc>
        <w:tc>
          <w:tcPr>
            <w:tcW w:w="84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8"/>
              </w:rPr>
              <w:t xml:space="preserve">Index </w:t>
            </w:r>
            <w:r>
              <w:rPr>
                <w:rFonts w:ascii="Times New Roman" w:cs="Times New Roman" w:eastAsia="Times New Roman" w:hAnsi="Times New Roman"/>
                <w:sz w:val="16"/>
                <w:szCs w:val="16"/>
                <w:b w:val="1"/>
                <w:bCs w:val="1"/>
                <w:color w:val="auto"/>
                <w:w w:val="98"/>
                <w:vertAlign w:val="superscript"/>
              </w:rPr>
              <w:t>1</w:t>
            </w:r>
          </w:p>
        </w:tc>
        <w:tc>
          <w:tcPr>
            <w:tcW w:w="740" w:type="dxa"/>
            <w:vAlign w:val="bottom"/>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Par</w:t>
            </w:r>
          </w:p>
        </w:tc>
        <w:tc>
          <w:tcPr>
            <w:tcW w:w="100" w:type="dxa"/>
            <w:vAlign w:val="bottom"/>
          </w:tcPr>
          <w:p>
            <w:pPr>
              <w:spacing w:after="0"/>
              <w:rPr>
                <w:sz w:val="19"/>
                <w:szCs w:val="19"/>
                <w:color w:val="auto"/>
              </w:rPr>
            </w:pPr>
          </w:p>
        </w:tc>
        <w:tc>
          <w:tcPr>
            <w:tcW w:w="440" w:type="dxa"/>
            <w:vAlign w:val="bottom"/>
          </w:tcPr>
          <w:p>
            <w:pPr>
              <w:jc w:val="right"/>
              <w:ind w:right="92"/>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 xml:space="preserve">Fair Value </w:t>
            </w:r>
            <w:r>
              <w:rPr>
                <w:rFonts w:ascii="Times New Roman" w:cs="Times New Roman" w:eastAsia="Times New Roman" w:hAnsi="Times New Roman"/>
                <w:sz w:val="16"/>
                <w:szCs w:val="16"/>
                <w:b w:val="1"/>
                <w:bCs w:val="1"/>
                <w:color w:val="auto"/>
                <w:vertAlign w:val="superscript"/>
              </w:rPr>
              <w:t>2</w:t>
            </w:r>
          </w:p>
        </w:tc>
      </w:tr>
      <w:tr>
        <w:trPr>
          <w:trHeight w:val="80"/>
        </w:trPr>
        <w:tc>
          <w:tcPr>
            <w:tcW w:w="28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Pequod Merger Sub, Inc.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12/2/2026</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Banking, Finance, Insurance &amp; Real Estate</w:t>
            </w:r>
          </w:p>
        </w:tc>
        <w:tc>
          <w:tcPr>
            <w:tcW w:w="76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11.79 %</w:t>
            </w:r>
          </w:p>
        </w:tc>
        <w:tc>
          <w:tcPr>
            <w:tcW w:w="84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0"/>
                <w:szCs w:val="10"/>
                <w:color w:val="auto"/>
              </w:rPr>
              <w:t>SOFR+640</w:t>
            </w:r>
          </w:p>
        </w:tc>
        <w:tc>
          <w:tcPr>
            <w:tcW w:w="740" w:type="dxa"/>
            <w:vAlign w:val="bottom"/>
            <w:shd w:val="clear" w:color="auto" w:fill="CCECFF"/>
          </w:tcPr>
          <w:p>
            <w:pPr>
              <w:jc w:val="right"/>
              <w:ind w:right="191"/>
              <w:spacing w:after="0"/>
              <w:rPr>
                <w:sz w:val="20"/>
                <w:szCs w:val="20"/>
                <w:color w:val="auto"/>
              </w:rPr>
            </w:pPr>
            <w:r>
              <w:rPr>
                <w:rFonts w:ascii="Times New Roman" w:cs="Times New Roman" w:eastAsia="Times New Roman" w:hAnsi="Times New Roman"/>
                <w:sz w:val="10"/>
                <w:szCs w:val="10"/>
                <w:color w:val="auto"/>
              </w:rPr>
              <w:t>11,474</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11,267</w:t>
            </w:r>
          </w:p>
        </w:tc>
        <w:tc>
          <w:tcPr>
            <w:tcW w:w="320" w:type="dxa"/>
            <w:vAlign w:val="bottom"/>
            <w:gridSpan w:val="2"/>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11,244</w:t>
            </w:r>
          </w:p>
        </w:tc>
        <w:tc>
          <w:tcPr>
            <w:tcW w:w="100" w:type="dxa"/>
            <w:vAlign w:val="bottom"/>
            <w:shd w:val="clear" w:color="auto" w:fill="CCECFF"/>
          </w:tcPr>
          <w:p>
            <w:pPr>
              <w:spacing w:after="0"/>
              <w:rPr>
                <w:sz w:val="10"/>
                <w:szCs w:val="10"/>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11/9/2027</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1"/>
              </w:rPr>
              <w:t>Retail</w:t>
            </w:r>
          </w:p>
        </w:tc>
        <w:tc>
          <w:tcPr>
            <w:tcW w:w="76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12.42 %</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0"/>
                <w:szCs w:val="10"/>
                <w:color w:val="auto"/>
              </w:rPr>
              <w:t>SOFR+700</w:t>
            </w:r>
          </w:p>
        </w:tc>
        <w:tc>
          <w:tcPr>
            <w:tcW w:w="74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7,930</w:t>
            </w: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7,818</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7,137</w:t>
            </w:r>
          </w:p>
        </w:tc>
        <w:tc>
          <w:tcPr>
            <w:tcW w:w="100" w:type="dxa"/>
            <w:vAlign w:val="bottom"/>
          </w:tcPr>
          <w:p>
            <w:pPr>
              <w:spacing w:after="0"/>
              <w:rPr>
                <w:sz w:val="10"/>
                <w:szCs w:val="10"/>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PlayPower, Inc.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5/8/2026</w:t>
            </w:r>
          </w:p>
        </w:tc>
        <w:tc>
          <w:tcPr>
            <w:tcW w:w="218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76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10.92 %</w:t>
            </w:r>
          </w:p>
        </w:tc>
        <w:tc>
          <w:tcPr>
            <w:tcW w:w="84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0"/>
                <w:szCs w:val="10"/>
                <w:color w:val="auto"/>
              </w:rPr>
              <w:t>SOFR+565</w:t>
            </w:r>
          </w:p>
        </w:tc>
        <w:tc>
          <w:tcPr>
            <w:tcW w:w="740" w:type="dxa"/>
            <w:vAlign w:val="bottom"/>
            <w:shd w:val="clear" w:color="auto" w:fill="CCECFF"/>
          </w:tcPr>
          <w:p>
            <w:pPr>
              <w:jc w:val="right"/>
              <w:ind w:right="191"/>
              <w:spacing w:after="0"/>
              <w:rPr>
                <w:sz w:val="20"/>
                <w:szCs w:val="20"/>
                <w:color w:val="auto"/>
              </w:rPr>
            </w:pPr>
            <w:r>
              <w:rPr>
                <w:rFonts w:ascii="Times New Roman" w:cs="Times New Roman" w:eastAsia="Times New Roman" w:hAnsi="Times New Roman"/>
                <w:sz w:val="10"/>
                <w:szCs w:val="10"/>
                <w:color w:val="auto"/>
              </w:rPr>
              <w:t>2,551</w:t>
            </w:r>
          </w:p>
        </w:tc>
        <w:tc>
          <w:tcPr>
            <w:tcW w:w="10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2,481</w:t>
            </w:r>
          </w:p>
        </w:tc>
        <w:tc>
          <w:tcPr>
            <w:tcW w:w="2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2,436</w:t>
            </w:r>
          </w:p>
        </w:tc>
        <w:tc>
          <w:tcPr>
            <w:tcW w:w="100" w:type="dxa"/>
            <w:vAlign w:val="bottom"/>
            <w:shd w:val="clear" w:color="auto" w:fill="CCECFF"/>
          </w:tcPr>
          <w:p>
            <w:pPr>
              <w:spacing w:after="0"/>
              <w:rPr>
                <w:sz w:val="10"/>
                <w:szCs w:val="10"/>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11/19/2026</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6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11.74 %</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0"/>
                <w:szCs w:val="10"/>
                <w:color w:val="auto"/>
              </w:rPr>
              <w:t>SOFR+635</w:t>
            </w:r>
          </w:p>
        </w:tc>
        <w:tc>
          <w:tcPr>
            <w:tcW w:w="74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3,314</w:t>
            </w: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3,267</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3,264</w:t>
            </w:r>
          </w:p>
        </w:tc>
        <w:tc>
          <w:tcPr>
            <w:tcW w:w="100" w:type="dxa"/>
            <w:vAlign w:val="bottom"/>
          </w:tcPr>
          <w:p>
            <w:pPr>
              <w:spacing w:after="0"/>
              <w:rPr>
                <w:sz w:val="10"/>
                <w:szCs w:val="10"/>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Radius Aerospace, Inc.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3/31/2025</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6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11.29 %</w:t>
            </w:r>
          </w:p>
        </w:tc>
        <w:tc>
          <w:tcPr>
            <w:tcW w:w="84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0"/>
                <w:szCs w:val="10"/>
                <w:color w:val="auto"/>
              </w:rPr>
              <w:t>SOFR+575</w:t>
            </w:r>
          </w:p>
        </w:tc>
        <w:tc>
          <w:tcPr>
            <w:tcW w:w="740" w:type="dxa"/>
            <w:vAlign w:val="bottom"/>
            <w:shd w:val="clear" w:color="auto" w:fill="CCECFF"/>
          </w:tcPr>
          <w:p>
            <w:pPr>
              <w:jc w:val="right"/>
              <w:ind w:right="191"/>
              <w:spacing w:after="0"/>
              <w:rPr>
                <w:sz w:val="20"/>
                <w:szCs w:val="20"/>
                <w:color w:val="auto"/>
              </w:rPr>
            </w:pPr>
            <w:r>
              <w:rPr>
                <w:rFonts w:ascii="Times New Roman" w:cs="Times New Roman" w:eastAsia="Times New Roman" w:hAnsi="Times New Roman"/>
                <w:sz w:val="10"/>
                <w:szCs w:val="10"/>
                <w:color w:val="auto"/>
              </w:rPr>
              <w:t>12,703</w:t>
            </w:r>
          </w:p>
        </w:tc>
        <w:tc>
          <w:tcPr>
            <w:tcW w:w="10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12,641</w:t>
            </w:r>
          </w:p>
        </w:tc>
        <w:tc>
          <w:tcPr>
            <w:tcW w:w="2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12,576</w:t>
            </w:r>
          </w:p>
        </w:tc>
        <w:tc>
          <w:tcPr>
            <w:tcW w:w="100" w:type="dxa"/>
            <w:vAlign w:val="bottom"/>
            <w:shd w:val="clear" w:color="auto" w:fill="CCECFF"/>
          </w:tcPr>
          <w:p>
            <w:pPr>
              <w:spacing w:after="0"/>
              <w:rPr>
                <w:sz w:val="10"/>
                <w:szCs w:val="10"/>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12/18/2025</w:t>
            </w:r>
          </w:p>
        </w:tc>
        <w:tc>
          <w:tcPr>
            <w:tcW w:w="218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76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11.22 %</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0"/>
                <w:szCs w:val="10"/>
                <w:color w:val="auto"/>
              </w:rPr>
              <w:t>SOFR+575</w:t>
            </w:r>
          </w:p>
        </w:tc>
        <w:tc>
          <w:tcPr>
            <w:tcW w:w="74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5,603</w:t>
            </w: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5,603</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5,603</w:t>
            </w:r>
          </w:p>
        </w:tc>
        <w:tc>
          <w:tcPr>
            <w:tcW w:w="100" w:type="dxa"/>
            <w:vAlign w:val="bottom"/>
          </w:tcPr>
          <w:p>
            <w:pPr>
              <w:spacing w:after="0"/>
              <w:rPr>
                <w:sz w:val="10"/>
                <w:szCs w:val="10"/>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4/28/2028</w:t>
            </w:r>
          </w:p>
        </w:tc>
        <w:tc>
          <w:tcPr>
            <w:tcW w:w="218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5"/>
              </w:rPr>
              <w:t>Transportation</w:t>
            </w:r>
          </w:p>
        </w:tc>
        <w:tc>
          <w:tcPr>
            <w:tcW w:w="76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11.54 %</w:t>
            </w:r>
          </w:p>
        </w:tc>
        <w:tc>
          <w:tcPr>
            <w:tcW w:w="84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0"/>
                <w:szCs w:val="10"/>
                <w:color w:val="auto"/>
              </w:rPr>
              <w:t>SOFR+615</w:t>
            </w:r>
          </w:p>
        </w:tc>
        <w:tc>
          <w:tcPr>
            <w:tcW w:w="740" w:type="dxa"/>
            <w:vAlign w:val="bottom"/>
            <w:shd w:val="clear" w:color="auto" w:fill="CCECFF"/>
          </w:tcPr>
          <w:p>
            <w:pPr>
              <w:jc w:val="right"/>
              <w:ind w:right="191"/>
              <w:spacing w:after="0"/>
              <w:rPr>
                <w:sz w:val="20"/>
                <w:szCs w:val="20"/>
                <w:color w:val="auto"/>
              </w:rPr>
            </w:pPr>
            <w:r>
              <w:rPr>
                <w:rFonts w:ascii="Times New Roman" w:cs="Times New Roman" w:eastAsia="Times New Roman" w:hAnsi="Times New Roman"/>
                <w:sz w:val="10"/>
                <w:szCs w:val="10"/>
                <w:color w:val="auto"/>
              </w:rPr>
              <w:t>5,000</w:t>
            </w:r>
          </w:p>
        </w:tc>
        <w:tc>
          <w:tcPr>
            <w:tcW w:w="10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4,937</w:t>
            </w:r>
          </w:p>
        </w:tc>
        <w:tc>
          <w:tcPr>
            <w:tcW w:w="2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4,800</w:t>
            </w:r>
          </w:p>
        </w:tc>
        <w:tc>
          <w:tcPr>
            <w:tcW w:w="100" w:type="dxa"/>
            <w:vAlign w:val="bottom"/>
            <w:shd w:val="clear" w:color="auto" w:fill="CCECFF"/>
          </w:tcPr>
          <w:p>
            <w:pPr>
              <w:spacing w:after="0"/>
              <w:rPr>
                <w:sz w:val="10"/>
                <w:szCs w:val="10"/>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1/29/2026</w:t>
            </w:r>
          </w:p>
        </w:tc>
        <w:tc>
          <w:tcPr>
            <w:tcW w:w="218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76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12.54 %</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0"/>
                <w:szCs w:val="10"/>
                <w:color w:val="auto"/>
              </w:rPr>
              <w:t>SOFR+700</w:t>
            </w:r>
          </w:p>
        </w:tc>
        <w:tc>
          <w:tcPr>
            <w:tcW w:w="74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9,750</w:t>
            </w: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9,655</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9,458</w:t>
            </w:r>
          </w:p>
        </w:tc>
        <w:tc>
          <w:tcPr>
            <w:tcW w:w="100" w:type="dxa"/>
            <w:vAlign w:val="bottom"/>
          </w:tcPr>
          <w:p>
            <w:pPr>
              <w:spacing w:after="0"/>
              <w:rPr>
                <w:sz w:val="10"/>
                <w:szCs w:val="10"/>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Research Now Group, LLC and Dynata,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12/20/2024</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6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11.13 %</w:t>
            </w:r>
          </w:p>
        </w:tc>
        <w:tc>
          <w:tcPr>
            <w:tcW w:w="84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0"/>
                <w:szCs w:val="10"/>
                <w:color w:val="auto"/>
              </w:rPr>
              <w:t>SOFR+576</w:t>
            </w:r>
          </w:p>
        </w:tc>
        <w:tc>
          <w:tcPr>
            <w:tcW w:w="740" w:type="dxa"/>
            <w:vAlign w:val="bottom"/>
            <w:shd w:val="clear" w:color="auto" w:fill="CCECFF"/>
          </w:tcPr>
          <w:p>
            <w:pPr>
              <w:jc w:val="right"/>
              <w:ind w:right="191"/>
              <w:spacing w:after="0"/>
              <w:rPr>
                <w:sz w:val="20"/>
                <w:szCs w:val="20"/>
                <w:color w:val="auto"/>
              </w:rPr>
            </w:pPr>
            <w:r>
              <w:rPr>
                <w:rFonts w:ascii="Times New Roman" w:cs="Times New Roman" w:eastAsia="Times New Roman" w:hAnsi="Times New Roman"/>
                <w:sz w:val="10"/>
                <w:szCs w:val="10"/>
                <w:color w:val="auto"/>
              </w:rPr>
              <w:t>14,389</w:t>
            </w:r>
          </w:p>
        </w:tc>
        <w:tc>
          <w:tcPr>
            <w:tcW w:w="10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14,332</w:t>
            </w:r>
          </w:p>
        </w:tc>
        <w:tc>
          <w:tcPr>
            <w:tcW w:w="2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12,591</w:t>
            </w:r>
          </w:p>
        </w:tc>
        <w:tc>
          <w:tcPr>
            <w:tcW w:w="100" w:type="dxa"/>
            <w:vAlign w:val="bottom"/>
            <w:shd w:val="clear" w:color="auto" w:fill="CCECFF"/>
          </w:tcPr>
          <w:p>
            <w:pPr>
              <w:spacing w:after="0"/>
              <w:rPr>
                <w:sz w:val="10"/>
                <w:szCs w:val="10"/>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Riverpoint Medical,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6/20/2025</w:t>
            </w:r>
          </w:p>
        </w:tc>
        <w:tc>
          <w:tcPr>
            <w:tcW w:w="218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76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10.54 %</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0"/>
                <w:szCs w:val="10"/>
                <w:color w:val="auto"/>
              </w:rPr>
              <w:t>SOFR+515</w:t>
            </w:r>
          </w:p>
        </w:tc>
        <w:tc>
          <w:tcPr>
            <w:tcW w:w="74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3,176</w:t>
            </w: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3,162</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3,131</w:t>
            </w:r>
          </w:p>
        </w:tc>
        <w:tc>
          <w:tcPr>
            <w:tcW w:w="100" w:type="dxa"/>
            <w:vAlign w:val="bottom"/>
          </w:tcPr>
          <w:p>
            <w:pPr>
              <w:spacing w:after="0"/>
              <w:rPr>
                <w:sz w:val="10"/>
                <w:szCs w:val="10"/>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Riverside Assessments,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3/10/2025</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76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11.29 %</w:t>
            </w:r>
          </w:p>
        </w:tc>
        <w:tc>
          <w:tcPr>
            <w:tcW w:w="84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0"/>
                <w:szCs w:val="10"/>
                <w:color w:val="auto"/>
              </w:rPr>
              <w:t>SOFR+575</w:t>
            </w:r>
          </w:p>
        </w:tc>
        <w:tc>
          <w:tcPr>
            <w:tcW w:w="740" w:type="dxa"/>
            <w:vAlign w:val="bottom"/>
            <w:shd w:val="clear" w:color="auto" w:fill="CCECFF"/>
          </w:tcPr>
          <w:p>
            <w:pPr>
              <w:jc w:val="right"/>
              <w:ind w:right="191"/>
              <w:spacing w:after="0"/>
              <w:rPr>
                <w:sz w:val="20"/>
                <w:szCs w:val="20"/>
                <w:color w:val="auto"/>
              </w:rPr>
            </w:pPr>
            <w:r>
              <w:rPr>
                <w:rFonts w:ascii="Times New Roman" w:cs="Times New Roman" w:eastAsia="Times New Roman" w:hAnsi="Times New Roman"/>
                <w:sz w:val="10"/>
                <w:szCs w:val="10"/>
                <w:color w:val="auto"/>
              </w:rPr>
              <w:t>10,895</w:t>
            </w:r>
          </w:p>
        </w:tc>
        <w:tc>
          <w:tcPr>
            <w:tcW w:w="10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10,834</w:t>
            </w:r>
          </w:p>
        </w:tc>
        <w:tc>
          <w:tcPr>
            <w:tcW w:w="2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10,786</w:t>
            </w:r>
          </w:p>
        </w:tc>
        <w:tc>
          <w:tcPr>
            <w:tcW w:w="100" w:type="dxa"/>
            <w:vAlign w:val="bottom"/>
            <w:shd w:val="clear" w:color="auto" w:fill="CCECFF"/>
          </w:tcPr>
          <w:p>
            <w:pPr>
              <w:spacing w:after="0"/>
              <w:rPr>
                <w:sz w:val="10"/>
                <w:szCs w:val="10"/>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6/16/2029</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6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11.52 %</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0"/>
                <w:szCs w:val="10"/>
                <w:color w:val="auto"/>
              </w:rPr>
              <w:t>SOFR+625</w:t>
            </w:r>
          </w:p>
        </w:tc>
        <w:tc>
          <w:tcPr>
            <w:tcW w:w="74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3,749</w:t>
            </w: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3,678</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3,692</w:t>
            </w:r>
          </w:p>
        </w:tc>
        <w:tc>
          <w:tcPr>
            <w:tcW w:w="100" w:type="dxa"/>
            <w:vAlign w:val="bottom"/>
          </w:tcPr>
          <w:p>
            <w:pPr>
              <w:spacing w:after="0"/>
              <w:rPr>
                <w:sz w:val="10"/>
                <w:szCs w:val="10"/>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1/3/2025</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6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11.59 %</w:t>
            </w:r>
          </w:p>
        </w:tc>
        <w:tc>
          <w:tcPr>
            <w:tcW w:w="84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0"/>
                <w:szCs w:val="10"/>
                <w:color w:val="auto"/>
              </w:rPr>
              <w:t>SOFR+600</w:t>
            </w:r>
          </w:p>
        </w:tc>
        <w:tc>
          <w:tcPr>
            <w:tcW w:w="740" w:type="dxa"/>
            <w:vAlign w:val="bottom"/>
            <w:shd w:val="clear" w:color="auto" w:fill="CCECFF"/>
          </w:tcPr>
          <w:p>
            <w:pPr>
              <w:jc w:val="right"/>
              <w:ind w:right="191"/>
              <w:spacing w:after="0"/>
              <w:rPr>
                <w:sz w:val="20"/>
                <w:szCs w:val="20"/>
                <w:color w:val="auto"/>
              </w:rPr>
            </w:pPr>
            <w:r>
              <w:rPr>
                <w:rFonts w:ascii="Times New Roman" w:cs="Times New Roman" w:eastAsia="Times New Roman" w:hAnsi="Times New Roman"/>
                <w:sz w:val="10"/>
                <w:szCs w:val="10"/>
                <w:color w:val="auto"/>
              </w:rPr>
              <w:t>6,859</w:t>
            </w:r>
          </w:p>
        </w:tc>
        <w:tc>
          <w:tcPr>
            <w:tcW w:w="10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6,815</w:t>
            </w:r>
          </w:p>
        </w:tc>
        <w:tc>
          <w:tcPr>
            <w:tcW w:w="2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6,825</w:t>
            </w:r>
          </w:p>
        </w:tc>
        <w:tc>
          <w:tcPr>
            <w:tcW w:w="100" w:type="dxa"/>
            <w:vAlign w:val="bottom"/>
            <w:shd w:val="clear" w:color="auto" w:fill="CCECFF"/>
          </w:tcPr>
          <w:p>
            <w:pPr>
              <w:spacing w:after="0"/>
              <w:rPr>
                <w:sz w:val="10"/>
                <w:szCs w:val="10"/>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12/20/2024</w:t>
            </w:r>
          </w:p>
        </w:tc>
        <w:tc>
          <w:tcPr>
            <w:tcW w:w="218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7"/>
              </w:rPr>
              <w:t>Electronics</w:t>
            </w:r>
          </w:p>
        </w:tc>
        <w:tc>
          <w:tcPr>
            <w:tcW w:w="76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12.92 %</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0"/>
                <w:szCs w:val="10"/>
                <w:color w:val="auto"/>
              </w:rPr>
              <w:t>SOFR+750</w:t>
            </w:r>
          </w:p>
        </w:tc>
        <w:tc>
          <w:tcPr>
            <w:tcW w:w="74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4,872</w:t>
            </w: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4,872</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4,823</w:t>
            </w:r>
          </w:p>
        </w:tc>
        <w:tc>
          <w:tcPr>
            <w:tcW w:w="100" w:type="dxa"/>
            <w:vAlign w:val="bottom"/>
          </w:tcPr>
          <w:p>
            <w:pPr>
              <w:spacing w:after="0"/>
              <w:rPr>
                <w:sz w:val="10"/>
                <w:szCs w:val="10"/>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6/13/2029</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76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11.54 %</w:t>
            </w:r>
          </w:p>
        </w:tc>
        <w:tc>
          <w:tcPr>
            <w:tcW w:w="84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0"/>
                <w:szCs w:val="10"/>
                <w:color w:val="auto"/>
              </w:rPr>
              <w:t>SOFR+605</w:t>
            </w:r>
          </w:p>
        </w:tc>
        <w:tc>
          <w:tcPr>
            <w:tcW w:w="740" w:type="dxa"/>
            <w:vAlign w:val="bottom"/>
            <w:shd w:val="clear" w:color="auto" w:fill="CCECFF"/>
          </w:tcPr>
          <w:p>
            <w:pPr>
              <w:jc w:val="right"/>
              <w:ind w:right="191"/>
              <w:spacing w:after="0"/>
              <w:rPr>
                <w:sz w:val="20"/>
                <w:szCs w:val="20"/>
                <w:color w:val="auto"/>
              </w:rPr>
            </w:pPr>
            <w:r>
              <w:rPr>
                <w:rFonts w:ascii="Times New Roman" w:cs="Times New Roman" w:eastAsia="Times New Roman" w:hAnsi="Times New Roman"/>
                <w:sz w:val="10"/>
                <w:szCs w:val="10"/>
                <w:color w:val="auto"/>
              </w:rPr>
              <w:t>14,850</w:t>
            </w:r>
          </w:p>
        </w:tc>
        <w:tc>
          <w:tcPr>
            <w:tcW w:w="10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14,633</w:t>
            </w:r>
          </w:p>
        </w:tc>
        <w:tc>
          <w:tcPr>
            <w:tcW w:w="2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14,405</w:t>
            </w:r>
          </w:p>
        </w:tc>
        <w:tc>
          <w:tcPr>
            <w:tcW w:w="100" w:type="dxa"/>
            <w:vAlign w:val="bottom"/>
            <w:shd w:val="clear" w:color="auto" w:fill="CCECFF"/>
          </w:tcPr>
          <w:p>
            <w:pPr>
              <w:spacing w:after="0"/>
              <w:rPr>
                <w:sz w:val="10"/>
                <w:szCs w:val="10"/>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Signature Systems Holding Company</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5/3/2024</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76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12.04 %</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0"/>
                <w:szCs w:val="10"/>
                <w:color w:val="auto"/>
              </w:rPr>
              <w:t>SOFR+650</w:t>
            </w:r>
          </w:p>
        </w:tc>
        <w:tc>
          <w:tcPr>
            <w:tcW w:w="74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11,201</w:t>
            </w: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11,173</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11,201</w:t>
            </w:r>
          </w:p>
        </w:tc>
        <w:tc>
          <w:tcPr>
            <w:tcW w:w="100" w:type="dxa"/>
            <w:vAlign w:val="bottom"/>
          </w:tcPr>
          <w:p>
            <w:pPr>
              <w:spacing w:after="0"/>
              <w:rPr>
                <w:sz w:val="10"/>
                <w:szCs w:val="10"/>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Skopima Consilio Parent,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5/17/2028</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6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9.93 %</w:t>
            </w:r>
          </w:p>
        </w:tc>
        <w:tc>
          <w:tcPr>
            <w:tcW w:w="84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0"/>
                <w:szCs w:val="10"/>
                <w:color w:val="auto"/>
              </w:rPr>
              <w:t>SOFR+450</w:t>
            </w:r>
          </w:p>
        </w:tc>
        <w:tc>
          <w:tcPr>
            <w:tcW w:w="740" w:type="dxa"/>
            <w:vAlign w:val="bottom"/>
            <w:shd w:val="clear" w:color="auto" w:fill="CCECFF"/>
          </w:tcPr>
          <w:p>
            <w:pPr>
              <w:jc w:val="right"/>
              <w:ind w:right="191"/>
              <w:spacing w:after="0"/>
              <w:rPr>
                <w:sz w:val="20"/>
                <w:szCs w:val="20"/>
                <w:color w:val="auto"/>
              </w:rPr>
            </w:pPr>
            <w:r>
              <w:rPr>
                <w:rFonts w:ascii="Times New Roman" w:cs="Times New Roman" w:eastAsia="Times New Roman" w:hAnsi="Times New Roman"/>
                <w:sz w:val="10"/>
                <w:szCs w:val="10"/>
                <w:color w:val="auto"/>
              </w:rPr>
              <w:t>1,300</w:t>
            </w:r>
          </w:p>
        </w:tc>
        <w:tc>
          <w:tcPr>
            <w:tcW w:w="10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1,274</w:t>
            </w:r>
          </w:p>
        </w:tc>
        <w:tc>
          <w:tcPr>
            <w:tcW w:w="2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1,272</w:t>
            </w:r>
          </w:p>
        </w:tc>
        <w:tc>
          <w:tcPr>
            <w:tcW w:w="100" w:type="dxa"/>
            <w:vAlign w:val="bottom"/>
            <w:shd w:val="clear" w:color="auto" w:fill="CCECFF"/>
          </w:tcPr>
          <w:p>
            <w:pPr>
              <w:spacing w:after="0"/>
              <w:rPr>
                <w:sz w:val="10"/>
                <w:szCs w:val="10"/>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7/17/2025</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Communications</w:t>
            </w:r>
          </w:p>
        </w:tc>
        <w:tc>
          <w:tcPr>
            <w:tcW w:w="76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12.37 %</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0"/>
                <w:szCs w:val="10"/>
                <w:color w:val="auto"/>
              </w:rPr>
              <w:t>SOFR+715</w:t>
            </w:r>
          </w:p>
        </w:tc>
        <w:tc>
          <w:tcPr>
            <w:tcW w:w="74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9,239</w:t>
            </w: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9,206</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9,202</w:t>
            </w:r>
          </w:p>
        </w:tc>
        <w:tc>
          <w:tcPr>
            <w:tcW w:w="100" w:type="dxa"/>
            <w:vAlign w:val="bottom"/>
          </w:tcPr>
          <w:p>
            <w:pPr>
              <w:spacing w:after="0"/>
              <w:rPr>
                <w:sz w:val="10"/>
                <w:szCs w:val="10"/>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3/1/2028</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6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11.04 %</w:t>
            </w:r>
          </w:p>
        </w:tc>
        <w:tc>
          <w:tcPr>
            <w:tcW w:w="84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0"/>
                <w:szCs w:val="10"/>
                <w:color w:val="auto"/>
              </w:rPr>
              <w:t>SOFR+565</w:t>
            </w:r>
          </w:p>
        </w:tc>
        <w:tc>
          <w:tcPr>
            <w:tcW w:w="740" w:type="dxa"/>
            <w:vAlign w:val="bottom"/>
            <w:shd w:val="clear" w:color="auto" w:fill="CCECFF"/>
          </w:tcPr>
          <w:p>
            <w:pPr>
              <w:jc w:val="right"/>
              <w:ind w:right="191"/>
              <w:spacing w:after="0"/>
              <w:rPr>
                <w:sz w:val="20"/>
                <w:szCs w:val="20"/>
                <w:color w:val="auto"/>
              </w:rPr>
            </w:pPr>
            <w:r>
              <w:rPr>
                <w:rFonts w:ascii="Times New Roman" w:cs="Times New Roman" w:eastAsia="Times New Roman" w:hAnsi="Times New Roman"/>
                <w:sz w:val="10"/>
                <w:szCs w:val="10"/>
                <w:color w:val="auto"/>
              </w:rPr>
              <w:t>9,607</w:t>
            </w:r>
          </w:p>
        </w:tc>
        <w:tc>
          <w:tcPr>
            <w:tcW w:w="10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9,352</w:t>
            </w:r>
          </w:p>
        </w:tc>
        <w:tc>
          <w:tcPr>
            <w:tcW w:w="2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9,396</w:t>
            </w:r>
          </w:p>
        </w:tc>
        <w:tc>
          <w:tcPr>
            <w:tcW w:w="100" w:type="dxa"/>
            <w:vAlign w:val="bottom"/>
            <w:shd w:val="clear" w:color="auto" w:fill="CCECFF"/>
          </w:tcPr>
          <w:p>
            <w:pPr>
              <w:spacing w:after="0"/>
              <w:rPr>
                <w:sz w:val="10"/>
                <w:szCs w:val="10"/>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STV Group Incorporated</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12/11/2026</w:t>
            </w:r>
          </w:p>
        </w:tc>
        <w:tc>
          <w:tcPr>
            <w:tcW w:w="218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5"/>
              </w:rPr>
              <w:t>Transportation</w:t>
            </w:r>
          </w:p>
        </w:tc>
        <w:tc>
          <w:tcPr>
            <w:tcW w:w="76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10.67 %</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0"/>
                <w:szCs w:val="10"/>
                <w:color w:val="auto"/>
              </w:rPr>
              <w:t>SOFR+535</w:t>
            </w:r>
          </w:p>
        </w:tc>
        <w:tc>
          <w:tcPr>
            <w:tcW w:w="74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12,099</w:t>
            </w: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12,045</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11,857</w:t>
            </w:r>
          </w:p>
        </w:tc>
        <w:tc>
          <w:tcPr>
            <w:tcW w:w="100" w:type="dxa"/>
            <w:vAlign w:val="bottom"/>
          </w:tcPr>
          <w:p>
            <w:pPr>
              <w:spacing w:after="0"/>
              <w:rPr>
                <w:sz w:val="10"/>
                <w:szCs w:val="10"/>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11/24/2028</w:t>
            </w:r>
          </w:p>
        </w:tc>
        <w:tc>
          <w:tcPr>
            <w:tcW w:w="218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76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10.43 %</w:t>
            </w:r>
          </w:p>
        </w:tc>
        <w:tc>
          <w:tcPr>
            <w:tcW w:w="84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0"/>
                <w:szCs w:val="10"/>
                <w:color w:val="auto"/>
              </w:rPr>
              <w:t>SOFR+475</w:t>
            </w:r>
          </w:p>
        </w:tc>
        <w:tc>
          <w:tcPr>
            <w:tcW w:w="740" w:type="dxa"/>
            <w:vAlign w:val="bottom"/>
            <w:shd w:val="clear" w:color="auto" w:fill="CCECFF"/>
          </w:tcPr>
          <w:p>
            <w:pPr>
              <w:jc w:val="right"/>
              <w:ind w:right="191"/>
              <w:spacing w:after="0"/>
              <w:rPr>
                <w:sz w:val="20"/>
                <w:szCs w:val="20"/>
                <w:color w:val="auto"/>
              </w:rPr>
            </w:pPr>
            <w:r>
              <w:rPr>
                <w:rFonts w:ascii="Times New Roman" w:cs="Times New Roman" w:eastAsia="Times New Roman" w:hAnsi="Times New Roman"/>
                <w:sz w:val="10"/>
                <w:szCs w:val="10"/>
                <w:color w:val="auto"/>
              </w:rPr>
              <w:t>3,572</w:t>
            </w:r>
          </w:p>
        </w:tc>
        <w:tc>
          <w:tcPr>
            <w:tcW w:w="10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3,389</w:t>
            </w:r>
          </w:p>
        </w:tc>
        <w:tc>
          <w:tcPr>
            <w:tcW w:w="2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3,559</w:t>
            </w:r>
          </w:p>
        </w:tc>
        <w:tc>
          <w:tcPr>
            <w:tcW w:w="100" w:type="dxa"/>
            <w:vAlign w:val="bottom"/>
            <w:shd w:val="clear" w:color="auto" w:fill="CCECFF"/>
          </w:tcPr>
          <w:p>
            <w:pPr>
              <w:spacing w:after="0"/>
              <w:rPr>
                <w:sz w:val="10"/>
                <w:szCs w:val="10"/>
                <w:color w:val="auto"/>
              </w:rPr>
            </w:pPr>
          </w:p>
        </w:tc>
      </w:tr>
      <w:tr>
        <w:trPr>
          <w:trHeight w:val="121"/>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(f/k/a Management Consulting &amp;</w:t>
            </w:r>
          </w:p>
        </w:tc>
        <w:tc>
          <w:tcPr>
            <w:tcW w:w="9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Research,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8/16/2027</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6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11.49 %</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0"/>
                <w:szCs w:val="10"/>
                <w:color w:val="auto"/>
              </w:rPr>
              <w:t>SOFR+600</w:t>
            </w:r>
          </w:p>
        </w:tc>
        <w:tc>
          <w:tcPr>
            <w:tcW w:w="74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15,966</w:t>
            </w: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15,695</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15,790</w:t>
            </w:r>
          </w:p>
        </w:tc>
        <w:tc>
          <w:tcPr>
            <w:tcW w:w="100" w:type="dxa"/>
            <w:vAlign w:val="bottom"/>
          </w:tcPr>
          <w:p>
            <w:pPr>
              <w:spacing w:after="0"/>
              <w:rPr>
                <w:sz w:val="10"/>
                <w:szCs w:val="10"/>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11/24/2028</w:t>
            </w:r>
          </w:p>
        </w:tc>
        <w:tc>
          <w:tcPr>
            <w:tcW w:w="218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76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10.75 %</w:t>
            </w:r>
          </w:p>
        </w:tc>
        <w:tc>
          <w:tcPr>
            <w:tcW w:w="84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0"/>
                <w:szCs w:val="10"/>
                <w:color w:val="auto"/>
              </w:rPr>
              <w:t>SOFR+515</w:t>
            </w:r>
          </w:p>
        </w:tc>
        <w:tc>
          <w:tcPr>
            <w:tcW w:w="740" w:type="dxa"/>
            <w:vAlign w:val="bottom"/>
            <w:shd w:val="clear" w:color="auto" w:fill="CCECFF"/>
          </w:tcPr>
          <w:p>
            <w:pPr>
              <w:jc w:val="right"/>
              <w:ind w:right="191"/>
              <w:spacing w:after="0"/>
              <w:rPr>
                <w:sz w:val="20"/>
                <w:szCs w:val="20"/>
                <w:color w:val="auto"/>
              </w:rPr>
            </w:pPr>
            <w:r>
              <w:rPr>
                <w:rFonts w:ascii="Times New Roman" w:cs="Times New Roman" w:eastAsia="Times New Roman" w:hAnsi="Times New Roman"/>
                <w:sz w:val="10"/>
                <w:szCs w:val="10"/>
                <w:color w:val="auto"/>
              </w:rPr>
              <w:t>2,688</w:t>
            </w:r>
          </w:p>
        </w:tc>
        <w:tc>
          <w:tcPr>
            <w:tcW w:w="10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2,584</w:t>
            </w:r>
          </w:p>
        </w:tc>
        <w:tc>
          <w:tcPr>
            <w:tcW w:w="2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2,627</w:t>
            </w:r>
          </w:p>
        </w:tc>
        <w:tc>
          <w:tcPr>
            <w:tcW w:w="100" w:type="dxa"/>
            <w:vAlign w:val="bottom"/>
            <w:shd w:val="clear" w:color="auto" w:fill="CCECFF"/>
          </w:tcPr>
          <w:p>
            <w:pPr>
              <w:spacing w:after="0"/>
              <w:rPr>
                <w:sz w:val="10"/>
                <w:szCs w:val="10"/>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Teneo Holdings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7/18/2025</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76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10.67 %</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0"/>
                <w:szCs w:val="10"/>
                <w:color w:val="auto"/>
              </w:rPr>
              <w:t>SOFR+535</w:t>
            </w:r>
          </w:p>
        </w:tc>
        <w:tc>
          <w:tcPr>
            <w:tcW w:w="74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2,936</w:t>
            </w: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2,927</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2,931</w:t>
            </w:r>
          </w:p>
        </w:tc>
        <w:tc>
          <w:tcPr>
            <w:tcW w:w="100" w:type="dxa"/>
            <w:vAlign w:val="bottom"/>
          </w:tcPr>
          <w:p>
            <w:pPr>
              <w:spacing w:after="0"/>
              <w:rPr>
                <w:sz w:val="10"/>
                <w:szCs w:val="10"/>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Aegis Technologies Group,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10/31/2025</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6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12.04 %</w:t>
            </w:r>
          </w:p>
        </w:tc>
        <w:tc>
          <w:tcPr>
            <w:tcW w:w="84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0"/>
                <w:szCs w:val="10"/>
                <w:color w:val="auto"/>
              </w:rPr>
              <w:t>SOFR+665</w:t>
            </w:r>
          </w:p>
        </w:tc>
        <w:tc>
          <w:tcPr>
            <w:tcW w:w="740" w:type="dxa"/>
            <w:vAlign w:val="bottom"/>
            <w:shd w:val="clear" w:color="auto" w:fill="CCECFF"/>
          </w:tcPr>
          <w:p>
            <w:pPr>
              <w:jc w:val="right"/>
              <w:ind w:right="191"/>
              <w:spacing w:after="0"/>
              <w:rPr>
                <w:sz w:val="20"/>
                <w:szCs w:val="20"/>
                <w:color w:val="auto"/>
              </w:rPr>
            </w:pPr>
            <w:r>
              <w:rPr>
                <w:rFonts w:ascii="Times New Roman" w:cs="Times New Roman" w:eastAsia="Times New Roman" w:hAnsi="Times New Roman"/>
                <w:sz w:val="10"/>
                <w:szCs w:val="10"/>
                <w:color w:val="auto"/>
              </w:rPr>
              <w:t>11,095</w:t>
            </w:r>
          </w:p>
        </w:tc>
        <w:tc>
          <w:tcPr>
            <w:tcW w:w="10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11,008</w:t>
            </w:r>
          </w:p>
        </w:tc>
        <w:tc>
          <w:tcPr>
            <w:tcW w:w="2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10,929</w:t>
            </w:r>
          </w:p>
        </w:tc>
        <w:tc>
          <w:tcPr>
            <w:tcW w:w="100" w:type="dxa"/>
            <w:vAlign w:val="bottom"/>
            <w:shd w:val="clear" w:color="auto" w:fill="CCECFF"/>
          </w:tcPr>
          <w:p>
            <w:pPr>
              <w:spacing w:after="0"/>
              <w:rPr>
                <w:sz w:val="10"/>
                <w:szCs w:val="10"/>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7/27/2026</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6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12.79 %</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0"/>
                <w:szCs w:val="10"/>
                <w:color w:val="auto"/>
              </w:rPr>
              <w:t>SOFR+740</w:t>
            </w:r>
          </w:p>
        </w:tc>
        <w:tc>
          <w:tcPr>
            <w:tcW w:w="74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7,855</w:t>
            </w: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7,872</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7,823</w:t>
            </w:r>
          </w:p>
        </w:tc>
        <w:tc>
          <w:tcPr>
            <w:tcW w:w="100" w:type="dxa"/>
            <w:vAlign w:val="bottom"/>
          </w:tcPr>
          <w:p>
            <w:pPr>
              <w:spacing w:after="0"/>
              <w:rPr>
                <w:sz w:val="10"/>
                <w:szCs w:val="10"/>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8/31/2027</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6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11.70 %</w:t>
            </w:r>
          </w:p>
        </w:tc>
        <w:tc>
          <w:tcPr>
            <w:tcW w:w="84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0"/>
                <w:szCs w:val="10"/>
                <w:color w:val="auto"/>
              </w:rPr>
              <w:t>SOFR+635</w:t>
            </w:r>
          </w:p>
        </w:tc>
        <w:tc>
          <w:tcPr>
            <w:tcW w:w="740" w:type="dxa"/>
            <w:vAlign w:val="bottom"/>
            <w:shd w:val="clear" w:color="auto" w:fill="CCECFF"/>
          </w:tcPr>
          <w:p>
            <w:pPr>
              <w:jc w:val="right"/>
              <w:ind w:right="191"/>
              <w:spacing w:after="0"/>
              <w:rPr>
                <w:sz w:val="20"/>
                <w:szCs w:val="20"/>
                <w:color w:val="auto"/>
              </w:rPr>
            </w:pPr>
            <w:r>
              <w:rPr>
                <w:rFonts w:ascii="Times New Roman" w:cs="Times New Roman" w:eastAsia="Times New Roman" w:hAnsi="Times New Roman"/>
                <w:sz w:val="10"/>
                <w:szCs w:val="10"/>
                <w:color w:val="auto"/>
              </w:rPr>
              <w:t>7,690</w:t>
            </w:r>
          </w:p>
        </w:tc>
        <w:tc>
          <w:tcPr>
            <w:tcW w:w="10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7,596</w:t>
            </w:r>
          </w:p>
        </w:tc>
        <w:tc>
          <w:tcPr>
            <w:tcW w:w="2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7,628</w:t>
            </w:r>
          </w:p>
        </w:tc>
        <w:tc>
          <w:tcPr>
            <w:tcW w:w="100" w:type="dxa"/>
            <w:vAlign w:val="bottom"/>
            <w:shd w:val="clear" w:color="auto" w:fill="CCECFF"/>
          </w:tcPr>
          <w:p>
            <w:pPr>
              <w:spacing w:after="0"/>
              <w:rPr>
                <w:sz w:val="10"/>
                <w:szCs w:val="10"/>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TPC Canada Parent, Inc. and TPC US Parent,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11/24/2025</w:t>
            </w:r>
          </w:p>
        </w:tc>
        <w:tc>
          <w:tcPr>
            <w:tcW w:w="218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7"/>
              </w:rPr>
              <w:t>Food</w:t>
            </w:r>
          </w:p>
        </w:tc>
        <w:tc>
          <w:tcPr>
            <w:tcW w:w="76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10.68 %</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0"/>
                <w:szCs w:val="10"/>
                <w:color w:val="auto"/>
              </w:rPr>
              <w:t>SOFR+550</w:t>
            </w:r>
          </w:p>
        </w:tc>
        <w:tc>
          <w:tcPr>
            <w:tcW w:w="74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5,479</w:t>
            </w: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5,378</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5,479</w:t>
            </w:r>
          </w:p>
        </w:tc>
        <w:tc>
          <w:tcPr>
            <w:tcW w:w="100" w:type="dxa"/>
            <w:vAlign w:val="bottom"/>
          </w:tcPr>
          <w:p>
            <w:pPr>
              <w:spacing w:after="0"/>
              <w:rPr>
                <w:sz w:val="10"/>
                <w:szCs w:val="10"/>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6/6/2025</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76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11.80 %</w:t>
            </w:r>
          </w:p>
        </w:tc>
        <w:tc>
          <w:tcPr>
            <w:tcW w:w="84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0"/>
                <w:szCs w:val="10"/>
                <w:color w:val="auto"/>
              </w:rPr>
              <w:t>SOFR+625</w:t>
            </w:r>
          </w:p>
        </w:tc>
        <w:tc>
          <w:tcPr>
            <w:tcW w:w="740" w:type="dxa"/>
            <w:vAlign w:val="bottom"/>
            <w:shd w:val="clear" w:color="auto" w:fill="CCECFF"/>
          </w:tcPr>
          <w:p>
            <w:pPr>
              <w:jc w:val="right"/>
              <w:ind w:right="191"/>
              <w:spacing w:after="0"/>
              <w:rPr>
                <w:sz w:val="20"/>
                <w:szCs w:val="20"/>
                <w:color w:val="auto"/>
              </w:rPr>
            </w:pPr>
            <w:r>
              <w:rPr>
                <w:rFonts w:ascii="Times New Roman" w:cs="Times New Roman" w:eastAsia="Times New Roman" w:hAnsi="Times New Roman"/>
                <w:sz w:val="10"/>
                <w:szCs w:val="10"/>
                <w:color w:val="auto"/>
              </w:rPr>
              <w:t>7,177</w:t>
            </w:r>
          </w:p>
        </w:tc>
        <w:tc>
          <w:tcPr>
            <w:tcW w:w="10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7,161</w:t>
            </w:r>
          </w:p>
        </w:tc>
        <w:tc>
          <w:tcPr>
            <w:tcW w:w="2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7,177</w:t>
            </w:r>
          </w:p>
        </w:tc>
        <w:tc>
          <w:tcPr>
            <w:tcW w:w="100" w:type="dxa"/>
            <w:vAlign w:val="bottom"/>
            <w:shd w:val="clear" w:color="auto" w:fill="CCECFF"/>
          </w:tcPr>
          <w:p>
            <w:pPr>
              <w:spacing w:after="0"/>
              <w:rPr>
                <w:sz w:val="10"/>
                <w:szCs w:val="10"/>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4/3/2028</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6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10.90 %</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0"/>
                <w:szCs w:val="10"/>
                <w:color w:val="auto"/>
              </w:rPr>
              <w:t>SOFR+550</w:t>
            </w:r>
          </w:p>
        </w:tc>
        <w:tc>
          <w:tcPr>
            <w:tcW w:w="74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11,393</w:t>
            </w: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11,285</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10,391</w:t>
            </w:r>
          </w:p>
        </w:tc>
        <w:tc>
          <w:tcPr>
            <w:tcW w:w="100" w:type="dxa"/>
            <w:vAlign w:val="bottom"/>
          </w:tcPr>
          <w:p>
            <w:pPr>
              <w:spacing w:after="0"/>
              <w:rPr>
                <w:sz w:val="10"/>
                <w:szCs w:val="10"/>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6/15/2026</w:t>
            </w:r>
          </w:p>
        </w:tc>
        <w:tc>
          <w:tcPr>
            <w:tcW w:w="2180" w:type="dxa"/>
            <w:vAlign w:val="bottom"/>
            <w:shd w:val="clear" w:color="auto" w:fill="CCECFF"/>
          </w:tcPr>
          <w:p>
            <w:pPr>
              <w:jc w:val="center"/>
              <w:ind w:right="11"/>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76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11.79 %</w:t>
            </w:r>
          </w:p>
        </w:tc>
        <w:tc>
          <w:tcPr>
            <w:tcW w:w="84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0"/>
                <w:szCs w:val="10"/>
                <w:color w:val="auto"/>
              </w:rPr>
              <w:t>SOFR+625</w:t>
            </w:r>
          </w:p>
        </w:tc>
        <w:tc>
          <w:tcPr>
            <w:tcW w:w="740" w:type="dxa"/>
            <w:vAlign w:val="bottom"/>
            <w:shd w:val="clear" w:color="auto" w:fill="CCECFF"/>
          </w:tcPr>
          <w:p>
            <w:pPr>
              <w:jc w:val="right"/>
              <w:ind w:right="191"/>
              <w:spacing w:after="0"/>
              <w:rPr>
                <w:sz w:val="20"/>
                <w:szCs w:val="20"/>
                <w:color w:val="auto"/>
              </w:rPr>
            </w:pPr>
            <w:r>
              <w:rPr>
                <w:rFonts w:ascii="Times New Roman" w:cs="Times New Roman" w:eastAsia="Times New Roman" w:hAnsi="Times New Roman"/>
                <w:sz w:val="10"/>
                <w:szCs w:val="10"/>
                <w:color w:val="auto"/>
              </w:rPr>
              <w:t>3,860</w:t>
            </w:r>
          </w:p>
        </w:tc>
        <w:tc>
          <w:tcPr>
            <w:tcW w:w="10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3,792</w:t>
            </w:r>
          </w:p>
        </w:tc>
        <w:tc>
          <w:tcPr>
            <w:tcW w:w="2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3,780</w:t>
            </w:r>
          </w:p>
        </w:tc>
        <w:tc>
          <w:tcPr>
            <w:tcW w:w="100" w:type="dxa"/>
            <w:vAlign w:val="bottom"/>
            <w:shd w:val="clear" w:color="auto" w:fill="CCECFF"/>
          </w:tcPr>
          <w:p>
            <w:pPr>
              <w:spacing w:after="0"/>
              <w:rPr>
                <w:sz w:val="10"/>
                <w:szCs w:val="10"/>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2/27/2026</w:t>
            </w:r>
          </w:p>
        </w:tc>
        <w:tc>
          <w:tcPr>
            <w:tcW w:w="2180" w:type="dxa"/>
            <w:vAlign w:val="bottom"/>
          </w:tcPr>
          <w:p>
            <w:pPr>
              <w:jc w:val="center"/>
              <w:ind w:right="11"/>
              <w:spacing w:after="0"/>
              <w:rPr>
                <w:sz w:val="20"/>
                <w:szCs w:val="20"/>
                <w:color w:val="auto"/>
              </w:rPr>
            </w:pPr>
            <w:r>
              <w:rPr>
                <w:rFonts w:ascii="Times New Roman" w:cs="Times New Roman" w:eastAsia="Times New Roman" w:hAnsi="Times New Roman"/>
                <w:sz w:val="10"/>
                <w:szCs w:val="10"/>
                <w:color w:val="auto"/>
                <w:w w:val="97"/>
              </w:rPr>
              <w:t>Electronics</w:t>
            </w:r>
          </w:p>
        </w:tc>
        <w:tc>
          <w:tcPr>
            <w:tcW w:w="760" w:type="dxa"/>
            <w:vAlign w:val="bottom"/>
          </w:tcPr>
          <w:p>
            <w:pPr>
              <w:spacing w:after="0"/>
              <w:rPr>
                <w:sz w:val="10"/>
                <w:szCs w:val="10"/>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5"/>
              </w:rPr>
              <w:t>10.54 %</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0"/>
                <w:szCs w:val="10"/>
                <w:color w:val="auto"/>
              </w:rPr>
              <w:t>SOFR+515</w:t>
            </w:r>
          </w:p>
        </w:tc>
        <w:tc>
          <w:tcPr>
            <w:tcW w:w="74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11,386</w:t>
            </w: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11,323</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11,272</w:t>
            </w:r>
          </w:p>
        </w:tc>
        <w:tc>
          <w:tcPr>
            <w:tcW w:w="100" w:type="dxa"/>
            <w:vAlign w:val="bottom"/>
          </w:tcPr>
          <w:p>
            <w:pPr>
              <w:spacing w:after="0"/>
              <w:rPr>
                <w:sz w:val="10"/>
                <w:szCs w:val="10"/>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3/1/2024</w:t>
            </w:r>
          </w:p>
        </w:tc>
        <w:tc>
          <w:tcPr>
            <w:tcW w:w="2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6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95"/>
              </w:rPr>
              <w:t>12.67 %</w:t>
            </w:r>
          </w:p>
        </w:tc>
        <w:tc>
          <w:tcPr>
            <w:tcW w:w="84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0"/>
                <w:szCs w:val="10"/>
                <w:color w:val="auto"/>
              </w:rPr>
              <w:t>SOFR+735</w:t>
            </w:r>
          </w:p>
        </w:tc>
        <w:tc>
          <w:tcPr>
            <w:tcW w:w="740" w:type="dxa"/>
            <w:vAlign w:val="bottom"/>
            <w:shd w:val="clear" w:color="auto" w:fill="CCECFF"/>
          </w:tcPr>
          <w:p>
            <w:pPr>
              <w:jc w:val="right"/>
              <w:ind w:right="191"/>
              <w:spacing w:after="0"/>
              <w:rPr>
                <w:sz w:val="20"/>
                <w:szCs w:val="20"/>
                <w:color w:val="auto"/>
              </w:rPr>
            </w:pPr>
            <w:r>
              <w:rPr>
                <w:rFonts w:ascii="Times New Roman" w:cs="Times New Roman" w:eastAsia="Times New Roman" w:hAnsi="Times New Roman"/>
                <w:sz w:val="10"/>
                <w:szCs w:val="10"/>
                <w:color w:val="auto"/>
              </w:rPr>
              <w:t>19,682</w:t>
            </w:r>
          </w:p>
        </w:tc>
        <w:tc>
          <w:tcPr>
            <w:tcW w:w="10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19,581</w:t>
            </w:r>
          </w:p>
        </w:tc>
        <w:tc>
          <w:tcPr>
            <w:tcW w:w="2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19,042</w:t>
            </w:r>
          </w:p>
        </w:tc>
        <w:tc>
          <w:tcPr>
            <w:tcW w:w="100" w:type="dxa"/>
            <w:vAlign w:val="bottom"/>
            <w:shd w:val="clear" w:color="auto" w:fill="CCECFF"/>
          </w:tcPr>
          <w:p>
            <w:pPr>
              <w:spacing w:after="0"/>
              <w:rPr>
                <w:sz w:val="10"/>
                <w:szCs w:val="10"/>
                <w:color w:val="auto"/>
              </w:rPr>
            </w:pPr>
          </w:p>
        </w:tc>
      </w:tr>
      <w:tr>
        <w:trPr>
          <w:trHeight w:val="120"/>
        </w:trPr>
        <w:tc>
          <w:tcPr>
            <w:tcW w:w="2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0"/>
        </w:trPr>
        <w:tc>
          <w:tcPr>
            <w:tcW w:w="288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21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40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4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9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810,737</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804,187</w:t>
            </w:r>
          </w:p>
        </w:tc>
        <w:tc>
          <w:tcPr>
            <w:tcW w:w="100" w:type="dxa"/>
            <w:vAlign w:val="bottom"/>
          </w:tcPr>
          <w:p>
            <w:pPr>
              <w:spacing w:after="0"/>
              <w:rPr>
                <w:sz w:val="10"/>
                <w:szCs w:val="10"/>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- 783.7%</w:t>
            </w:r>
          </w:p>
        </w:tc>
        <w:tc>
          <w:tcPr>
            <w:tcW w:w="940" w:type="dxa"/>
            <w:vAlign w:val="bottom"/>
            <w:shd w:val="clear" w:color="auto" w:fill="CCECFF"/>
          </w:tcPr>
          <w:p>
            <w:pPr>
              <w:spacing w:after="0"/>
              <w:rPr>
                <w:sz w:val="10"/>
                <w:szCs w:val="10"/>
                <w:color w:val="auto"/>
              </w:rPr>
            </w:pPr>
          </w:p>
        </w:tc>
        <w:tc>
          <w:tcPr>
            <w:tcW w:w="21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40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4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- 57.6%</w:t>
            </w:r>
          </w:p>
        </w:tc>
        <w:tc>
          <w:tcPr>
            <w:tcW w:w="9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940" w:type="dxa"/>
            <w:vAlign w:val="bottom"/>
            <w:shd w:val="clear" w:color="auto" w:fill="CCECFF"/>
          </w:tcPr>
          <w:p>
            <w:pPr>
              <w:spacing w:after="0"/>
              <w:rPr>
                <w:sz w:val="10"/>
                <w:szCs w:val="10"/>
                <w:color w:val="auto"/>
              </w:rPr>
            </w:pPr>
          </w:p>
        </w:tc>
        <w:tc>
          <w:tcPr>
            <w:tcW w:w="21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40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2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100" w:type="dxa"/>
            <w:vAlign w:val="bottom"/>
            <w:shd w:val="clear" w:color="auto" w:fill="CCECFF"/>
          </w:tcPr>
          <w:p>
            <w:pPr>
              <w:spacing w:after="0"/>
              <w:rPr>
                <w:sz w:val="10"/>
                <w:szCs w:val="10"/>
                <w:color w:val="auto"/>
              </w:rPr>
            </w:pPr>
          </w:p>
        </w:tc>
      </w:tr>
      <w:tr>
        <w:trPr>
          <w:trHeight w:val="12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9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100" w:type="dxa"/>
            <w:vAlign w:val="bottom"/>
          </w:tcPr>
          <w:p>
            <w:pPr>
              <w:spacing w:after="0"/>
              <w:rPr>
                <w:sz w:val="10"/>
                <w:szCs w:val="10"/>
                <w:color w:val="auto"/>
              </w:rPr>
            </w:pPr>
          </w:p>
        </w:tc>
      </w:tr>
      <w:tr>
        <w:trPr>
          <w:trHeight w:val="160"/>
        </w:trPr>
        <w:tc>
          <w:tcPr>
            <w:tcW w:w="2880" w:type="dxa"/>
            <w:vAlign w:val="bottom"/>
            <w:tcBorders>
              <w:bottom w:val="single" w:sz="8" w:color="CCECFF"/>
            </w:tcBorders>
            <w:shd w:val="clear" w:color="auto" w:fill="CCEC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Total Investments and Cash Equivalents - 841.3%</w:t>
            </w:r>
          </w:p>
        </w:tc>
        <w:tc>
          <w:tcPr>
            <w:tcW w:w="940" w:type="dxa"/>
            <w:vAlign w:val="bottom"/>
            <w:tcBorders>
              <w:bottom w:val="single" w:sz="8" w:color="CCECFF"/>
            </w:tcBorders>
            <w:shd w:val="clear" w:color="auto" w:fill="CCECFF"/>
          </w:tcPr>
          <w:p>
            <w:pPr>
              <w:spacing w:after="0"/>
              <w:rPr>
                <w:sz w:val="13"/>
                <w:szCs w:val="13"/>
                <w:color w:val="auto"/>
              </w:rPr>
            </w:pPr>
          </w:p>
        </w:tc>
        <w:tc>
          <w:tcPr>
            <w:tcW w:w="2180" w:type="dxa"/>
            <w:vAlign w:val="bottom"/>
            <w:tcBorders>
              <w:bottom w:val="single" w:sz="8" w:color="CCECFF"/>
            </w:tcBorders>
            <w:shd w:val="clear" w:color="auto" w:fill="CCECFF"/>
          </w:tcPr>
          <w:p>
            <w:pPr>
              <w:spacing w:after="0"/>
              <w:rPr>
                <w:sz w:val="13"/>
                <w:szCs w:val="13"/>
                <w:color w:val="auto"/>
              </w:rPr>
            </w:pPr>
          </w:p>
        </w:tc>
        <w:tc>
          <w:tcPr>
            <w:tcW w:w="760" w:type="dxa"/>
            <w:vAlign w:val="bottom"/>
            <w:tcBorders>
              <w:bottom w:val="single" w:sz="8" w:color="CCECFF"/>
            </w:tcBorders>
            <w:shd w:val="clear" w:color="auto" w:fill="CCECFF"/>
          </w:tcPr>
          <w:p>
            <w:pPr>
              <w:spacing w:after="0"/>
              <w:rPr>
                <w:sz w:val="13"/>
                <w:szCs w:val="13"/>
                <w:color w:val="auto"/>
              </w:rPr>
            </w:pPr>
          </w:p>
        </w:tc>
        <w:tc>
          <w:tcPr>
            <w:tcW w:w="400" w:type="dxa"/>
            <w:vAlign w:val="bottom"/>
            <w:tcBorders>
              <w:bottom w:val="single" w:sz="8" w:color="CCECFF"/>
            </w:tcBorders>
            <w:shd w:val="clear" w:color="auto" w:fill="CCECFF"/>
          </w:tcPr>
          <w:p>
            <w:pPr>
              <w:spacing w:after="0"/>
              <w:rPr>
                <w:sz w:val="13"/>
                <w:szCs w:val="13"/>
                <w:color w:val="auto"/>
              </w:rPr>
            </w:pPr>
          </w:p>
        </w:tc>
        <w:tc>
          <w:tcPr>
            <w:tcW w:w="840" w:type="dxa"/>
            <w:vAlign w:val="bottom"/>
            <w:tcBorders>
              <w:bottom w:val="single" w:sz="8" w:color="CCECFF"/>
            </w:tcBorders>
            <w:shd w:val="clear" w:color="auto" w:fill="CCECFF"/>
          </w:tcPr>
          <w:p>
            <w:pPr>
              <w:spacing w:after="0"/>
              <w:rPr>
                <w:sz w:val="13"/>
                <w:szCs w:val="13"/>
                <w:color w:val="auto"/>
              </w:rPr>
            </w:pPr>
          </w:p>
        </w:tc>
        <w:tc>
          <w:tcPr>
            <w:tcW w:w="74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869,833</w:t>
            </w:r>
          </w:p>
        </w:tc>
        <w:tc>
          <w:tcPr>
            <w:tcW w:w="20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863,283</w:t>
            </w:r>
          </w:p>
        </w:tc>
        <w:tc>
          <w:tcPr>
            <w:tcW w:w="100" w:type="dxa"/>
            <w:vAlign w:val="bottom"/>
            <w:tcBorders>
              <w:bottom w:val="single" w:sz="8" w:color="CCECFF"/>
            </w:tcBorders>
            <w:shd w:val="clear" w:color="auto" w:fill="CCECFF"/>
          </w:tcPr>
          <w:p>
            <w:pPr>
              <w:spacing w:after="0"/>
              <w:rPr>
                <w:sz w:val="13"/>
                <w:szCs w:val="13"/>
                <w:color w:val="auto"/>
              </w:rPr>
            </w:pPr>
          </w:p>
        </w:tc>
      </w:tr>
      <w:tr>
        <w:trPr>
          <w:trHeight w:val="96"/>
        </w:trPr>
        <w:tc>
          <w:tcPr>
            <w:tcW w:w="2880" w:type="dxa"/>
            <w:vAlign w:val="bottom"/>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rPr>
              <w:t>Liabilities in Excess of Other Assets — (741.3)%</w:t>
            </w:r>
          </w:p>
        </w:tc>
        <w:tc>
          <w:tcPr>
            <w:tcW w:w="9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tcPr>
          <w:p>
            <w:pPr>
              <w:jc w:val="right"/>
              <w:ind w:right="60"/>
              <w:spacing w:after="0" w:line="96" w:lineRule="exact"/>
              <w:rPr>
                <w:sz w:val="20"/>
                <w:szCs w:val="20"/>
                <w:color w:val="auto"/>
              </w:rPr>
            </w:pPr>
            <w:r>
              <w:rPr>
                <w:rFonts w:ascii="Times New Roman" w:cs="Times New Roman" w:eastAsia="Times New Roman" w:hAnsi="Times New Roman"/>
                <w:sz w:val="10"/>
                <w:szCs w:val="10"/>
                <w:color w:val="auto"/>
              </w:rPr>
              <w:t>(760,665 )</w:t>
            </w:r>
          </w:p>
        </w:tc>
      </w:tr>
      <w:tr>
        <w:trPr>
          <w:trHeight w:val="160"/>
        </w:trPr>
        <w:tc>
          <w:tcPr>
            <w:tcW w:w="2880" w:type="dxa"/>
            <w:vAlign w:val="bottom"/>
            <w:tcBorders>
              <w:bottom w:val="single" w:sz="8" w:color="CCECFF"/>
            </w:tcBorders>
            <w:shd w:val="clear" w:color="auto" w:fill="CCEC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Members' Equity—100.0%</w:t>
            </w:r>
          </w:p>
        </w:tc>
        <w:tc>
          <w:tcPr>
            <w:tcW w:w="940" w:type="dxa"/>
            <w:vAlign w:val="bottom"/>
            <w:tcBorders>
              <w:bottom w:val="single" w:sz="8" w:color="CCECFF"/>
            </w:tcBorders>
            <w:shd w:val="clear" w:color="auto" w:fill="CCECFF"/>
          </w:tcPr>
          <w:p>
            <w:pPr>
              <w:spacing w:after="0"/>
              <w:rPr>
                <w:sz w:val="13"/>
                <w:szCs w:val="13"/>
                <w:color w:val="auto"/>
              </w:rPr>
            </w:pPr>
          </w:p>
        </w:tc>
        <w:tc>
          <w:tcPr>
            <w:tcW w:w="2180" w:type="dxa"/>
            <w:vAlign w:val="bottom"/>
            <w:tcBorders>
              <w:bottom w:val="single" w:sz="8" w:color="CCECFF"/>
            </w:tcBorders>
            <w:shd w:val="clear" w:color="auto" w:fill="CCECFF"/>
          </w:tcPr>
          <w:p>
            <w:pPr>
              <w:spacing w:after="0"/>
              <w:rPr>
                <w:sz w:val="13"/>
                <w:szCs w:val="13"/>
                <w:color w:val="auto"/>
              </w:rPr>
            </w:pPr>
          </w:p>
        </w:tc>
        <w:tc>
          <w:tcPr>
            <w:tcW w:w="760" w:type="dxa"/>
            <w:vAlign w:val="bottom"/>
            <w:tcBorders>
              <w:bottom w:val="single" w:sz="8" w:color="CCECFF"/>
            </w:tcBorders>
            <w:shd w:val="clear" w:color="auto" w:fill="CCECFF"/>
          </w:tcPr>
          <w:p>
            <w:pPr>
              <w:spacing w:after="0"/>
              <w:rPr>
                <w:sz w:val="13"/>
                <w:szCs w:val="13"/>
                <w:color w:val="auto"/>
              </w:rPr>
            </w:pPr>
          </w:p>
        </w:tc>
        <w:tc>
          <w:tcPr>
            <w:tcW w:w="400" w:type="dxa"/>
            <w:vAlign w:val="bottom"/>
            <w:tcBorders>
              <w:bottom w:val="single" w:sz="8" w:color="CCECFF"/>
            </w:tcBorders>
            <w:shd w:val="clear" w:color="auto" w:fill="CCECFF"/>
          </w:tcPr>
          <w:p>
            <w:pPr>
              <w:spacing w:after="0"/>
              <w:rPr>
                <w:sz w:val="13"/>
                <w:szCs w:val="13"/>
                <w:color w:val="auto"/>
              </w:rPr>
            </w:pPr>
          </w:p>
        </w:tc>
        <w:tc>
          <w:tcPr>
            <w:tcW w:w="840" w:type="dxa"/>
            <w:vAlign w:val="bottom"/>
            <w:tcBorders>
              <w:bottom w:val="single" w:sz="8" w:color="CCECFF"/>
            </w:tcBorders>
            <w:shd w:val="clear" w:color="auto" w:fill="CCECFF"/>
          </w:tcPr>
          <w:p>
            <w:pPr>
              <w:spacing w:after="0"/>
              <w:rPr>
                <w:sz w:val="13"/>
                <w:szCs w:val="13"/>
                <w:color w:val="auto"/>
              </w:rPr>
            </w:pPr>
          </w:p>
        </w:tc>
        <w:tc>
          <w:tcPr>
            <w:tcW w:w="74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44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102,618</w:t>
            </w:r>
          </w:p>
        </w:tc>
        <w:tc>
          <w:tcPr>
            <w:tcW w:w="100" w:type="dxa"/>
            <w:vAlign w:val="bottom"/>
            <w:tcBorders>
              <w:bottom w:val="single" w:sz="8" w:color="CCECFF"/>
            </w:tcBorders>
            <w:shd w:val="clear" w:color="auto" w:fill="CCECFF"/>
          </w:tcPr>
          <w:p>
            <w:pPr>
              <w:spacing w:after="0"/>
              <w:rPr>
                <w:sz w:val="13"/>
                <w:szCs w:val="13"/>
                <w:color w:val="auto"/>
              </w:rPr>
            </w:pPr>
          </w:p>
        </w:tc>
      </w:tr>
    </w:tbl>
    <w:p>
      <w:pPr>
        <w:spacing w:after="0" w:line="121" w:lineRule="exact"/>
        <w:rPr>
          <w:sz w:val="20"/>
          <w:szCs w:val="20"/>
          <w:color w:val="auto"/>
        </w:rPr>
      </w:pPr>
    </w:p>
    <w:p>
      <w:pPr>
        <w:jc w:val="both"/>
        <w:ind w:left="20" w:right="320" w:hanging="2"/>
        <w:spacing w:after="0" w:line="205" w:lineRule="auto"/>
        <w:tabs>
          <w:tab w:leader="none" w:pos="92"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0"/>
          <w:szCs w:val="10"/>
          <w:color w:val="auto"/>
        </w:rPr>
        <w:t>Represents floating rate instruments that accrue interest at a predetermined spread relative to an index, typically the applicable Secured Overnight Financing Rate ("S" or "SOFR"). The spread may change based on the type of rate used. The terms in the Schedule of Investments disclose the actual interest rate in effect as of the reporting period. SOFR loans are typically indexed to a 30-day, 60-day, 90-day or 180-day SOFR rate (1M S, 2M S, 3M S, or 6M S, respectively), at the borrower’s option. All securities are subject to the SOFR floor where a spread is provided, unless noted. The spread provided includes PIK interest and other fee rates, if any.</w:t>
      </w:r>
    </w:p>
    <w:p>
      <w:pPr>
        <w:ind w:left="20"/>
        <w:spacing w:after="0" w:line="188" w:lineRule="auto"/>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vertAlign w:val="superscript"/>
        </w:rPr>
        <w:t>2</w:t>
      </w:r>
      <w:r>
        <w:rPr>
          <w:rFonts w:ascii="Times New Roman" w:cs="Times New Roman" w:eastAsia="Times New Roman" w:hAnsi="Times New Roman"/>
          <w:sz w:val="9"/>
          <w:szCs w:val="9"/>
          <w:color w:val="auto"/>
        </w:rPr>
        <w:t xml:space="preserve"> Valued based on PSLF's accounting policy .</w:t>
      </w:r>
    </w:p>
    <w:p>
      <w:pPr>
        <w:ind w:left="20"/>
        <w:spacing w:after="0" w:line="192" w:lineRule="auto"/>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vertAlign w:val="superscript"/>
        </w:rPr>
        <w:t>3</w:t>
      </w:r>
      <w:r>
        <w:rPr>
          <w:rFonts w:ascii="Times New Roman" w:cs="Times New Roman" w:eastAsia="Times New Roman" w:hAnsi="Times New Roman"/>
          <w:sz w:val="8"/>
          <w:szCs w:val="8"/>
          <w:color w:val="auto"/>
        </w:rPr>
        <w:t xml:space="preserve"> Represents the purchase of a security with a delayed settlement or a revolving line of credit that is currently an unfunded investment. This security does not earn a basis point spread above an index while it is unfunded.</w:t>
      </w:r>
    </w:p>
    <w:p>
      <w:pPr>
        <w:ind w:left="20"/>
        <w:spacing w:after="0" w:line="192" w:lineRule="auto"/>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vertAlign w:val="superscript"/>
        </w:rPr>
        <w:t>4</w:t>
      </w:r>
      <w:r>
        <w:rPr>
          <w:rFonts w:ascii="Times New Roman" w:cs="Times New Roman" w:eastAsia="Times New Roman" w:hAnsi="Times New Roman"/>
          <w:sz w:val="8"/>
          <w:szCs w:val="8"/>
          <w:color w:val="auto"/>
        </w:rPr>
        <w:t xml:space="preserve"> All investments are in US Companies unless noted otherwise</w:t>
      </w:r>
    </w:p>
    <w:p>
      <w:pPr>
        <w:ind w:left="20"/>
        <w:spacing w:after="0" w:line="192" w:lineRule="auto"/>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vertAlign w:val="superscript"/>
        </w:rPr>
        <w:t>5</w:t>
      </w:r>
      <w:r>
        <w:rPr>
          <w:rFonts w:ascii="Times New Roman" w:cs="Times New Roman" w:eastAsia="Times New Roman" w:hAnsi="Times New Roman"/>
          <w:sz w:val="8"/>
          <w:szCs w:val="8"/>
          <w:color w:val="auto"/>
        </w:rPr>
        <w:t xml:space="preserve"> The securities are, 1) pledged as collateral under the BNP Credit Facility and held through Funding I; or, 2) securing the 2034 Asset-Backed Debt and held through PennantPark CLO IV, LLC; or, 3) securing the 2035 Asset-Backed Debt held through PennantPark</w:t>
      </w:r>
    </w:p>
    <w:p>
      <w:pPr>
        <w:ind w:left="20"/>
        <w:spacing w:after="0" w:line="237" w:lineRule="auto"/>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0"/>
          <w:szCs w:val="10"/>
          <w:color w:val="auto"/>
        </w:rPr>
        <w:t>CLO VII, LLC</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9" w:name="page130"/>
    <w:bookmarkEnd w:id="12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200" w:lineRule="exact"/>
        <w:rPr>
          <w:sz w:val="20"/>
          <w:szCs w:val="20"/>
          <w:color w:val="auto"/>
        </w:rPr>
      </w:pPr>
    </w:p>
    <w:p>
      <w:pPr>
        <w:spacing w:after="0" w:line="3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1.ORGANIZATION</w:t>
      </w:r>
    </w:p>
    <w:p>
      <w:pPr>
        <w:spacing w:after="0" w:line="178" w:lineRule="exact"/>
        <w:rPr>
          <w:sz w:val="20"/>
          <w:szCs w:val="20"/>
          <w:color w:val="auto"/>
        </w:rPr>
      </w:pPr>
    </w:p>
    <w:p>
      <w:pPr>
        <w:jc w:val="both"/>
        <w:ind w:right="340" w:firstLine="348"/>
        <w:spacing w:after="0" w:line="247" w:lineRule="auto"/>
        <w:rPr>
          <w:sz w:val="20"/>
          <w:szCs w:val="20"/>
          <w:color w:val="auto"/>
        </w:rPr>
      </w:pPr>
      <w:r>
        <w:rPr>
          <w:rFonts w:ascii="Times New Roman" w:cs="Times New Roman" w:eastAsia="Times New Roman" w:hAnsi="Times New Roman"/>
          <w:sz w:val="16"/>
          <w:szCs w:val="16"/>
          <w:color w:val="auto"/>
        </w:rPr>
        <w:t>PennantPark Senior Loan Fund, LLC, or PSLF, is organized as a Delaware limited liability company and commenced operations in July 2020. PSLF is a joint venture between PennantPark Investment Corporation ("PNNT") and Pantheon Ventures (UK), LLP ("Pantheon"). In this report, except where the context suggests otherwise, the terms “Company,” “we,” “our,” or “us” refer to PSLF and its consolidated subsidiary.</w:t>
      </w:r>
    </w:p>
    <w:p>
      <w:pPr>
        <w:spacing w:after="0" w:line="152" w:lineRule="exact"/>
        <w:rPr>
          <w:sz w:val="20"/>
          <w:szCs w:val="20"/>
          <w:color w:val="auto"/>
        </w:rPr>
      </w:pPr>
    </w:p>
    <w:p>
      <w:pPr>
        <w:ind w:right="440" w:firstLine="348"/>
        <w:spacing w:after="0" w:line="247" w:lineRule="auto"/>
        <w:rPr>
          <w:sz w:val="20"/>
          <w:szCs w:val="20"/>
          <w:color w:val="auto"/>
        </w:rPr>
      </w:pPr>
      <w:r>
        <w:rPr>
          <w:rFonts w:ascii="Times New Roman" w:cs="Times New Roman" w:eastAsia="Times New Roman" w:hAnsi="Times New Roman"/>
          <w:sz w:val="16"/>
          <w:szCs w:val="16"/>
          <w:color w:val="auto"/>
        </w:rPr>
        <w:t>The Company's investment objectives are to generate both current income and capital appreciation while seeking to preserve capital through debt and equity investments primarily made to U.S. middle-market companies in the form of first lien secured debt, second lien secured debt and subordinated debt and equity investments.</w:t>
      </w:r>
    </w:p>
    <w:p>
      <w:pPr>
        <w:spacing w:after="0" w:line="152" w:lineRule="exact"/>
        <w:rPr>
          <w:sz w:val="20"/>
          <w:szCs w:val="20"/>
          <w:color w:val="auto"/>
        </w:rPr>
      </w:pPr>
    </w:p>
    <w:p>
      <w:pPr>
        <w:ind w:right="80" w:firstLine="420"/>
        <w:spacing w:after="0" w:line="284" w:lineRule="auto"/>
        <w:rPr>
          <w:sz w:val="20"/>
          <w:szCs w:val="20"/>
          <w:color w:val="auto"/>
        </w:rPr>
      </w:pPr>
      <w:r>
        <w:rPr>
          <w:rFonts w:ascii="Times New Roman" w:cs="Times New Roman" w:eastAsia="Times New Roman" w:hAnsi="Times New Roman"/>
          <w:sz w:val="14"/>
          <w:szCs w:val="14"/>
          <w:color w:val="auto"/>
        </w:rPr>
        <w:t>PNNT and Pantheon (individually a "Member" and collectively the "Members"), provide capital to PSLF in the form of notes and equity interests. On July 31, 2020, PNNT contributed its formerly wholly-owned subsidiary, PennantPark Investment Funding I, LLC (“Funding I”) to the Company in exchange for a 72% stake in PSLF. As of July 31, 2020, Funding I held $356.1 million of senior loans at fair value and had $240.0 million of debt outstanding (see Note 10). On July 31, 2020 Pantheon invested $35.0 million to acquire a 28% stake in PSLF of which $22.5 million was used to partially pay down Funding I's outstanding debt. Subsequent to the contribution of Funding I by PNNT, Funding I became a wholly-owned subsidiary of PSLF and its operations are consolidated with and into the operations of PSLF.</w:t>
      </w:r>
    </w:p>
    <w:p>
      <w:pPr>
        <w:spacing w:after="0" w:line="128" w:lineRule="exact"/>
        <w:rPr>
          <w:sz w:val="20"/>
          <w:szCs w:val="20"/>
          <w:color w:val="auto"/>
        </w:rPr>
      </w:pPr>
    </w:p>
    <w:p>
      <w:pPr>
        <w:ind w:right="220" w:firstLine="420"/>
        <w:spacing w:after="0" w:line="247" w:lineRule="auto"/>
        <w:rPr>
          <w:sz w:val="20"/>
          <w:szCs w:val="20"/>
          <w:color w:val="auto"/>
        </w:rPr>
      </w:pPr>
      <w:r>
        <w:rPr>
          <w:rFonts w:ascii="Times New Roman" w:cs="Times New Roman" w:eastAsia="Times New Roman" w:hAnsi="Times New Roman"/>
          <w:sz w:val="16"/>
          <w:szCs w:val="16"/>
          <w:color w:val="auto"/>
        </w:rPr>
        <w:t>On October 31, 2020, PNNT and Pantheon contributed an additional $1.8 million and $27.5 million, respectively, to PSLF. PNNT’s and Pantheon’s additional investments came in at PSLF’s then current Members’ equity. As a result of the additional capital contribution, PNNT and Pantheon owned 60.5% and 39.5%, respectively, of the outstanding notes and equity interests of PSLF.</w:t>
      </w:r>
    </w:p>
    <w:p>
      <w:pPr>
        <w:spacing w:after="0" w:line="152" w:lineRule="exact"/>
        <w:rPr>
          <w:sz w:val="20"/>
          <w:szCs w:val="20"/>
          <w:color w:val="auto"/>
        </w:rPr>
      </w:pPr>
    </w:p>
    <w:p>
      <w:pPr>
        <w:ind w:right="260" w:firstLine="420"/>
        <w:spacing w:after="0" w:line="247" w:lineRule="auto"/>
        <w:rPr>
          <w:sz w:val="20"/>
          <w:szCs w:val="20"/>
          <w:color w:val="auto"/>
        </w:rPr>
      </w:pPr>
      <w:r>
        <w:rPr>
          <w:rFonts w:ascii="Times New Roman" w:cs="Times New Roman" w:eastAsia="Times New Roman" w:hAnsi="Times New Roman"/>
          <w:sz w:val="16"/>
          <w:szCs w:val="16"/>
          <w:color w:val="auto"/>
        </w:rPr>
        <w:t>On August 28, 2024, PNNT and Pantheon committed to fund additional capital in the form of notes and equity interest of $52.5 million and $75.0 million, respectively, to PSLF (see Note 6) . As a result of this additional capital committed, PNNT and Pantheon will own 54.8% and 45.2%, respectively, of the outstanding notes and equity interests of PSLF after all the upsize commitments are funded.</w:t>
      </w:r>
    </w:p>
    <w:p>
      <w:pPr>
        <w:spacing w:after="0" w:line="152" w:lineRule="exact"/>
        <w:rPr>
          <w:sz w:val="20"/>
          <w:szCs w:val="20"/>
          <w:color w:val="auto"/>
        </w:rPr>
      </w:pPr>
    </w:p>
    <w:p>
      <w:pPr>
        <w:ind w:right="180" w:firstLine="420"/>
        <w:spacing w:after="0" w:line="331" w:lineRule="auto"/>
        <w:rPr>
          <w:sz w:val="20"/>
          <w:szCs w:val="20"/>
          <w:color w:val="auto"/>
        </w:rPr>
      </w:pPr>
      <w:r>
        <w:rPr>
          <w:rFonts w:ascii="Times New Roman" w:cs="Times New Roman" w:eastAsia="Times New Roman" w:hAnsi="Times New Roman"/>
          <w:sz w:val="14"/>
          <w:szCs w:val="14"/>
          <w:color w:val="auto"/>
        </w:rPr>
        <w:t>On August 28, 2024, PSLF’s LLC agreement was amended to give Members the option to redeem at least 25% of its Membership interest, allocated proportionally between that redeeming Members note and equity interest and shall be redeemed within eighteen months and three years subject to sufficient liquidity.</w:t>
      </w:r>
    </w:p>
    <w:p>
      <w:pPr>
        <w:spacing w:after="0" w:line="96" w:lineRule="exact"/>
        <w:rPr>
          <w:sz w:val="20"/>
          <w:szCs w:val="20"/>
          <w:color w:val="auto"/>
        </w:rPr>
      </w:pPr>
    </w:p>
    <w:p>
      <w:pPr>
        <w:ind w:right="300" w:firstLine="348"/>
        <w:spacing w:after="0" w:line="247" w:lineRule="auto"/>
        <w:rPr>
          <w:sz w:val="20"/>
          <w:szCs w:val="20"/>
          <w:color w:val="auto"/>
        </w:rPr>
      </w:pPr>
      <w:r>
        <w:rPr>
          <w:rFonts w:ascii="Times New Roman" w:cs="Times New Roman" w:eastAsia="Times New Roman" w:hAnsi="Times New Roman"/>
          <w:sz w:val="16"/>
          <w:szCs w:val="16"/>
          <w:color w:val="auto"/>
        </w:rPr>
        <w:t>The administrative agent of the Company is PennantPark Investment Administration, LLC (the "Administrative Agent"). The Bank of New York Mellon Corporation (the "Sub-Administrator") provides certain services to the Company with respect to certain accounting matters and has the responsibility for the official books and records.</w:t>
      </w:r>
    </w:p>
    <w:p>
      <w:pPr>
        <w:spacing w:after="0" w:line="152" w:lineRule="exact"/>
        <w:rPr>
          <w:sz w:val="20"/>
          <w:szCs w:val="20"/>
          <w:color w:val="auto"/>
        </w:rPr>
      </w:pPr>
    </w:p>
    <w:p>
      <w:pPr>
        <w:ind w:firstLine="348"/>
        <w:spacing w:after="0" w:line="239" w:lineRule="auto"/>
        <w:rPr>
          <w:sz w:val="20"/>
          <w:szCs w:val="20"/>
          <w:color w:val="auto"/>
        </w:rPr>
      </w:pPr>
      <w:r>
        <w:rPr>
          <w:rFonts w:ascii="Times New Roman" w:cs="Times New Roman" w:eastAsia="Times New Roman" w:hAnsi="Times New Roman"/>
          <w:sz w:val="16"/>
          <w:szCs w:val="16"/>
          <w:color w:val="auto"/>
        </w:rPr>
        <w:t>PNNT and Pantheon each appointed two members to PSLF’s four -person member designees’ committee. All material decisions with respect to PSLF, including those involving its investment portfolio, require unanimous approval of a quorum of the member designees. Quorum is defined as (i) the presence of two members of the member designees’ committee; provided that at least one individual is present that was elected, designated or appointed by each member; (ii) the presence of three members of the member designees’ committee, provided that the individual that was elected, designated or appointed by the member with only one individual present shall be entitled to cast two votes on each matter; and (iii) the presence of four members of the member designees or investment committee shall constitute a quorum, provided that two individuals are present that were elected, designated or appointed by each member.</w:t>
      </w:r>
    </w:p>
    <w:p>
      <w:pPr>
        <w:spacing w:after="0" w:line="1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PennantPark CLO IV, LLC ("CLO IV") is a wholly-owned subsidiary and was formed in March 2022 for the purpose of executing a debt securitization (See Note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w:t>
      </w: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PennantPark CLO VII, LLC ("CLO VII") is a wholly-owned subsidiary and was formed in July 2023 for the purpose of executing a debt securitization (See Note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w:t>
      </w: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697865</wp:posOffset>
            </wp:positionV>
            <wp:extent cx="6732905" cy="406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130" w:name="page131"/>
    <w:bookmarkEnd w:id="13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2024 (Continued)</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SIGNIFICANT ACCOUNTING POLICIES</w:t>
      </w:r>
    </w:p>
    <w:p>
      <w:pPr>
        <w:spacing w:after="0" w:line="178" w:lineRule="exact"/>
        <w:rPr>
          <w:sz w:val="20"/>
          <w:szCs w:val="20"/>
          <w:color w:val="auto"/>
        </w:rPr>
      </w:pPr>
    </w:p>
    <w:p>
      <w:pPr>
        <w:ind w:firstLine="348"/>
        <w:spacing w:after="0" w:line="238" w:lineRule="auto"/>
        <w:rPr>
          <w:sz w:val="20"/>
          <w:szCs w:val="20"/>
          <w:color w:val="auto"/>
        </w:rPr>
      </w:pPr>
      <w:r>
        <w:rPr>
          <w:rFonts w:ascii="Times New Roman" w:cs="Times New Roman" w:eastAsia="Times New Roman" w:hAnsi="Times New Roman"/>
          <w:sz w:val="16"/>
          <w:szCs w:val="16"/>
          <w:color w:val="auto"/>
        </w:rPr>
        <w:t>PSLF is considered an investment company under U.S. generally accepted accounting principles ("GAAP") and follows the accounting and reporting guidance applicable to investment companies in the Financial Accounting Standards Board Accounting Standards Codification Topic 946. References to the Accounting Standards Codification, as amended ("ASC"), serves as a source of accounting literature. Subsequent events are evaluated and disclosed as appropriate for events occurring through the date the consolidated financial statements are issued. The preparation of our consolidated financial statements in conformity with GAAP requires the Company to make estimates and assumptions that affect the reported amount of our assets and liabilities at the date of the consolidated financial statements and the reported amounts of income and expenses during the reported periods. In the opinion of the Company,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have eliminated all intercompany balances and transactions.</w:t>
      </w: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significant accounting policies consistently applied are as follows:</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(a) Investment Valuations</w:t>
      </w:r>
    </w:p>
    <w:p>
      <w:pPr>
        <w:spacing w:after="0" w:line="180" w:lineRule="exact"/>
        <w:rPr>
          <w:sz w:val="20"/>
          <w:szCs w:val="20"/>
          <w:color w:val="auto"/>
        </w:rPr>
      </w:pPr>
    </w:p>
    <w:p>
      <w:pPr>
        <w:ind w:right="20" w:firstLine="348"/>
        <w:spacing w:after="0" w:line="238" w:lineRule="auto"/>
        <w:rPr>
          <w:sz w:val="20"/>
          <w:szCs w:val="20"/>
          <w:color w:val="auto"/>
        </w:rPr>
      </w:pPr>
      <w:r>
        <w:rPr>
          <w:rFonts w:ascii="Times New Roman" w:cs="Times New Roman" w:eastAsia="Times New Roman" w:hAnsi="Times New Roman"/>
          <w:sz w:val="16"/>
          <w:szCs w:val="16"/>
          <w:color w:val="auto"/>
        </w:rPr>
        <w:t>We expect that there may not be readily available market values for many of our investments, which are or will be in our portfolio, and we value such investments at fair value as determined in good faith by or under the direction of our member designees’ using a documented valuation policy, described herein, and a consistently applied valuation process. With respect to investments for which there is no readily available market value, the factors that the member designees’ may consider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4).</w:t>
      </w:r>
    </w:p>
    <w:p>
      <w:pPr>
        <w:spacing w:after="0" w:line="161" w:lineRule="exact"/>
        <w:rPr>
          <w:sz w:val="20"/>
          <w:szCs w:val="20"/>
          <w:color w:val="auto"/>
        </w:rPr>
      </w:pPr>
    </w:p>
    <w:p>
      <w:pPr>
        <w:ind w:right="180" w:firstLine="420"/>
        <w:spacing w:after="0" w:line="247" w:lineRule="auto"/>
        <w:rPr>
          <w:sz w:val="20"/>
          <w:szCs w:val="20"/>
          <w:color w:val="auto"/>
        </w:rPr>
      </w:pPr>
      <w:r>
        <w:rPr>
          <w:rFonts w:ascii="Times New Roman" w:cs="Times New Roman" w:eastAsia="Times New Roman" w:hAnsi="Times New Roman"/>
          <w:sz w:val="16"/>
          <w:szCs w:val="16"/>
          <w:color w:val="auto"/>
        </w:rPr>
        <w:t>Our portfolio generally consists of illiquid securities, including debt investments. With respect to investments for which market quotations are not readily available, or for which market quotations are deemed not reflective of the fair value, our member designees’ undertakes a multi-step valuation process each quarter, as described below:</w:t>
      </w:r>
    </w:p>
    <w:p>
      <w:pPr>
        <w:spacing w:after="0" w:line="152" w:lineRule="exact"/>
        <w:rPr>
          <w:sz w:val="20"/>
          <w:szCs w:val="20"/>
          <w:color w:val="auto"/>
        </w:rPr>
      </w:pPr>
    </w:p>
    <w:p>
      <w:pPr>
        <w:ind w:left="540" w:right="340"/>
        <w:spacing w:after="0" w:line="246" w:lineRule="auto"/>
        <w:rPr>
          <w:sz w:val="20"/>
          <w:szCs w:val="20"/>
          <w:color w:val="auto"/>
        </w:rPr>
      </w:pPr>
      <w:r>
        <w:rPr>
          <w:rFonts w:ascii="Times New Roman" w:cs="Times New Roman" w:eastAsia="Times New Roman" w:hAnsi="Times New Roman"/>
          <w:sz w:val="16"/>
          <w:szCs w:val="16"/>
          <w:color w:val="auto"/>
        </w:rPr>
        <w:t>(1)Our quarterly valuation process begins with each portfolio company or investment being initially valued by the investment professionals of PennantPark Investment Advisers, LLC, the investment adviser to PNNT, responsible for the portfolio investment;</w:t>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(2)Preliminary valuation conclusions are then documented and discussed with the management of PennantPark Investment Advisers, LLC;</w:t>
      </w:r>
    </w:p>
    <w:p>
      <w:pPr>
        <w:spacing w:after="0" w:line="158" w:lineRule="exact"/>
        <w:rPr>
          <w:sz w:val="20"/>
          <w:szCs w:val="20"/>
          <w:color w:val="auto"/>
        </w:rPr>
      </w:pPr>
    </w:p>
    <w:p>
      <w:pPr>
        <w:ind w:left="540" w:right="180"/>
        <w:spacing w:after="0" w:line="243" w:lineRule="auto"/>
        <w:rPr>
          <w:sz w:val="20"/>
          <w:szCs w:val="20"/>
          <w:color w:val="auto"/>
        </w:rPr>
      </w:pPr>
      <w:r>
        <w:rPr>
          <w:rFonts w:ascii="Times New Roman" w:cs="Times New Roman" w:eastAsia="Times New Roman" w:hAnsi="Times New Roman"/>
          <w:sz w:val="16"/>
          <w:szCs w:val="16"/>
          <w:color w:val="auto"/>
        </w:rPr>
        <w:t>(3)Our member designees also engages independent valuation firms to conduct independent appraisals of our investments for which market quotations are not readily available or are readily available but deemed not reflective of the fair value of the investment. The independent valuation firms review PennantPark Investment Advisers, LLC’s preliminary valuations in light of their own independent assessment and also in light of any market quotations obtained from an independent pricing service, broker, dealer or market maker;</w:t>
      </w:r>
    </w:p>
    <w:p>
      <w:pPr>
        <w:spacing w:after="0" w:line="155" w:lineRule="exact"/>
        <w:rPr>
          <w:sz w:val="20"/>
          <w:szCs w:val="20"/>
          <w:color w:val="auto"/>
        </w:rPr>
      </w:pPr>
    </w:p>
    <w:p>
      <w:pPr>
        <w:ind w:left="540" w:right="420"/>
        <w:spacing w:after="0" w:line="247" w:lineRule="auto"/>
        <w:rPr>
          <w:sz w:val="20"/>
          <w:szCs w:val="20"/>
          <w:color w:val="auto"/>
        </w:rPr>
      </w:pPr>
      <w:r>
        <w:rPr>
          <w:rFonts w:ascii="Times New Roman" w:cs="Times New Roman" w:eastAsia="Times New Roman" w:hAnsi="Times New Roman"/>
          <w:sz w:val="16"/>
          <w:szCs w:val="16"/>
          <w:color w:val="auto"/>
        </w:rPr>
        <w:t>(4)Our member designees reviews the preliminary valuations of PennantPark Investment Advisers, LLC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709295</wp:posOffset>
            </wp:positionV>
            <wp:extent cx="6732905" cy="406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131" w:name="page132"/>
    <w:bookmarkEnd w:id="131"/>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2024 (Continued)</w:t>
      </w:r>
    </w:p>
    <w:p>
      <w:pPr>
        <w:spacing w:after="0" w:line="200" w:lineRule="exact"/>
        <w:rPr>
          <w:sz w:val="20"/>
          <w:szCs w:val="20"/>
          <w:color w:val="auto"/>
        </w:rPr>
      </w:pPr>
    </w:p>
    <w:p>
      <w:pPr>
        <w:spacing w:after="0" w:line="318" w:lineRule="exact"/>
        <w:rPr>
          <w:sz w:val="20"/>
          <w:szCs w:val="20"/>
          <w:color w:val="auto"/>
        </w:rPr>
      </w:pPr>
    </w:p>
    <w:p>
      <w:pPr>
        <w:ind w:left="540" w:right="560"/>
        <w:spacing w:after="0" w:line="259" w:lineRule="auto"/>
        <w:rPr>
          <w:sz w:val="20"/>
          <w:szCs w:val="20"/>
          <w:color w:val="auto"/>
        </w:rPr>
      </w:pPr>
      <w:r>
        <w:rPr>
          <w:rFonts w:ascii="Times New Roman" w:cs="Times New Roman" w:eastAsia="Times New Roman" w:hAnsi="Times New Roman"/>
          <w:sz w:val="16"/>
          <w:szCs w:val="16"/>
          <w:color w:val="auto"/>
        </w:rPr>
        <w:t>(5)Our member designees assesses these valuations and determines the fair value of each investment in our portfolio in good faith, based on the input of PennantPark Investment Advisers, LLC and the respective independent valuation firms.</w:t>
      </w:r>
    </w:p>
    <w:p>
      <w:pPr>
        <w:spacing w:after="0" w:line="143" w:lineRule="exact"/>
        <w:rPr>
          <w:sz w:val="20"/>
          <w:szCs w:val="20"/>
          <w:color w:val="auto"/>
        </w:rPr>
      </w:pPr>
    </w:p>
    <w:p>
      <w:pPr>
        <w:ind w:right="60" w:firstLine="420"/>
        <w:spacing w:after="0" w:line="241" w:lineRule="auto"/>
        <w:rPr>
          <w:sz w:val="20"/>
          <w:szCs w:val="20"/>
          <w:color w:val="auto"/>
        </w:rPr>
      </w:pPr>
      <w:r>
        <w:rPr>
          <w:rFonts w:ascii="Times New Roman" w:cs="Times New Roman" w:eastAsia="Times New Roman" w:hAnsi="Times New Roman"/>
          <w:sz w:val="16"/>
          <w:szCs w:val="16"/>
          <w:color w:val="auto"/>
        </w:rPr>
        <w:t>Our member designees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PennantPark Investment Advisers, LLC assesses the source and reliability of bids from brokers or dealers. If the member designees’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(b) Security Transactions, Revenue Recognition, and Realized/Unrealized Gains or Losses</w:t>
      </w:r>
    </w:p>
    <w:p>
      <w:pPr>
        <w:spacing w:after="0" w:line="180" w:lineRule="exact"/>
        <w:rPr>
          <w:sz w:val="20"/>
          <w:szCs w:val="20"/>
          <w:color w:val="auto"/>
        </w:rPr>
      </w:pPr>
    </w:p>
    <w:p>
      <w:pPr>
        <w:ind w:right="60" w:firstLine="420"/>
        <w:spacing w:after="0" w:line="277" w:lineRule="auto"/>
        <w:rPr>
          <w:sz w:val="20"/>
          <w:szCs w:val="20"/>
          <w:color w:val="auto"/>
        </w:rPr>
      </w:pPr>
      <w:r>
        <w:rPr>
          <w:rFonts w:ascii="Times New Roman" w:cs="Times New Roman" w:eastAsia="Times New Roman" w:hAnsi="Times New Roman"/>
          <w:sz w:val="14"/>
          <w:szCs w:val="14"/>
          <w:color w:val="auto"/>
        </w:rPr>
        <w:t>Security transactions are recorded on a trade date basis. We record interest income on an accrual basis to the extent that we expect to collect such amounts. For loans and debt investments with contractual payment-in-kind, or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("OID"), market discount or premium and deferred financing costs on liabilities, which we do not fair value, are capitalized and then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34" w:lineRule="exact"/>
        <w:rPr>
          <w:sz w:val="20"/>
          <w:szCs w:val="20"/>
          <w:color w:val="auto"/>
        </w:rPr>
      </w:pPr>
    </w:p>
    <w:p>
      <w:pPr>
        <w:ind w:right="100" w:firstLine="420"/>
        <w:spacing w:after="0" w:line="289" w:lineRule="auto"/>
        <w:rPr>
          <w:sz w:val="20"/>
          <w:szCs w:val="20"/>
          <w:color w:val="auto"/>
        </w:rPr>
      </w:pPr>
      <w:r>
        <w:rPr>
          <w:rFonts w:ascii="Times New Roman" w:cs="Times New Roman" w:eastAsia="Times New Roman" w:hAnsi="Times New Roman"/>
          <w:sz w:val="14"/>
          <w:szCs w:val="14"/>
          <w:color w:val="auto"/>
        </w:rPr>
        <w:t>Loans are placed on non-accrual status when principal or interest payments are past due 30 days or more and/or if there is reasonable doubt that principal or interest will be collected. Accrued interest receivable is generally reversed when a loan is placed on non-accrual status. Interest payments received on non -accrual loans may be recognized as income or applied to principal depending upon the Company's judgment. Non-accrual loans are restored to accrual status when past due principal and interest is paid and, in the Company's judgment, are likely to remain current. There were no loans on non-accrual status as of September 30, 2024 and 2023.</w:t>
      </w:r>
    </w:p>
    <w:p>
      <w:pPr>
        <w:spacing w:after="0" w:line="125" w:lineRule="exact"/>
        <w:rPr>
          <w:sz w:val="20"/>
          <w:szCs w:val="20"/>
          <w:color w:val="auto"/>
        </w:rPr>
      </w:pPr>
    </w:p>
    <w:p>
      <w:pPr>
        <w:jc w:val="both"/>
        <w:ind w:firstLine="420"/>
        <w:spacing w:after="0" w:line="243" w:lineRule="auto"/>
        <w:rPr>
          <w:sz w:val="20"/>
          <w:szCs w:val="20"/>
          <w:color w:val="auto"/>
        </w:rPr>
      </w:pPr>
      <w:r>
        <w:rPr>
          <w:rFonts w:ascii="Times New Roman" w:cs="Times New Roman" w:eastAsia="Times New Roman" w:hAnsi="Times New Roman"/>
          <w:sz w:val="16"/>
          <w:szCs w:val="16"/>
          <w:color w:val="auto"/>
        </w:rPr>
        <w:t>We measure realized gains and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during the reporting period, including any reversal of previously recorded unrealized appreciation and depreciation, when gains or losses are realized.</w:t>
      </w:r>
    </w:p>
    <w:p>
      <w:pPr>
        <w:spacing w:after="0" w:line="1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(c) Income Taxes</w:t>
      </w:r>
    </w:p>
    <w:p>
      <w:pPr>
        <w:spacing w:after="0" w:line="180" w:lineRule="exact"/>
        <w:rPr>
          <w:sz w:val="20"/>
          <w:szCs w:val="20"/>
          <w:color w:val="auto"/>
        </w:rPr>
      </w:pPr>
    </w:p>
    <w:p>
      <w:pPr>
        <w:ind w:right="60" w:firstLine="420"/>
        <w:spacing w:after="0" w:line="259" w:lineRule="auto"/>
        <w:rPr>
          <w:sz w:val="20"/>
          <w:szCs w:val="20"/>
          <w:color w:val="auto"/>
        </w:rPr>
      </w:pPr>
      <w:r>
        <w:rPr>
          <w:rFonts w:ascii="Times New Roman" w:cs="Times New Roman" w:eastAsia="Times New Roman" w:hAnsi="Times New Roman"/>
          <w:sz w:val="16"/>
          <w:szCs w:val="16"/>
          <w:color w:val="auto"/>
        </w:rPr>
        <w:t>PSLF is classified as a partnership for U.S. federal income tax purposes and is not subject to U.S. federal income tax. Accordingly, no provisions for U.S. income taxes have been made. The Members are responsible for reporting their share of the PSLF’s income or loss on their U.S. income tax returns.</w:t>
      </w:r>
    </w:p>
    <w:p>
      <w:pPr>
        <w:spacing w:after="0" w:line="143" w:lineRule="exact"/>
        <w:rPr>
          <w:sz w:val="20"/>
          <w:szCs w:val="20"/>
          <w:color w:val="auto"/>
        </w:rPr>
      </w:pPr>
    </w:p>
    <w:p>
      <w:pPr>
        <w:ind w:right="100" w:firstLine="420"/>
        <w:spacing w:after="0" w:line="243" w:lineRule="auto"/>
        <w:rPr>
          <w:sz w:val="20"/>
          <w:szCs w:val="20"/>
          <w:color w:val="auto"/>
        </w:rPr>
      </w:pPr>
      <w:r>
        <w:rPr>
          <w:rFonts w:ascii="Times New Roman" w:cs="Times New Roman" w:eastAsia="Times New Roman" w:hAnsi="Times New Roman"/>
          <w:sz w:val="16"/>
          <w:szCs w:val="16"/>
          <w:color w:val="auto"/>
        </w:rPr>
        <w:t>In accordance with FASB ASC Topic 740, the Company is required to determine whether a tax position of PSLF is more likely than not, based on the technical merits of the position, to be sustained upon examination including resolution of any related appeals or litigation processes. The tax benefit to be recognized is measured as the largest amount of benefit that is greater than 50% likely of being realized upon ultimate settlement. De-recognition of a tax benefit previously recognized could result in PSLF recording a tax liability that would reduce members’ capital.</w:t>
      </w:r>
    </w:p>
    <w:p>
      <w:pPr>
        <w:spacing w:after="0" w:line="15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For the years ended September 30, 2024 and 2023, there were no material uncertain income tax positions.</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709295</wp:posOffset>
            </wp:positionV>
            <wp:extent cx="6732905" cy="40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132" w:name="page133"/>
    <w:bookmarkEnd w:id="13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SEPTEMBER 30, 2024 (Continued)</w:t>
      </w:r>
    </w:p>
    <w:p>
      <w:pPr>
        <w:spacing w:after="0" w:line="200" w:lineRule="exact"/>
        <w:rPr>
          <w:sz w:val="20"/>
          <w:szCs w:val="20"/>
          <w:color w:val="auto"/>
        </w:rPr>
      </w:pPr>
    </w:p>
    <w:p>
      <w:pPr>
        <w:spacing w:after="0" w:line="3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(d) Foreign Currency Translation</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Our books and records are maintained in U.S. dollars. Any foreign currency amounts are translated into U.S. dollars on the following basis:</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1.Fair value of investment securities, other assets and liabilities – at the exchange rates prevailing at the end of the applicable period; and</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2.Purchases and sales of investment securities, income and expenses – at the exchange rates prevailing on the respective dates of such transactions.</w:t>
      </w:r>
    </w:p>
    <w:p>
      <w:pPr>
        <w:spacing w:after="0" w:line="176" w:lineRule="exact"/>
        <w:rPr>
          <w:sz w:val="20"/>
          <w:szCs w:val="20"/>
          <w:color w:val="auto"/>
        </w:rPr>
      </w:pPr>
    </w:p>
    <w:p>
      <w:pPr>
        <w:jc w:val="both"/>
        <w:ind w:right="120" w:firstLine="420"/>
        <w:spacing w:after="0" w:line="247" w:lineRule="auto"/>
        <w:rPr>
          <w:sz w:val="20"/>
          <w:szCs w:val="20"/>
          <w:color w:val="auto"/>
        </w:rPr>
      </w:pPr>
      <w:r>
        <w:rPr>
          <w:rFonts w:ascii="Times New Roman" w:cs="Times New Roman" w:eastAsia="Times New Roman" w:hAnsi="Times New Roman"/>
          <w:sz w:val="16"/>
          <w:szCs w:val="16"/>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held. Such fluctuations are included with the net realized and unrealized gain or loss from investments and liabilities.</w:t>
      </w:r>
    </w:p>
    <w:p>
      <w:pPr>
        <w:spacing w:after="0" w:line="152" w:lineRule="exact"/>
        <w:rPr>
          <w:sz w:val="20"/>
          <w:szCs w:val="20"/>
          <w:color w:val="auto"/>
        </w:rPr>
      </w:pPr>
    </w:p>
    <w:p>
      <w:pPr>
        <w:ind w:right="460" w:firstLine="420"/>
        <w:spacing w:after="0" w:line="243" w:lineRule="auto"/>
        <w:rPr>
          <w:sz w:val="20"/>
          <w:szCs w:val="20"/>
          <w:color w:val="auto"/>
        </w:rPr>
      </w:pPr>
      <w:r>
        <w:rPr>
          <w:rFonts w:ascii="Times New Roman" w:cs="Times New Roman" w:eastAsia="Times New Roman" w:hAnsi="Times New Roman"/>
          <w:sz w:val="16"/>
          <w:szCs w:val="16"/>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(e) Consolidation</w:t>
      </w:r>
    </w:p>
    <w:p>
      <w:pPr>
        <w:spacing w:after="0" w:line="180" w:lineRule="exact"/>
        <w:rPr>
          <w:sz w:val="20"/>
          <w:szCs w:val="20"/>
          <w:color w:val="auto"/>
        </w:rPr>
      </w:pPr>
    </w:p>
    <w:p>
      <w:pPr>
        <w:ind w:right="100" w:firstLine="420"/>
        <w:spacing w:after="0" w:line="259" w:lineRule="auto"/>
        <w:rPr>
          <w:sz w:val="20"/>
          <w:szCs w:val="20"/>
          <w:color w:val="auto"/>
        </w:rPr>
      </w:pPr>
      <w:r>
        <w:rPr>
          <w:rFonts w:ascii="Times New Roman" w:cs="Times New Roman" w:eastAsia="Times New Roman" w:hAnsi="Times New Roman"/>
          <w:sz w:val="16"/>
          <w:szCs w:val="16"/>
          <w:color w:val="auto"/>
        </w:rPr>
        <w:t>As explained by ASC paragraph 946-810-45, PSLF will generally not consolidate its investment in a company other than an investment company subsidiary or a controlled operating company whose business consists of providing services to us.</w:t>
      </w:r>
    </w:p>
    <w:p>
      <w:pPr>
        <w:spacing w:after="0" w:line="1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(f) Recent Accounting Pronouncements</w:t>
      </w:r>
    </w:p>
    <w:p>
      <w:pPr>
        <w:spacing w:after="0" w:line="180" w:lineRule="exact"/>
        <w:rPr>
          <w:sz w:val="20"/>
          <w:szCs w:val="20"/>
          <w:color w:val="auto"/>
        </w:rPr>
      </w:pPr>
    </w:p>
    <w:p>
      <w:pPr>
        <w:ind w:right="180" w:firstLine="420"/>
        <w:spacing w:after="0" w:line="239" w:lineRule="auto"/>
        <w:rPr>
          <w:sz w:val="20"/>
          <w:szCs w:val="20"/>
          <w:color w:val="auto"/>
        </w:rPr>
      </w:pPr>
      <w:r>
        <w:rPr>
          <w:rFonts w:ascii="Times New Roman" w:cs="Times New Roman" w:eastAsia="Times New Roman" w:hAnsi="Times New Roman"/>
          <w:sz w:val="16"/>
          <w:szCs w:val="16"/>
          <w:color w:val="auto"/>
        </w:rPr>
        <w:t>In March 2020, the FASB issued Accounting Standards Update 2020-04, “Reference Rate Reform (Topic 848): Facilitation of the Effects of Reference Rate Reform on Financial Reporting” ("ASU 2020- 04").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Company utilized the optional expedients and exceptions provided by ASU 2020-04 during the year ended September 30, 2023, the effect of which was not material to the consolidated financial statements and the notes thereto.</w:t>
      </w:r>
    </w:p>
    <w:p>
      <w:pPr>
        <w:spacing w:after="0" w:line="161" w:lineRule="exact"/>
        <w:rPr>
          <w:sz w:val="20"/>
          <w:szCs w:val="20"/>
          <w:color w:val="auto"/>
        </w:rPr>
      </w:pPr>
    </w:p>
    <w:p>
      <w:pPr>
        <w:ind w:firstLine="420"/>
        <w:spacing w:after="0" w:line="239" w:lineRule="auto"/>
        <w:rPr>
          <w:sz w:val="20"/>
          <w:szCs w:val="20"/>
          <w:color w:val="auto"/>
        </w:rPr>
      </w:pPr>
      <w:r>
        <w:rPr>
          <w:rFonts w:ascii="Times New Roman" w:cs="Times New Roman" w:eastAsia="Times New Roman" w:hAnsi="Times New Roman"/>
          <w:sz w:val="16"/>
          <w:szCs w:val="16"/>
          <w:color w:val="auto"/>
        </w:rPr>
        <w:t>In June 2022, the FASB issued Accounting Standards Update No. 2022-03, "Fair Value Measurement (Topic 820): Fair Value Measurement of Equity Securities Subject to Contractual Sale Restrictions",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709295</wp:posOffset>
            </wp:positionV>
            <wp:extent cx="6732905" cy="40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133" w:name="page134"/>
    <w:bookmarkEnd w:id="133"/>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SEPTEMBER 30, 2024 (Continued)</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AGREEMENTS AND RELATED PARTY TRANSACTIONS</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For the years ended September 30, 2024 and 2023, PSLF purchased $308.7 million and $127.8 million of investments from PNNT, respectively.</w:t>
      </w:r>
    </w:p>
    <w:p>
      <w:pPr>
        <w:spacing w:after="0" w:line="176" w:lineRule="exact"/>
        <w:rPr>
          <w:sz w:val="20"/>
          <w:szCs w:val="20"/>
          <w:color w:val="auto"/>
        </w:rPr>
      </w:pPr>
    </w:p>
    <w:p>
      <w:pPr>
        <w:ind w:right="40" w:firstLine="432"/>
        <w:spacing w:after="0" w:line="247" w:lineRule="auto"/>
        <w:rPr>
          <w:sz w:val="20"/>
          <w:szCs w:val="20"/>
          <w:color w:val="auto"/>
        </w:rPr>
      </w:pPr>
      <w:r>
        <w:rPr>
          <w:rFonts w:ascii="Times New Roman" w:cs="Times New Roman" w:eastAsia="Times New Roman" w:hAnsi="Times New Roman"/>
          <w:sz w:val="16"/>
          <w:szCs w:val="16"/>
          <w:color w:val="auto"/>
        </w:rPr>
        <w:t>For the years ended September 30, 2024 and 2023, PSLF incurred $2.4 million and $2.0 million of administration fees to the Administrative Agent, respectively. The Administrative Agent provides administration services to PSLF at an annual rate of 0.25% based on average gross assets under management payable quarterly in arrears and calculated based on average gross assets (measured at cost) at the end of the two recently completed calendar quarters.</w:t>
      </w:r>
    </w:p>
    <w:p>
      <w:pPr>
        <w:spacing w:after="0" w:line="152" w:lineRule="exact"/>
        <w:rPr>
          <w:sz w:val="20"/>
          <w:szCs w:val="20"/>
          <w:color w:val="auto"/>
        </w:rPr>
      </w:pPr>
    </w:p>
    <w:p>
      <w:pPr>
        <w:ind w:right="200" w:firstLine="432"/>
        <w:spacing w:after="0" w:line="259" w:lineRule="auto"/>
        <w:rPr>
          <w:sz w:val="20"/>
          <w:szCs w:val="20"/>
          <w:color w:val="auto"/>
        </w:rPr>
      </w:pPr>
      <w:r>
        <w:rPr>
          <w:rFonts w:ascii="Times New Roman" w:cs="Times New Roman" w:eastAsia="Times New Roman" w:hAnsi="Times New Roman"/>
          <w:sz w:val="16"/>
          <w:szCs w:val="16"/>
          <w:color w:val="auto"/>
        </w:rPr>
        <w:t>For the years ended September 30, 2024 and 2023, PSLF incurred $24.9 million and $20.9 million of interest expense related to the notes outstanding with the Members, respectively.</w:t>
      </w:r>
    </w:p>
    <w:p>
      <w:pPr>
        <w:spacing w:after="0" w:line="143" w:lineRule="exact"/>
        <w:rPr>
          <w:sz w:val="20"/>
          <w:szCs w:val="20"/>
          <w:color w:val="auto"/>
        </w:rPr>
      </w:pPr>
    </w:p>
    <w:p>
      <w:pPr>
        <w:ind w:right="20" w:firstLine="432"/>
        <w:spacing w:after="0" w:line="243" w:lineRule="auto"/>
        <w:rPr>
          <w:sz w:val="20"/>
          <w:szCs w:val="20"/>
          <w:color w:val="auto"/>
        </w:rPr>
      </w:pPr>
      <w:r>
        <w:rPr>
          <w:rFonts w:ascii="Times New Roman" w:cs="Times New Roman" w:eastAsia="Times New Roman" w:hAnsi="Times New Roman"/>
          <w:sz w:val="16"/>
          <w:szCs w:val="16"/>
          <w:color w:val="auto"/>
        </w:rPr>
        <w:t>As of September 30, 2024 and 2023, PSLF had a receivable from PNNT of $0.03 million and $3.3 million, respectively presented as a component of Due from Affiliate on the consolidated statement of assets, liabilities and members' equity. These amounts are related to cash owed from PNNT in connection with trades between the funds. Additionally, PSLF had a receivable from the Administrative Agent of $0.04 million as of September 30, 2024 related to loan agency fees received by the Administrative agent and is owed to PSLF.</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FAIR VALUE OF FINANCIAL INSTRUMENTS</w:t>
      </w:r>
    </w:p>
    <w:p>
      <w:pPr>
        <w:spacing w:after="0" w:line="178" w:lineRule="exact"/>
        <w:rPr>
          <w:sz w:val="20"/>
          <w:szCs w:val="20"/>
          <w:color w:val="auto"/>
        </w:rPr>
      </w:pPr>
    </w:p>
    <w:p>
      <w:pPr>
        <w:jc w:val="both"/>
        <w:ind w:firstLine="420"/>
        <w:spacing w:after="0" w:line="239" w:lineRule="auto"/>
        <w:rPr>
          <w:sz w:val="20"/>
          <w:szCs w:val="20"/>
          <w:color w:val="auto"/>
        </w:rPr>
      </w:pPr>
      <w:r>
        <w:rPr>
          <w:rFonts w:ascii="Times New Roman" w:cs="Times New Roman" w:eastAsia="Times New Roman" w:hAnsi="Times New Roman"/>
          <w:sz w:val="16"/>
          <w:szCs w:val="16"/>
          <w:color w:val="auto"/>
        </w:rPr>
        <w:t>Fair value, as defined under ASC Topic 820, Fair Value Measurement, is the price that we would receive upon selling an investment or pay to transfer a liability in an orderly transaction to a market participant in the principal or most advantageous market for the investment or liability. ASC Topic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ASC 820 classifies the inputs used to measure these fair values into the following hierarchies: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Level 1: Inputs that are quoted prices (un-adjusted) in active markets for identical assets or liabilities, accessible by us at the measurement date.</w:t>
      </w:r>
    </w:p>
    <w:p>
      <w:pPr>
        <w:spacing w:after="0" w:line="176" w:lineRule="exact"/>
        <w:rPr>
          <w:sz w:val="20"/>
          <w:szCs w:val="20"/>
          <w:color w:val="auto"/>
        </w:rPr>
      </w:pPr>
    </w:p>
    <w:p>
      <w:pPr>
        <w:jc w:val="both"/>
        <w:ind w:left="1320" w:right="340" w:hanging="899"/>
        <w:spacing w:after="0" w:line="247" w:lineRule="auto"/>
        <w:rPr>
          <w:sz w:val="20"/>
          <w:szCs w:val="20"/>
          <w:color w:val="auto"/>
        </w:rPr>
      </w:pPr>
      <w:r>
        <w:rPr>
          <w:rFonts w:ascii="Times New Roman" w:cs="Times New Roman" w:eastAsia="Times New Roman" w:hAnsi="Times New Roman"/>
          <w:sz w:val="16"/>
          <w:szCs w:val="16"/>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52" w:lineRule="exact"/>
        <w:rPr>
          <w:sz w:val="20"/>
          <w:szCs w:val="20"/>
          <w:color w:val="auto"/>
        </w:rPr>
      </w:pPr>
    </w:p>
    <w:p>
      <w:pPr>
        <w:ind w:left="1320" w:right="40" w:hanging="899"/>
        <w:spacing w:after="0" w:line="259" w:lineRule="auto"/>
        <w:rPr>
          <w:sz w:val="20"/>
          <w:szCs w:val="20"/>
          <w:color w:val="auto"/>
        </w:rPr>
      </w:pPr>
      <w:r>
        <w:rPr>
          <w:rFonts w:ascii="Times New Roman" w:cs="Times New Roman" w:eastAsia="Times New Roman" w:hAnsi="Times New Roman"/>
          <w:sz w:val="16"/>
          <w:szCs w:val="16"/>
          <w:color w:val="auto"/>
        </w:rPr>
        <w:t>Level 3: Inputs that are unobservable for an asset or liability because they are based on our own assumptions about how market participants would price the asset or liability.</w:t>
      </w:r>
    </w:p>
    <w:p>
      <w:pPr>
        <w:spacing w:after="0" w:line="143" w:lineRule="exact"/>
        <w:rPr>
          <w:sz w:val="20"/>
          <w:szCs w:val="20"/>
          <w:color w:val="auto"/>
        </w:rPr>
      </w:pPr>
    </w:p>
    <w:p>
      <w:pPr>
        <w:ind w:right="260" w:firstLine="420"/>
        <w:spacing w:after="0" w:line="247" w:lineRule="auto"/>
        <w:rPr>
          <w:sz w:val="20"/>
          <w:szCs w:val="20"/>
          <w:color w:val="auto"/>
        </w:rPr>
      </w:pPr>
      <w:r>
        <w:rPr>
          <w:rFonts w:ascii="Times New Roman" w:cs="Times New Roman" w:eastAsia="Times New Roman" w:hAnsi="Times New Roman"/>
          <w:sz w:val="16"/>
          <w:szCs w:val="16"/>
          <w:color w:val="auto"/>
        </w:rPr>
        <w:t>A financial instrument’s categorization within the valuation hierarchy is based upon the lowest level of input that is significant to the fair value measurement. Generally, most of our investments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52" w:lineRule="exact"/>
        <w:rPr>
          <w:sz w:val="20"/>
          <w:szCs w:val="20"/>
          <w:color w:val="auto"/>
        </w:rPr>
      </w:pPr>
    </w:p>
    <w:p>
      <w:pPr>
        <w:ind w:right="40" w:firstLine="420"/>
        <w:spacing w:after="0" w:line="242" w:lineRule="auto"/>
        <w:rPr>
          <w:sz w:val="20"/>
          <w:szCs w:val="20"/>
          <w:color w:val="auto"/>
        </w:rPr>
      </w:pPr>
      <w:r>
        <w:rPr>
          <w:rFonts w:ascii="Times New Roman" w:cs="Times New Roman" w:eastAsia="Times New Roman" w:hAnsi="Times New Roman"/>
          <w:sz w:val="16"/>
          <w:szCs w:val="16"/>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697865</wp:posOffset>
            </wp:positionV>
            <wp:extent cx="6732905" cy="40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131" w:right="720" w:bottom="1440" w:gutter="0" w:footer="0" w:header="0"/>
        </w:sectPr>
      </w:pPr>
    </w:p>
    <w:bookmarkStart w:id="134" w:name="page135"/>
    <w:bookmarkEnd w:id="134"/>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2024 (Continued)</w:t>
      </w:r>
    </w:p>
    <w:p>
      <w:pPr>
        <w:spacing w:after="0" w:line="200" w:lineRule="exact"/>
        <w:rPr>
          <w:sz w:val="20"/>
          <w:szCs w:val="20"/>
          <w:color w:val="auto"/>
        </w:rPr>
      </w:pPr>
    </w:p>
    <w:p>
      <w:pPr>
        <w:spacing w:after="0" w:line="318"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classification as Level 3 information, assuming no additional corroborating evidence were available. Corroborating evidence that would result in classifying these non-binding broker/dealer bids as a Level 2 asset includes observable market-based transactions for the same or similar assets or other relevant observable market-based inputs that may be used in pricing an asset.</w:t>
      </w:r>
    </w:p>
    <w:p>
      <w:pPr>
        <w:spacing w:after="0" w:line="152" w:lineRule="exact"/>
        <w:rPr>
          <w:sz w:val="20"/>
          <w:szCs w:val="20"/>
          <w:color w:val="auto"/>
        </w:rPr>
      </w:pPr>
    </w:p>
    <w:p>
      <w:pPr>
        <w:ind w:right="20" w:firstLine="420"/>
        <w:spacing w:after="0" w:line="241" w:lineRule="auto"/>
        <w:rPr>
          <w:sz w:val="20"/>
          <w:szCs w:val="20"/>
          <w:color w:val="auto"/>
        </w:rPr>
      </w:pPr>
      <w:r>
        <w:rPr>
          <w:rFonts w:ascii="Times New Roman" w:cs="Times New Roman" w:eastAsia="Times New Roman" w:hAnsi="Times New Roman"/>
          <w:sz w:val="16"/>
          <w:szCs w:val="16"/>
          <w:color w:val="auto"/>
        </w:rPr>
        <w:t>Our investments are generally structured as debt in the form of first lien secured debt, but may also include second lien secured debt, subordinated debt and equity investments. The transaction price, excluding transaction costs, is typically the best estimate of fair value at inception. Ongoing reviews by the Members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57"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6"/>
          <w:szCs w:val="16"/>
          <w:color w:val="auto"/>
        </w:rPr>
        <w:t>A review of fair value hierarchy classifications is conducted on a quarterly basis. Changes in our ability to observe valuation inputs may result in a reclassification for certain financial assets or liabilities.</w:t>
      </w:r>
    </w:p>
    <w:p>
      <w:pPr>
        <w:spacing w:after="0" w:line="143" w:lineRule="exact"/>
        <w:rPr>
          <w:sz w:val="20"/>
          <w:szCs w:val="20"/>
          <w:color w:val="auto"/>
        </w:rPr>
      </w:pPr>
    </w:p>
    <w:p>
      <w:pPr>
        <w:ind w:right="320" w:firstLine="420"/>
        <w:spacing w:after="0" w:line="247" w:lineRule="auto"/>
        <w:rPr>
          <w:sz w:val="20"/>
          <w:szCs w:val="20"/>
          <w:color w:val="auto"/>
        </w:rPr>
      </w:pPr>
      <w:r>
        <w:rPr>
          <w:rFonts w:ascii="Times New Roman" w:cs="Times New Roman" w:eastAsia="Times New Roman" w:hAnsi="Times New Roman"/>
          <w:sz w:val="16"/>
          <w:szCs w:val="16"/>
          <w:color w:val="auto"/>
        </w:rPr>
        <w:t>In addition to using the above inputs in valuing cash equivalents and investments, we employ the valuation policy approved by our member designees’ that is consistent with ASC 820. Consistent with our valuation policy, we evaluate the source of inputs, including any markets in which our investments are trading, in determining fair value. (see Note 2).</w:t>
      </w:r>
    </w:p>
    <w:p>
      <w:pPr>
        <w:spacing w:after="0" w:line="152" w:lineRule="exact"/>
        <w:rPr>
          <w:sz w:val="20"/>
          <w:szCs w:val="20"/>
          <w:color w:val="auto"/>
        </w:rPr>
      </w:pPr>
    </w:p>
    <w:p>
      <w:pPr>
        <w:ind w:firstLine="420"/>
        <w:spacing w:after="0" w:line="241" w:lineRule="auto"/>
        <w:rPr>
          <w:sz w:val="20"/>
          <w:szCs w:val="20"/>
          <w:color w:val="auto"/>
        </w:rPr>
      </w:pPr>
      <w:r>
        <w:rPr>
          <w:rFonts w:ascii="Times New Roman" w:cs="Times New Roman" w:eastAsia="Times New Roman" w:hAnsi="Times New Roman"/>
          <w:sz w:val="16"/>
          <w:szCs w:val="16"/>
          <w:color w:val="auto"/>
        </w:rPr>
        <w:t>As outlined in the table below, some of our Level 3 investments using a market comparable valuation technique are valued using the average of the bids from brokers or dealers. The bids include a disclaimer, may not have corroborating evidence, may be the result of a disorderly transaction and may be the result of consensus pricing. The Members assess the source and reliability of bids from brokers or dealers. If the member designee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57" w:lineRule="exact"/>
        <w:rPr>
          <w:sz w:val="20"/>
          <w:szCs w:val="20"/>
          <w:color w:val="auto"/>
        </w:rPr>
      </w:pPr>
    </w:p>
    <w:p>
      <w:pPr>
        <w:ind w:right="20" w:firstLine="420"/>
        <w:spacing w:after="0" w:line="275" w:lineRule="auto"/>
        <w:rPr>
          <w:sz w:val="20"/>
          <w:szCs w:val="20"/>
          <w:color w:val="auto"/>
        </w:rPr>
      </w:pPr>
      <w:r>
        <w:rPr>
          <w:rFonts w:ascii="Times New Roman" w:cs="Times New Roman" w:eastAsia="Times New Roman" w:hAnsi="Times New Roman"/>
          <w:sz w:val="14"/>
          <w:szCs w:val="14"/>
          <w:color w:val="auto"/>
        </w:rPr>
        <w:t>Some of our investments can also be valued using a market comparable or an enterprise market value technique. With respect to investments for which there is no readily available market value, the factors that the member designees’ may consider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EBITDA multiple will result in an increase in the valuation of an investment, while a decrease in an EBITDA will have the opposite effect.</w:t>
      </w:r>
    </w:p>
    <w:p>
      <w:pPr>
        <w:spacing w:after="0" w:line="3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Our Level 3 valuation techniques, unobservable inputs and ranges were categorized as follows for ASC 820 purposes ($ in thousands):</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709295</wp:posOffset>
            </wp:positionV>
            <wp:extent cx="6732905" cy="40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135" w:name="page136"/>
    <w:bookmarkEnd w:id="135"/>
    <w:p>
      <w:pPr>
        <w:jc w:val="center"/>
        <w:ind w:right="-25"/>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25"/>
        <w:spacing w:after="0"/>
        <w:rPr>
          <w:sz w:val="20"/>
          <w:szCs w:val="20"/>
          <w:color w:val="auto"/>
        </w:rPr>
      </w:pPr>
      <w:r>
        <w:rPr>
          <w:rFonts w:ascii="Times New Roman" w:cs="Times New Roman" w:eastAsia="Times New Roman" w:hAnsi="Times New Roman"/>
          <w:sz w:val="16"/>
          <w:szCs w:val="16"/>
          <w:b w:val="1"/>
          <w:bCs w:val="1"/>
          <w:color w:val="auto"/>
        </w:rPr>
        <w:t>SEPTEMBER 30, 2024 (Continued)</w:t>
      </w:r>
    </w:p>
    <w:p>
      <w:pPr>
        <w:spacing w:after="0" w:line="200" w:lineRule="exact"/>
        <w:rPr>
          <w:sz w:val="20"/>
          <w:szCs w:val="20"/>
          <w:color w:val="auto"/>
        </w:rPr>
      </w:pPr>
    </w:p>
    <w:p>
      <w:pPr>
        <w:spacing w:after="0" w:line="337"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Fair value at September</w:t>
            </w:r>
          </w:p>
        </w:tc>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40" w:type="dxa"/>
            <w:vAlign w:val="bottom"/>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rPr>
              <w:t>Range of Input</w:t>
            </w:r>
          </w:p>
        </w:tc>
      </w:tr>
      <w:tr>
        <w:trPr>
          <w:trHeight w:val="169"/>
        </w:trPr>
        <w:tc>
          <w:tcPr>
            <w:tcW w:w="2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 Category</w:t>
            </w:r>
          </w:p>
        </w:tc>
        <w:tc>
          <w:tcPr>
            <w:tcW w:w="1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30, 2024</w:t>
            </w:r>
          </w:p>
        </w:tc>
        <w:tc>
          <w:tcPr>
            <w:tcW w:w="2400" w:type="dxa"/>
            <w:vAlign w:val="bottom"/>
          </w:tcPr>
          <w:p>
            <w:pPr>
              <w:jc w:val="center"/>
              <w:ind w:left="154"/>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2320" w:type="dxa"/>
            <w:vAlign w:val="bottom"/>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rPr>
              <w:t>Unobservable Input</w:t>
            </w:r>
          </w:p>
        </w:tc>
        <w:tc>
          <w:tcPr>
            <w:tcW w:w="1840" w:type="dxa"/>
            <w:vAlign w:val="bottom"/>
          </w:tcPr>
          <w:p>
            <w:pPr>
              <w:jc w:val="center"/>
              <w:ind w:left="34"/>
              <w:spacing w:after="0" w:line="169" w:lineRule="exact"/>
              <w:rPr>
                <w:sz w:val="20"/>
                <w:szCs w:val="20"/>
                <w:color w:val="auto"/>
              </w:rPr>
            </w:pPr>
            <w:r>
              <w:rPr>
                <w:rFonts w:ascii="Times New Roman" w:cs="Times New Roman" w:eastAsia="Times New Roman" w:hAnsi="Times New Roman"/>
                <w:sz w:val="13"/>
                <w:szCs w:val="13"/>
                <w:b w:val="1"/>
                <w:bCs w:val="1"/>
                <w:color w:val="auto"/>
                <w:w w:val="98"/>
              </w:rPr>
              <w:t xml:space="preserve">(Weighted Average) </w:t>
            </w:r>
            <w:r>
              <w:rPr>
                <w:rFonts w:ascii="Times New Roman" w:cs="Times New Roman" w:eastAsia="Times New Roman" w:hAnsi="Times New Roman"/>
                <w:sz w:val="16"/>
                <w:szCs w:val="16"/>
                <w:b w:val="1"/>
                <w:bCs w:val="1"/>
                <w:color w:val="auto"/>
                <w:w w:val="98"/>
                <w:vertAlign w:val="superscript"/>
              </w:rPr>
              <w:t>(1)</w:t>
            </w:r>
          </w:p>
        </w:tc>
      </w:tr>
      <w:tr>
        <w:trPr>
          <w:trHeight w:val="168"/>
        </w:trPr>
        <w:tc>
          <w:tcPr>
            <w:tcW w:w="2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88,632</w:t>
            </w:r>
          </w:p>
        </w:tc>
        <w:tc>
          <w:tcPr>
            <w:tcW w:w="2400" w:type="dxa"/>
            <w:vAlign w:val="bottom"/>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32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Broker/Dealer bids or quotes</w:t>
            </w:r>
          </w:p>
        </w:tc>
        <w:tc>
          <w:tcPr>
            <w:tcW w:w="18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w w:val="98"/>
              </w:rPr>
              <w:t>N/A</w:t>
            </w:r>
          </w:p>
        </w:tc>
      </w:tr>
      <w:tr>
        <w:trPr>
          <w:trHeight w:val="156"/>
        </w:trPr>
        <w:tc>
          <w:tcPr>
            <w:tcW w:w="2340" w:type="dxa"/>
            <w:vAlign w:val="bottom"/>
            <w:shd w:val="clear" w:color="auto" w:fill="CCECFC"/>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60" w:type="dxa"/>
            <w:vAlign w:val="bottom"/>
            <w:shd w:val="clear" w:color="auto" w:fill="CCECFC"/>
          </w:tcPr>
          <w:p>
            <w:pPr>
              <w:spacing w:after="0"/>
              <w:rPr>
                <w:sz w:val="13"/>
                <w:szCs w:val="13"/>
                <w:color w:val="auto"/>
              </w:rPr>
            </w:pPr>
          </w:p>
        </w:tc>
        <w:tc>
          <w:tcPr>
            <w:tcW w:w="1500" w:type="dxa"/>
            <w:vAlign w:val="bottom"/>
            <w:shd w:val="clear" w:color="auto" w:fill="CCECFC"/>
          </w:tcPr>
          <w:p>
            <w:pPr>
              <w:jc w:val="right"/>
              <w:spacing w:after="0"/>
              <w:rPr>
                <w:sz w:val="20"/>
                <w:szCs w:val="20"/>
                <w:color w:val="auto"/>
              </w:rPr>
            </w:pPr>
            <w:r>
              <w:rPr>
                <w:rFonts w:ascii="Times New Roman" w:cs="Times New Roman" w:eastAsia="Times New Roman" w:hAnsi="Times New Roman"/>
                <w:sz w:val="13"/>
                <w:szCs w:val="13"/>
                <w:color w:val="auto"/>
              </w:rPr>
              <w:t>933,688</w:t>
            </w:r>
          </w:p>
        </w:tc>
        <w:tc>
          <w:tcPr>
            <w:tcW w:w="2400" w:type="dxa"/>
            <w:vAlign w:val="bottom"/>
            <w:shd w:val="clear" w:color="auto" w:fill="CCECFC"/>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320" w:type="dxa"/>
            <w:vAlign w:val="bottom"/>
            <w:shd w:val="clear" w:color="auto" w:fill="CCECFC"/>
          </w:tcPr>
          <w:p>
            <w:pPr>
              <w:jc w:val="center"/>
              <w:ind w:left="34"/>
              <w:spacing w:after="0"/>
              <w:rPr>
                <w:sz w:val="20"/>
                <w:szCs w:val="20"/>
                <w:color w:val="auto"/>
              </w:rPr>
            </w:pPr>
            <w:r>
              <w:rPr>
                <w:rFonts w:ascii="Times New Roman" w:cs="Times New Roman" w:eastAsia="Times New Roman" w:hAnsi="Times New Roman"/>
                <w:sz w:val="13"/>
                <w:szCs w:val="13"/>
                <w:color w:val="auto"/>
              </w:rPr>
              <w:t>Market Yield</w:t>
            </w:r>
          </w:p>
        </w:tc>
        <w:tc>
          <w:tcPr>
            <w:tcW w:w="1840" w:type="dxa"/>
            <w:vAlign w:val="bottom"/>
            <w:shd w:val="clear" w:color="auto" w:fill="CCECFC"/>
          </w:tcPr>
          <w:p>
            <w:pPr>
              <w:jc w:val="center"/>
              <w:ind w:left="34"/>
              <w:spacing w:after="0"/>
              <w:rPr>
                <w:sz w:val="20"/>
                <w:szCs w:val="20"/>
                <w:color w:val="auto"/>
              </w:rPr>
            </w:pPr>
            <w:r>
              <w:rPr>
                <w:rFonts w:ascii="Times New Roman" w:cs="Times New Roman" w:eastAsia="Times New Roman" w:hAnsi="Times New Roman"/>
                <w:sz w:val="13"/>
                <w:szCs w:val="13"/>
                <w:color w:val="auto"/>
              </w:rPr>
              <w:t>7.9% - 21.4% (10.2%)</w:t>
            </w:r>
          </w:p>
        </w:tc>
      </w:tr>
      <w:tr>
        <w:trPr>
          <w:trHeight w:val="156"/>
        </w:trPr>
        <w:tc>
          <w:tcPr>
            <w:tcW w:w="2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6,554</w:t>
            </w:r>
          </w:p>
        </w:tc>
        <w:tc>
          <w:tcPr>
            <w:tcW w:w="2400" w:type="dxa"/>
            <w:vAlign w:val="bottom"/>
          </w:tcPr>
          <w:p>
            <w:pPr>
              <w:jc w:val="center"/>
              <w:ind w:left="154"/>
              <w:spacing w:after="0"/>
              <w:rPr>
                <w:sz w:val="20"/>
                <w:szCs w:val="20"/>
                <w:color w:val="auto"/>
              </w:rPr>
            </w:pPr>
            <w:r>
              <w:rPr>
                <w:rFonts w:ascii="Times New Roman" w:cs="Times New Roman" w:eastAsia="Times New Roman" w:hAnsi="Times New Roman"/>
                <w:sz w:val="13"/>
                <w:szCs w:val="13"/>
                <w:color w:val="auto"/>
              </w:rPr>
              <w:t>Enterprise Market Value</w:t>
            </w:r>
          </w:p>
        </w:tc>
        <w:tc>
          <w:tcPr>
            <w:tcW w:w="232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EBITDA Multiple</w:t>
            </w:r>
          </w:p>
        </w:tc>
        <w:tc>
          <w:tcPr>
            <w:tcW w:w="184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rPr>
              <w:t>0.9x - 0.9x (0.9x)</w:t>
            </w:r>
          </w:p>
        </w:tc>
      </w:tr>
      <w:tr>
        <w:trPr>
          <w:trHeight w:val="156"/>
        </w:trPr>
        <w:tc>
          <w:tcPr>
            <w:tcW w:w="2340" w:type="dxa"/>
            <w:vAlign w:val="bottom"/>
            <w:shd w:val="clear" w:color="auto" w:fill="CCECFC"/>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60" w:type="dxa"/>
            <w:vAlign w:val="bottom"/>
            <w:shd w:val="clear" w:color="auto" w:fill="CCECFC"/>
          </w:tcPr>
          <w:p>
            <w:pPr>
              <w:spacing w:after="0"/>
              <w:rPr>
                <w:sz w:val="13"/>
                <w:szCs w:val="13"/>
                <w:color w:val="auto"/>
              </w:rPr>
            </w:pPr>
          </w:p>
        </w:tc>
        <w:tc>
          <w:tcPr>
            <w:tcW w:w="1500" w:type="dxa"/>
            <w:vAlign w:val="bottom"/>
            <w:shd w:val="clear" w:color="auto" w:fill="CCECFC"/>
          </w:tcPr>
          <w:p>
            <w:pPr>
              <w:jc w:val="right"/>
              <w:spacing w:after="0"/>
              <w:rPr>
                <w:sz w:val="20"/>
                <w:szCs w:val="20"/>
                <w:color w:val="auto"/>
              </w:rPr>
            </w:pPr>
            <w:r>
              <w:rPr>
                <w:rFonts w:ascii="Times New Roman" w:cs="Times New Roman" w:eastAsia="Times New Roman" w:hAnsi="Times New Roman"/>
                <w:sz w:val="13"/>
                <w:szCs w:val="13"/>
                <w:color w:val="auto"/>
              </w:rPr>
              <w:t>2,351</w:t>
            </w:r>
          </w:p>
        </w:tc>
        <w:tc>
          <w:tcPr>
            <w:tcW w:w="2400" w:type="dxa"/>
            <w:vAlign w:val="bottom"/>
            <w:shd w:val="clear" w:color="auto" w:fill="CCECFC"/>
          </w:tcPr>
          <w:p>
            <w:pPr>
              <w:jc w:val="center"/>
              <w:ind w:left="154"/>
              <w:spacing w:after="0"/>
              <w:rPr>
                <w:sz w:val="20"/>
                <w:szCs w:val="20"/>
                <w:color w:val="auto"/>
              </w:rPr>
            </w:pPr>
            <w:r>
              <w:rPr>
                <w:rFonts w:ascii="Times New Roman" w:cs="Times New Roman" w:eastAsia="Times New Roman" w:hAnsi="Times New Roman"/>
                <w:sz w:val="13"/>
                <w:szCs w:val="13"/>
                <w:color w:val="auto"/>
              </w:rPr>
              <w:t>Enterprise Market Value</w:t>
            </w:r>
          </w:p>
        </w:tc>
        <w:tc>
          <w:tcPr>
            <w:tcW w:w="2320" w:type="dxa"/>
            <w:vAlign w:val="bottom"/>
            <w:shd w:val="clear" w:color="auto" w:fill="CCECFC"/>
          </w:tcPr>
          <w:p>
            <w:pPr>
              <w:jc w:val="center"/>
              <w:ind w:left="34"/>
              <w:spacing w:after="0"/>
              <w:rPr>
                <w:sz w:val="20"/>
                <w:szCs w:val="20"/>
                <w:color w:val="auto"/>
              </w:rPr>
            </w:pPr>
            <w:r>
              <w:rPr>
                <w:rFonts w:ascii="Times New Roman" w:cs="Times New Roman" w:eastAsia="Times New Roman" w:hAnsi="Times New Roman"/>
                <w:sz w:val="13"/>
                <w:szCs w:val="13"/>
                <w:color w:val="auto"/>
              </w:rPr>
              <w:t>EBITDA Multiple</w:t>
            </w:r>
          </w:p>
        </w:tc>
        <w:tc>
          <w:tcPr>
            <w:tcW w:w="1840" w:type="dxa"/>
            <w:vAlign w:val="bottom"/>
            <w:shd w:val="clear" w:color="auto" w:fill="CCECFC"/>
          </w:tcPr>
          <w:p>
            <w:pPr>
              <w:jc w:val="center"/>
              <w:ind w:left="34"/>
              <w:spacing w:after="0"/>
              <w:rPr>
                <w:sz w:val="20"/>
                <w:szCs w:val="20"/>
                <w:color w:val="auto"/>
              </w:rPr>
            </w:pPr>
            <w:r>
              <w:rPr>
                <w:rFonts w:ascii="Times New Roman" w:cs="Times New Roman" w:eastAsia="Times New Roman" w:hAnsi="Times New Roman"/>
                <w:sz w:val="13"/>
                <w:szCs w:val="13"/>
                <w:color w:val="auto"/>
                <w:w w:val="96"/>
              </w:rPr>
              <w:t>6.0x</w:t>
            </w:r>
          </w:p>
        </w:tc>
      </w:tr>
      <w:tr>
        <w:trPr>
          <w:trHeight w:val="156"/>
        </w:trPr>
        <w:tc>
          <w:tcPr>
            <w:tcW w:w="2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Level 3 investments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1,031,225</w:t>
            </w:r>
          </w:p>
        </w:tc>
        <w:tc>
          <w:tcPr>
            <w:tcW w:w="24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20"/>
        </w:trPr>
        <w:tc>
          <w:tcPr>
            <w:tcW w:w="2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19"/>
        </w:trPr>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Fair value at September</w:t>
            </w:r>
          </w:p>
        </w:tc>
        <w:tc>
          <w:tcPr>
            <w:tcW w:w="24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40" w:type="dxa"/>
            <w:vAlign w:val="bottom"/>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rPr>
              <w:t>Range of Input</w:t>
            </w:r>
          </w:p>
        </w:tc>
      </w:tr>
      <w:tr>
        <w:trPr>
          <w:trHeight w:val="169"/>
        </w:trPr>
        <w:tc>
          <w:tcPr>
            <w:tcW w:w="2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 Category</w:t>
            </w:r>
          </w:p>
        </w:tc>
        <w:tc>
          <w:tcPr>
            <w:tcW w:w="1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30, 2023</w:t>
            </w:r>
          </w:p>
        </w:tc>
        <w:tc>
          <w:tcPr>
            <w:tcW w:w="2400" w:type="dxa"/>
            <w:vAlign w:val="bottom"/>
          </w:tcPr>
          <w:p>
            <w:pPr>
              <w:jc w:val="center"/>
              <w:ind w:left="154"/>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2320" w:type="dxa"/>
            <w:vAlign w:val="bottom"/>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rPr>
              <w:t>Unobservable Input</w:t>
            </w:r>
          </w:p>
        </w:tc>
        <w:tc>
          <w:tcPr>
            <w:tcW w:w="1840" w:type="dxa"/>
            <w:vAlign w:val="bottom"/>
          </w:tcPr>
          <w:p>
            <w:pPr>
              <w:jc w:val="center"/>
              <w:ind w:left="34"/>
              <w:spacing w:after="0" w:line="169" w:lineRule="exact"/>
              <w:rPr>
                <w:sz w:val="20"/>
                <w:szCs w:val="20"/>
                <w:color w:val="auto"/>
              </w:rPr>
            </w:pPr>
            <w:r>
              <w:rPr>
                <w:rFonts w:ascii="Times New Roman" w:cs="Times New Roman" w:eastAsia="Times New Roman" w:hAnsi="Times New Roman"/>
                <w:sz w:val="13"/>
                <w:szCs w:val="13"/>
                <w:b w:val="1"/>
                <w:bCs w:val="1"/>
                <w:color w:val="auto"/>
                <w:w w:val="98"/>
              </w:rPr>
              <w:t xml:space="preserve">(Weighted Average) </w:t>
            </w:r>
            <w:r>
              <w:rPr>
                <w:rFonts w:ascii="Times New Roman" w:cs="Times New Roman" w:eastAsia="Times New Roman" w:hAnsi="Times New Roman"/>
                <w:sz w:val="16"/>
                <w:szCs w:val="16"/>
                <w:b w:val="1"/>
                <w:bCs w:val="1"/>
                <w:color w:val="auto"/>
                <w:w w:val="98"/>
                <w:vertAlign w:val="superscript"/>
              </w:rPr>
              <w:t>(1)</w:t>
            </w:r>
          </w:p>
        </w:tc>
      </w:tr>
      <w:tr>
        <w:trPr>
          <w:trHeight w:val="168"/>
        </w:trPr>
        <w:tc>
          <w:tcPr>
            <w:tcW w:w="2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85,500</w:t>
            </w:r>
          </w:p>
        </w:tc>
        <w:tc>
          <w:tcPr>
            <w:tcW w:w="2400" w:type="dxa"/>
            <w:vAlign w:val="bottom"/>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32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Broker/Dealer bids or quotes</w:t>
            </w:r>
          </w:p>
        </w:tc>
        <w:tc>
          <w:tcPr>
            <w:tcW w:w="18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w w:val="98"/>
              </w:rPr>
              <w:t>N/A</w:t>
            </w:r>
          </w:p>
        </w:tc>
      </w:tr>
      <w:tr>
        <w:trPr>
          <w:trHeight w:val="156"/>
        </w:trPr>
        <w:tc>
          <w:tcPr>
            <w:tcW w:w="2340" w:type="dxa"/>
            <w:vAlign w:val="bottom"/>
            <w:shd w:val="clear" w:color="auto" w:fill="CCECFC"/>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60" w:type="dxa"/>
            <w:vAlign w:val="bottom"/>
            <w:shd w:val="clear" w:color="auto" w:fill="CCECFC"/>
          </w:tcPr>
          <w:p>
            <w:pPr>
              <w:spacing w:after="0"/>
              <w:rPr>
                <w:sz w:val="13"/>
                <w:szCs w:val="13"/>
                <w:color w:val="auto"/>
              </w:rPr>
            </w:pPr>
          </w:p>
        </w:tc>
        <w:tc>
          <w:tcPr>
            <w:tcW w:w="1500" w:type="dxa"/>
            <w:vAlign w:val="bottom"/>
            <w:shd w:val="clear" w:color="auto" w:fill="CCECFC"/>
          </w:tcPr>
          <w:p>
            <w:pPr>
              <w:jc w:val="right"/>
              <w:spacing w:after="0"/>
              <w:rPr>
                <w:sz w:val="20"/>
                <w:szCs w:val="20"/>
                <w:color w:val="auto"/>
              </w:rPr>
            </w:pPr>
            <w:r>
              <w:rPr>
                <w:rFonts w:ascii="Times New Roman" w:cs="Times New Roman" w:eastAsia="Times New Roman" w:hAnsi="Times New Roman"/>
                <w:sz w:val="13"/>
                <w:szCs w:val="13"/>
                <w:color w:val="auto"/>
              </w:rPr>
              <w:t>718,687</w:t>
            </w:r>
          </w:p>
        </w:tc>
        <w:tc>
          <w:tcPr>
            <w:tcW w:w="2400" w:type="dxa"/>
            <w:vAlign w:val="bottom"/>
            <w:shd w:val="clear" w:color="auto" w:fill="CCECFC"/>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320" w:type="dxa"/>
            <w:vAlign w:val="bottom"/>
            <w:shd w:val="clear" w:color="auto" w:fill="CCECFC"/>
          </w:tcPr>
          <w:p>
            <w:pPr>
              <w:jc w:val="center"/>
              <w:ind w:left="34"/>
              <w:spacing w:after="0"/>
              <w:rPr>
                <w:sz w:val="20"/>
                <w:szCs w:val="20"/>
                <w:color w:val="auto"/>
              </w:rPr>
            </w:pPr>
            <w:r>
              <w:rPr>
                <w:rFonts w:ascii="Times New Roman" w:cs="Times New Roman" w:eastAsia="Times New Roman" w:hAnsi="Times New Roman"/>
                <w:sz w:val="13"/>
                <w:szCs w:val="13"/>
                <w:color w:val="auto"/>
              </w:rPr>
              <w:t>Market Yield</w:t>
            </w:r>
          </w:p>
        </w:tc>
        <w:tc>
          <w:tcPr>
            <w:tcW w:w="1840" w:type="dxa"/>
            <w:vAlign w:val="bottom"/>
            <w:shd w:val="clear" w:color="auto" w:fill="CCECFC"/>
          </w:tcPr>
          <w:p>
            <w:pPr>
              <w:jc w:val="center"/>
              <w:ind w:left="34"/>
              <w:spacing w:after="0"/>
              <w:rPr>
                <w:sz w:val="20"/>
                <w:szCs w:val="20"/>
                <w:color w:val="auto"/>
              </w:rPr>
            </w:pPr>
            <w:r>
              <w:rPr>
                <w:rFonts w:ascii="Times New Roman" w:cs="Times New Roman" w:eastAsia="Times New Roman" w:hAnsi="Times New Roman"/>
                <w:sz w:val="13"/>
                <w:szCs w:val="13"/>
                <w:color w:val="auto"/>
              </w:rPr>
              <w:t>10.0% - 25.0% (12.2%)</w:t>
            </w:r>
          </w:p>
        </w:tc>
      </w:tr>
      <w:tr>
        <w:trPr>
          <w:trHeight w:val="156"/>
        </w:trPr>
        <w:tc>
          <w:tcPr>
            <w:tcW w:w="2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Level 3 investments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804,187</w:t>
            </w:r>
          </w:p>
        </w:tc>
        <w:tc>
          <w:tcPr>
            <w:tcW w:w="24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20"/>
        </w:trPr>
        <w:tc>
          <w:tcPr>
            <w:tcW w:w="2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24" w:lineRule="exact"/>
        <w:rPr>
          <w:sz w:val="20"/>
          <w:szCs w:val="20"/>
          <w:color w:val="auto"/>
        </w:rPr>
      </w:pPr>
    </w:p>
    <w:p>
      <w:pPr>
        <w:ind w:left="126" w:hanging="126"/>
        <w:spacing w:after="0"/>
        <w:tabs>
          <w:tab w:leader="none" w:pos="126" w:val="left"/>
        </w:tabs>
        <w:numPr>
          <w:ilvl w:val="0"/>
          <w:numId w:val="1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weighted average disclosed in the tables above was weighted by its relative fair value.</w:t>
      </w:r>
    </w:p>
    <w:p>
      <w:pPr>
        <w:sectPr>
          <w:pgSz w:w="11900" w:h="16840" w:orient="portrait"/>
          <w:cols w:equalWidth="0" w:num="1">
            <w:col w:w="10566"/>
          </w:cols>
          <w:pgMar w:left="654" w:top="1131" w:right="680" w:bottom="1440" w:gutter="0" w:footer="0" w:header="0"/>
        </w:sectPr>
      </w:pPr>
    </w:p>
    <w:p>
      <w:pPr>
        <w:spacing w:after="0" w:line="16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4"/>
          <w:szCs w:val="14"/>
          <w:color w:val="auto"/>
        </w:rPr>
        <w:t>Our investments and cash and cash equivalents were categorized as follows in the fair value hierarchy for ASC 820 purposes ($ in thousands):</w:t>
      </w:r>
    </w:p>
    <w:p>
      <w:pPr>
        <w:spacing w:after="0" w:line="223" w:lineRule="exact"/>
        <w:rPr>
          <w:sz w:val="20"/>
          <w:szCs w:val="20"/>
          <w:color w:val="auto"/>
        </w:rPr>
      </w:pPr>
    </w:p>
    <w:tbl>
      <w:tblPr>
        <w:tblLayout w:type="fixed"/>
        <w:tblInd w:w="26" w:type="dxa"/>
        <w:tblCellMar>
          <w:top w:w="0" w:type="dxa"/>
          <w:left w:w="0" w:type="dxa"/>
          <w:bottom w:w="0" w:type="dxa"/>
          <w:right w:w="0" w:type="dxa"/>
        </w:tblCellMar>
      </w:tblPr>
      <w:tr>
        <w:trPr>
          <w:trHeight w:val="156"/>
        </w:trPr>
        <w:tc>
          <w:tcPr>
            <w:tcW w:w="4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40" w:type="dxa"/>
            <w:vAlign w:val="bottom"/>
            <w:gridSpan w:val="4"/>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Fair Value at September 30, 2024</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260" w:type="dxa"/>
            <w:vAlign w:val="bottom"/>
          </w:tcPr>
          <w:p>
            <w:pPr>
              <w:spacing w:after="0"/>
              <w:rPr>
                <w:sz w:val="15"/>
                <w:szCs w:val="15"/>
                <w:color w:val="auto"/>
              </w:rPr>
            </w:pPr>
          </w:p>
        </w:tc>
        <w:tc>
          <w:tcPr>
            <w:tcW w:w="108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First lien</w:t>
            </w: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1,028,874</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84"/>
        </w:trPr>
        <w:tc>
          <w:tcPr>
            <w:tcW w:w="41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Equity</w:t>
            </w:r>
          </w:p>
        </w:tc>
        <w:tc>
          <w:tcPr>
            <w:tcW w:w="260" w:type="dxa"/>
            <w:vAlign w:val="bottom"/>
          </w:tcPr>
          <w:p>
            <w:pPr>
              <w:spacing w:after="0"/>
              <w:rPr>
                <w:sz w:val="7"/>
                <w:szCs w:val="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continue"/>
          </w:tcPr>
          <w:p>
            <w:pPr>
              <w:spacing w:after="0"/>
              <w:rPr>
                <w:sz w:val="7"/>
                <w:szCs w:val="7"/>
                <w:color w:val="auto"/>
              </w:rPr>
            </w:pPr>
          </w:p>
        </w:tc>
        <w:tc>
          <w:tcPr>
            <w:tcW w:w="1040" w:type="dxa"/>
            <w:vAlign w:val="bottom"/>
            <w:vMerge w:val="restart"/>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vMerge w:val="continue"/>
          </w:tcPr>
          <w:p>
            <w:pPr>
              <w:spacing w:after="0"/>
              <w:rPr>
                <w:sz w:val="7"/>
                <w:szCs w:val="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2,351</w:t>
            </w: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41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Total investments</w:t>
            </w:r>
          </w:p>
        </w:tc>
        <w:tc>
          <w:tcPr>
            <w:tcW w:w="2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1,031,225</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36,595</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Total investments, cash and cash equivalents</w:t>
            </w: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36,595</w:t>
            </w: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1,031,225</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56"/>
        </w:trPr>
        <w:tc>
          <w:tcPr>
            <w:tcW w:w="4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-715645</wp:posOffset>
            </wp:positionV>
            <wp:extent cx="6707505" cy="1981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5">
                      <a:extLst>
                        <a:ext uri="{28A0092B-C50C-407E-A947-70E740481C1C}"/>
                      </a:extLst>
                    </a:blip>
                    <a:srcRect/>
                    <a:stretch>
                      <a:fillRect/>
                    </a:stretch>
                  </pic:blipFill>
                  <pic:spPr bwMode="auto">
                    <a:xfrm>
                      <a:off x="0" y="0"/>
                      <a:ext cx="6707505" cy="19812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-418465</wp:posOffset>
            </wp:positionV>
            <wp:extent cx="6707505" cy="990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6">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-220345</wp:posOffset>
            </wp:positionV>
            <wp:extent cx="6707505" cy="2209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7">
                      <a:extLst>
                        <a:ext uri="{28A0092B-C50C-407E-A947-70E740481C1C}"/>
                      </a:extLst>
                    </a:blip>
                    <a:srcRect/>
                    <a:stretch>
                      <a:fillRect/>
                    </a:stretch>
                  </pic:blipFill>
                  <pic:spPr bwMode="auto">
                    <a:xfrm>
                      <a:off x="0" y="0"/>
                      <a:ext cx="6707505" cy="220980"/>
                    </a:xfrm>
                    <a:prstGeom prst="rect">
                      <a:avLst/>
                    </a:prstGeom>
                    <a:noFill/>
                  </pic:spPr>
                </pic:pic>
              </a:graphicData>
            </a:graphic>
          </wp:anchor>
        </w:drawing>
      </w:r>
    </w:p>
    <w:p>
      <w:pPr>
        <w:spacing w:after="0" w:line="278" w:lineRule="exact"/>
        <w:rPr>
          <w:sz w:val="20"/>
          <w:szCs w:val="20"/>
          <w:color w:val="auto"/>
        </w:rPr>
      </w:pPr>
    </w:p>
    <w:tbl>
      <w:tblPr>
        <w:tblLayout w:type="fixed"/>
        <w:tblInd w:w="6" w:type="dxa"/>
        <w:tblCellMar>
          <w:top w:w="0" w:type="dxa"/>
          <w:left w:w="0" w:type="dxa"/>
          <w:bottom w:w="0" w:type="dxa"/>
          <w:right w:w="0" w:type="dxa"/>
        </w:tblCellMar>
      </w:tblPr>
      <w:tr>
        <w:trPr>
          <w:trHeight w:val="156"/>
        </w:trPr>
        <w:tc>
          <w:tcPr>
            <w:tcW w:w="4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60" w:type="dxa"/>
            <w:vAlign w:val="bottom"/>
            <w:gridSpan w:val="5"/>
          </w:tcPr>
          <w:p>
            <w:pPr>
              <w:ind w:left="280"/>
              <w:spacing w:after="0"/>
              <w:rPr>
                <w:sz w:val="20"/>
                <w:szCs w:val="20"/>
                <w:color w:val="auto"/>
              </w:rPr>
            </w:pPr>
            <w:r>
              <w:rPr>
                <w:rFonts w:ascii="Times New Roman" w:cs="Times New Roman" w:eastAsia="Times New Roman" w:hAnsi="Times New Roman"/>
                <w:sz w:val="13"/>
                <w:szCs w:val="13"/>
                <w:b w:val="1"/>
                <w:bCs w:val="1"/>
                <w:color w:val="auto"/>
              </w:rPr>
              <w:t>Fair Value at September 30, 2023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20" w:type="dxa"/>
            <w:vAlign w:val="bottom"/>
            <w:shd w:val="clear" w:color="auto" w:fill="CCECFF"/>
          </w:tcPr>
          <w:p>
            <w:pPr>
              <w:spacing w:after="0"/>
              <w:rPr>
                <w:sz w:val="20"/>
                <w:szCs w:val="20"/>
                <w:color w:val="auto"/>
              </w:rPr>
            </w:pP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804,187</w:t>
            </w:r>
          </w:p>
        </w:tc>
        <w:tc>
          <w:tcPr>
            <w:tcW w:w="120" w:type="dxa"/>
            <w:vAlign w:val="bottom"/>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80"/>
        </w:trPr>
        <w:tc>
          <w:tcPr>
            <w:tcW w:w="4040" w:type="dxa"/>
            <w:vAlign w:val="bottom"/>
          </w:tcPr>
          <w:p>
            <w:pPr>
              <w:spacing w:after="0"/>
              <w:rPr>
                <w:sz w:val="6"/>
                <w:szCs w:val="6"/>
                <w:color w:val="auto"/>
              </w:rPr>
            </w:pPr>
          </w:p>
        </w:tc>
        <w:tc>
          <w:tcPr>
            <w:tcW w:w="120" w:type="dxa"/>
            <w:vAlign w:val="bottom"/>
            <w:shd w:val="clear" w:color="auto" w:fill="CCECFF"/>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04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shd w:val="clear" w:color="auto" w:fill="CCECFF"/>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 investments</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804,187</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59,096</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7"/>
        </w:trPr>
        <w:tc>
          <w:tcPr>
            <w:tcW w:w="4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 investments, cash and cash equivalents</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59,096</w:t>
            </w:r>
          </w:p>
        </w:tc>
        <w:tc>
          <w:tcPr>
            <w:tcW w:w="5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FF0FC"/>
            </w:tcBorders>
            <w:shd w:val="clear" w:color="auto" w:fill="CFF0FC"/>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804,187</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Total</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1,028,874</w:t>
      </w:r>
    </w:p>
    <w:p>
      <w:pPr>
        <w:spacing w:after="0" w:line="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2,351</w:t>
      </w:r>
    </w:p>
    <w:p>
      <w:pPr>
        <w:spacing w:after="0" w:line="21"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3"/>
          <w:szCs w:val="13"/>
          <w:color w:val="auto"/>
        </w:rPr>
        <w:t>1,031,225</w:t>
      </w:r>
    </w:p>
    <w:p>
      <w:pPr>
        <w:spacing w:after="0" w:line="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3"/>
          <w:szCs w:val="13"/>
          <w:color w:val="auto"/>
        </w:rPr>
        <w:t>36,595</w:t>
      </w:r>
    </w:p>
    <w:p>
      <w:pPr>
        <w:spacing w:after="0" w:line="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1,067,820</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Total</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804,187</w:t>
      </w:r>
    </w:p>
    <w:p>
      <w:pPr>
        <w:spacing w:after="0" w:line="91"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3"/>
          <w:szCs w:val="13"/>
          <w:color w:val="auto"/>
        </w:rPr>
        <w:t>804,187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-86995</wp:posOffset>
            </wp:positionV>
            <wp:extent cx="1097280" cy="990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8">
                      <a:extLst>
                        <a:ext uri="{28A0092B-C50C-407E-A947-70E740481C1C}"/>
                      </a:extLst>
                    </a:blip>
                    <a:srcRect/>
                    <a:stretch>
                      <a:fillRect/>
                    </a:stretch>
                  </pic:blipFill>
                  <pic:spPr bwMode="auto">
                    <a:xfrm>
                      <a:off x="0" y="0"/>
                      <a:ext cx="1097280" cy="99060"/>
                    </a:xfrm>
                    <a:prstGeom prst="rect">
                      <a:avLst/>
                    </a:prstGeom>
                    <a:noFill/>
                  </pic:spPr>
                </pic:pic>
              </a:graphicData>
            </a:graphic>
          </wp:anchor>
        </w:drawing>
      </w:r>
    </w:p>
    <w:p>
      <w:pPr>
        <w:spacing w:after="0" w:line="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3"/>
          <w:szCs w:val="13"/>
          <w:color w:val="auto"/>
        </w:rPr>
        <w:t>59,096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2540</wp:posOffset>
            </wp:positionV>
            <wp:extent cx="1097280" cy="2209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9">
                      <a:extLst>
                        <a:ext uri="{28A0092B-C50C-407E-A947-70E740481C1C}"/>
                      </a:extLst>
                    </a:blip>
                    <a:srcRect/>
                    <a:stretch>
                      <a:fillRect/>
                    </a:stretch>
                  </pic:blipFill>
                  <pic:spPr bwMode="auto">
                    <a:xfrm>
                      <a:off x="0" y="0"/>
                      <a:ext cx="1097280" cy="220980"/>
                    </a:xfrm>
                    <a:prstGeom prst="rect">
                      <a:avLst/>
                    </a:prstGeom>
                    <a:noFill/>
                  </pic:spPr>
                </pic:pic>
              </a:graphicData>
            </a:graphic>
          </wp:anchor>
        </w:drawing>
      </w:r>
    </w:p>
    <w:p>
      <w:pPr>
        <w:spacing w:after="0" w:line="45"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3"/>
          <w:szCs w:val="13"/>
          <w:color w:val="auto"/>
        </w:rPr>
        <w:t>863,283</w:t>
      </w:r>
    </w:p>
    <w:p>
      <w:pPr>
        <w:spacing w:after="0" w:line="305" w:lineRule="exact"/>
        <w:rPr>
          <w:sz w:val="20"/>
          <w:szCs w:val="20"/>
          <w:color w:val="auto"/>
        </w:rPr>
      </w:pPr>
    </w:p>
    <w:p>
      <w:pPr>
        <w:sectPr>
          <w:pgSz w:w="11900" w:h="16840" w:orient="portrait"/>
          <w:cols w:equalWidth="0" w:num="2">
            <w:col w:w="8926" w:space="580"/>
            <w:col w:w="1060"/>
          </w:cols>
          <w:pgMar w:left="654" w:top="1131" w:right="680" w:bottom="1440" w:gutter="0" w:footer="0" w:header="0"/>
          <w:type w:val="continuous"/>
        </w:sectPr>
      </w:pPr>
    </w:p>
    <w:p>
      <w:pPr>
        <w:ind w:left="6" w:right="280" w:firstLine="420"/>
        <w:spacing w:after="0" w:line="259" w:lineRule="auto"/>
        <w:rPr>
          <w:sz w:val="20"/>
          <w:szCs w:val="20"/>
          <w:color w:val="auto"/>
        </w:rPr>
      </w:pPr>
      <w:r>
        <w:rPr>
          <w:rFonts w:ascii="Times New Roman" w:cs="Times New Roman" w:eastAsia="Times New Roman" w:hAnsi="Times New Roman"/>
          <w:sz w:val="16"/>
          <w:szCs w:val="16"/>
          <w:color w:val="auto"/>
        </w:rPr>
        <w:t>For the year ended September 30, 2024, the amount of Level 3 purchases, including PIK interest, net discount accretion and non-cash exchanges, for the year were $401.3 million. There were no Level 3 transfers.</w:t>
      </w:r>
    </w:p>
    <w:p>
      <w:pPr>
        <w:spacing w:after="0" w:line="143" w:lineRule="exact"/>
        <w:rPr>
          <w:sz w:val="20"/>
          <w:szCs w:val="20"/>
          <w:color w:val="auto"/>
        </w:rPr>
      </w:pPr>
    </w:p>
    <w:p>
      <w:pPr>
        <w:ind w:left="6" w:right="320" w:firstLine="420"/>
        <w:spacing w:after="0" w:line="259" w:lineRule="auto"/>
        <w:rPr>
          <w:sz w:val="20"/>
          <w:szCs w:val="20"/>
          <w:color w:val="auto"/>
        </w:rPr>
      </w:pPr>
      <w:r>
        <w:rPr>
          <w:rFonts w:ascii="Times New Roman" w:cs="Times New Roman" w:eastAsia="Times New Roman" w:hAnsi="Times New Roman"/>
          <w:sz w:val="16"/>
          <w:szCs w:val="16"/>
          <w:color w:val="auto"/>
        </w:rPr>
        <w:t>For the year ended September 30, 2023, the amount of Level 3 purchases, including PIK interest, net discount accretion and non-cash exchanges, for the year were $179.6 million. There were no Level 3 transfers.</w:t>
      </w:r>
    </w:p>
    <w:p>
      <w:pPr>
        <w:spacing w:after="0" w:line="14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5. CASH AND CASH EQUIVALENTS</w:t>
      </w:r>
    </w:p>
    <w:p>
      <w:pPr>
        <w:spacing w:after="0" w:line="178" w:lineRule="exact"/>
        <w:rPr>
          <w:sz w:val="20"/>
          <w:szCs w:val="20"/>
          <w:color w:val="auto"/>
        </w:rPr>
      </w:pPr>
    </w:p>
    <w:p>
      <w:pPr>
        <w:ind w:left="6" w:right="60" w:firstLine="420"/>
        <w:spacing w:after="0" w:line="241" w:lineRule="auto"/>
        <w:rPr>
          <w:sz w:val="20"/>
          <w:szCs w:val="20"/>
          <w:color w:val="auto"/>
        </w:rPr>
      </w:pPr>
      <w:r>
        <w:rPr>
          <w:rFonts w:ascii="Times New Roman" w:cs="Times New Roman" w:eastAsia="Times New Roman" w:hAnsi="Times New Roman"/>
          <w:sz w:val="16"/>
          <w:szCs w:val="16"/>
          <w:color w:val="auto"/>
        </w:rPr>
        <w:t>Cash equivalents represent cash invested in overnight money market funds. These temporary investments with original maturities of 90 days or less are deemed cash equivalents. Cash deposited at financial institutions is insured by the Federal Deposit Insurance Corporation (“FDIC”), up to specified limits. At times, such balances may exceed FDIC insured amounts. As of September 30, 2024 and 2023, the entire amount of $36.6 million and $59.1 million, respectively, included in the cash and cash equivalents balance on the Consolidated Statement of Assets, Liabilities and Members' Equity is comprised of money market funds, which are not subject to FDIC insurance. PSLF believes it is not exposed to any significant risk of loss on its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709295</wp:posOffset>
            </wp:positionV>
            <wp:extent cx="6732905" cy="406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6"/>
          </w:cols>
          <w:pgMar w:left="654" w:top="1131" w:right="680" w:bottom="1440" w:gutter="0" w:footer="0" w:header="0"/>
          <w:type w:val="continuous"/>
        </w:sectPr>
      </w:pPr>
    </w:p>
    <w:bookmarkStart w:id="136" w:name="page137"/>
    <w:bookmarkEnd w:id="136"/>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SEPTEMBER 30, 2024 (Continued)</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MEMBERS’ EQUITY</w:t>
      </w:r>
    </w:p>
    <w:p>
      <w:pPr>
        <w:spacing w:after="0" w:line="178" w:lineRule="exact"/>
        <w:rPr>
          <w:sz w:val="20"/>
          <w:szCs w:val="20"/>
          <w:color w:val="auto"/>
        </w:rPr>
      </w:pPr>
    </w:p>
    <w:p>
      <w:pPr>
        <w:ind w:firstLine="420"/>
        <w:spacing w:after="0" w:line="241" w:lineRule="auto"/>
        <w:rPr>
          <w:sz w:val="20"/>
          <w:szCs w:val="20"/>
          <w:color w:val="auto"/>
        </w:rPr>
      </w:pPr>
      <w:r>
        <w:rPr>
          <w:rFonts w:ascii="Times New Roman" w:cs="Times New Roman" w:eastAsia="Times New Roman" w:hAnsi="Times New Roman"/>
          <w:sz w:val="16"/>
          <w:szCs w:val="16"/>
          <w:color w:val="auto"/>
        </w:rPr>
        <w:t>PNNT and Pantheon provide capital to PSLF in the form of equity interests. As described in Note 1, PNNT and Pantheon's initial equity interests ownership percentages were 72.0% and 28.0%, respectively. On October 31, 2020, PNNT and Pantheon contributed an additional $10.8 million , non pro-rata, to PSLF. PNNT and Pantheon’s additional equity investments came in at PSLF’s then current Members' equity. As a result, PNNT and Pantheon owned 60.5% and 39.5%, respectively, of the equity interests of PSLF. As of September 30, 2024 and September 30, 2023 the equity interest ownership percentages remained 60.5% and 39.5%, respectively based on commitments funded.</w:t>
      </w:r>
    </w:p>
    <w:p>
      <w:pPr>
        <w:spacing w:after="0" w:line="157" w:lineRule="exact"/>
        <w:rPr>
          <w:sz w:val="20"/>
          <w:szCs w:val="20"/>
          <w:color w:val="auto"/>
        </w:rPr>
      </w:pPr>
    </w:p>
    <w:p>
      <w:pPr>
        <w:ind w:right="160" w:firstLine="420"/>
        <w:spacing w:after="0" w:line="331" w:lineRule="auto"/>
        <w:rPr>
          <w:sz w:val="20"/>
          <w:szCs w:val="20"/>
          <w:color w:val="auto"/>
        </w:rPr>
      </w:pPr>
      <w:r>
        <w:rPr>
          <w:rFonts w:ascii="Times New Roman" w:cs="Times New Roman" w:eastAsia="Times New Roman" w:hAnsi="Times New Roman"/>
          <w:sz w:val="14"/>
          <w:szCs w:val="14"/>
          <w:color w:val="auto"/>
        </w:rPr>
        <w:t>On August 28, 2024, PNNT and Pantheon committed to fund additional equity interest of $19.9 million and $28.5 million, respectively, to PSLF. As a result of the additional commitment, PNNT and Pantheon will own 54.8% and 45.2%, respectively, of the equity interests of PSLF after the upsize commitments are funded.</w:t>
      </w:r>
    </w:p>
    <w:p>
      <w:pPr>
        <w:spacing w:after="0" w:line="96" w:lineRule="exact"/>
        <w:rPr>
          <w:sz w:val="20"/>
          <w:szCs w:val="20"/>
          <w:color w:val="auto"/>
        </w:rPr>
      </w:pPr>
    </w:p>
    <w:p>
      <w:pPr>
        <w:ind w:right="160" w:firstLine="420"/>
        <w:spacing w:after="0" w:line="259" w:lineRule="auto"/>
        <w:rPr>
          <w:sz w:val="20"/>
          <w:szCs w:val="20"/>
          <w:color w:val="auto"/>
        </w:rPr>
      </w:pPr>
      <w:r>
        <w:rPr>
          <w:rFonts w:ascii="Times New Roman" w:cs="Times New Roman" w:eastAsia="Times New Roman" w:hAnsi="Times New Roman"/>
          <w:sz w:val="16"/>
          <w:szCs w:val="16"/>
          <w:color w:val="auto"/>
        </w:rPr>
        <w:t>As of September 30, 2024 and 2023, PNNT had commitments to fund equity interests to PSLF of $87.4 million and $67.4 million, respectively, of which $19.9 million and $8.8 million, respectively, were unfunded.</w:t>
      </w:r>
    </w:p>
    <w:p>
      <w:pPr>
        <w:spacing w:after="0" w:line="143" w:lineRule="exact"/>
        <w:rPr>
          <w:sz w:val="20"/>
          <w:szCs w:val="20"/>
          <w:color w:val="auto"/>
        </w:rPr>
      </w:pPr>
    </w:p>
    <w:p>
      <w:pPr>
        <w:ind w:right="100" w:firstLine="312"/>
        <w:spacing w:after="0" w:line="259" w:lineRule="auto"/>
        <w:rPr>
          <w:sz w:val="20"/>
          <w:szCs w:val="20"/>
          <w:color w:val="auto"/>
        </w:rPr>
      </w:pPr>
      <w:r>
        <w:rPr>
          <w:rFonts w:ascii="Times New Roman" w:cs="Times New Roman" w:eastAsia="Times New Roman" w:hAnsi="Times New Roman"/>
          <w:sz w:val="16"/>
          <w:szCs w:val="16"/>
          <w:color w:val="auto"/>
        </w:rPr>
        <w:t>As of September 30, 2024 and 2023, Pantheon had commitments to fund equity interests to PSLF of $73.4 million and $44.9 million, respectively, of which $28.5 million and $5.7 million, respectively were unfunded.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NOTES PAYABLE TO MEMBERS</w:t>
      </w:r>
    </w:p>
    <w:p>
      <w:pPr>
        <w:spacing w:after="0" w:line="166" w:lineRule="exact"/>
        <w:rPr>
          <w:sz w:val="20"/>
          <w:szCs w:val="20"/>
          <w:color w:val="auto"/>
        </w:rPr>
      </w:pPr>
    </w:p>
    <w:p>
      <w:pPr>
        <w:ind w:firstLine="420"/>
        <w:spacing w:after="0" w:line="239" w:lineRule="auto"/>
        <w:rPr>
          <w:sz w:val="20"/>
          <w:szCs w:val="20"/>
          <w:color w:val="auto"/>
        </w:rPr>
      </w:pPr>
      <w:r>
        <w:rPr>
          <w:rFonts w:ascii="Times New Roman" w:cs="Times New Roman" w:eastAsia="Times New Roman" w:hAnsi="Times New Roman"/>
          <w:sz w:val="16"/>
          <w:szCs w:val="16"/>
          <w:color w:val="auto"/>
        </w:rPr>
        <w:t>PNNT and Pantheon provide capital to PSLF in the form of subordinated notes ("Member Notes"). As described in Note 1, PNNT and Pantheon initially owned 72.0% and 28.0% respectively, of the Member Notes. On October 31, 2020, PNNT and Pantheon contributed an additional $18.5 million, non pro-rata, to PSLF in the form of additional Member notes. As a result, PNNT and Pantheon owned 60.5% and 39.5%, respectively, of the Member notes of PSLF. As of September 30, 2023 and September 30, 2024, the subordinated notes ownership percentages remained 60.5% and 39.5% respectively based on commitments funded. The notes bear interest at 3-month LIBOR plus 8% prior to June 30, 2023 and 3-month SOFR plus 8% after June 30, 2023 and matures on July 31, 2027. As of September 30, 2024 and September 30, 2023 interest on the Member Notes was 13.3% and 13.4%, respectively.</w:t>
      </w:r>
    </w:p>
    <w:p>
      <w:pPr>
        <w:spacing w:after="0" w:line="161" w:lineRule="exact"/>
        <w:rPr>
          <w:sz w:val="20"/>
          <w:szCs w:val="20"/>
          <w:color w:val="auto"/>
        </w:rPr>
      </w:pPr>
    </w:p>
    <w:p>
      <w:pPr>
        <w:ind w:right="100" w:firstLine="420"/>
        <w:spacing w:after="0" w:line="299" w:lineRule="auto"/>
        <w:rPr>
          <w:sz w:val="20"/>
          <w:szCs w:val="20"/>
          <w:color w:val="auto"/>
        </w:rPr>
      </w:pPr>
      <w:r>
        <w:rPr>
          <w:rFonts w:ascii="Times New Roman" w:cs="Times New Roman" w:eastAsia="Times New Roman" w:hAnsi="Times New Roman"/>
          <w:sz w:val="14"/>
          <w:szCs w:val="14"/>
          <w:color w:val="auto"/>
        </w:rPr>
        <w:t>On August 28, 2024, PNNT and Pantheon committed to fund additional Member Notes of $32.6 million and $46.5 million, respectively, to PSLF. As part of the additional commitment, the Member Notes were extended to July 31, 2032. The Member Notes bear interest at the higher of 3- month SOFR or 1%. As a result of the additional commitment, PNNT and Pantheon will own 54.8% and 45.2%, respectively, of the Member Notes of PSLF after the upsize commitments are funded.</w:t>
      </w:r>
    </w:p>
    <w:p>
      <w:pPr>
        <w:spacing w:after="0" w:line="119"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6"/>
          <w:szCs w:val="16"/>
          <w:color w:val="auto"/>
        </w:rPr>
        <w:t>As of September 30, 2024 and 2023, PNNT had commitments to fund Member Notes to PSLF of $148.5 million and $115.9 million, respectively, of which $32.6 million and $13.6 million, respectively, were unfunded.</w:t>
      </w:r>
    </w:p>
    <w:p>
      <w:pPr>
        <w:spacing w:after="0" w:line="143" w:lineRule="exact"/>
        <w:rPr>
          <w:sz w:val="20"/>
          <w:szCs w:val="20"/>
          <w:color w:val="auto"/>
        </w:rPr>
      </w:pPr>
    </w:p>
    <w:p>
      <w:pPr>
        <w:ind w:right="40" w:firstLine="312"/>
        <w:spacing w:after="0" w:line="259" w:lineRule="auto"/>
        <w:rPr>
          <w:sz w:val="20"/>
          <w:szCs w:val="20"/>
          <w:color w:val="auto"/>
        </w:rPr>
      </w:pPr>
      <w:r>
        <w:rPr>
          <w:rFonts w:ascii="Times New Roman" w:cs="Times New Roman" w:eastAsia="Times New Roman" w:hAnsi="Times New Roman"/>
          <w:sz w:val="16"/>
          <w:szCs w:val="16"/>
          <w:color w:val="auto"/>
        </w:rPr>
        <w:t>As of September 30, 2024 and 2023, Pantheon had commitments to fund Member Notes to PSLF of $122.2 million and $75.7 million, respectively, of which $46.5 million and $8.9 million, respectively were unfunded.</w:t>
      </w:r>
    </w:p>
    <w:p>
      <w:pPr>
        <w:spacing w:after="0" w:line="141" w:lineRule="exact"/>
        <w:rPr>
          <w:sz w:val="20"/>
          <w:szCs w:val="20"/>
          <w:color w:val="auto"/>
        </w:rPr>
      </w:pPr>
    </w:p>
    <w:p>
      <w:pPr>
        <w:ind w:right="8200" w:firstLine="6"/>
        <w:spacing w:after="0" w:line="463" w:lineRule="auto"/>
        <w:tabs>
          <w:tab w:leader="none" w:pos="156" w:val="left"/>
        </w:tabs>
        <w:numPr>
          <w:ilvl w:val="0"/>
          <w:numId w:val="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RISKS AND UNCERTAINTIES Investments</w:t>
      </w:r>
    </w:p>
    <w:p>
      <w:pPr>
        <w:ind w:right="60" w:firstLine="420"/>
        <w:spacing w:after="0"/>
        <w:rPr>
          <w:sz w:val="20"/>
          <w:szCs w:val="20"/>
          <w:color w:val="auto"/>
        </w:rPr>
      </w:pPr>
      <w:r>
        <w:rPr>
          <w:rFonts w:ascii="Times New Roman" w:cs="Times New Roman" w:eastAsia="Times New Roman" w:hAnsi="Times New Roman"/>
          <w:sz w:val="16"/>
          <w:szCs w:val="16"/>
          <w:color w:val="auto"/>
        </w:rPr>
        <w:t>PSLF seeks investment opportunities that offer the possibility of attaining income generation, capital preservation and capital appreciation including investments in private companies. Certain events particular to each industry in which PSLF’s investments conduct their operations, as well as general economic and political conditions, may have a significant negative impact on the investee’s operations and profitability. Such events are beyond PSLF’s controls, and the likelihood that they may occur cannot be predicted. Furthermore, investments of PSLF are made in private companies and there are</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697865</wp:posOffset>
            </wp:positionV>
            <wp:extent cx="6732905" cy="406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131" w:right="700" w:bottom="1440" w:gutter="0" w:footer="0" w:header="0"/>
        </w:sectPr>
      </w:pPr>
    </w:p>
    <w:bookmarkStart w:id="137" w:name="page138"/>
    <w:bookmarkEnd w:id="13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SEPTEMBER 30, 2024 (Continued)</w:t>
      </w:r>
    </w:p>
    <w:p>
      <w:pPr>
        <w:spacing w:after="0" w:line="200" w:lineRule="exact"/>
        <w:rPr>
          <w:sz w:val="20"/>
          <w:szCs w:val="20"/>
          <w:color w:val="auto"/>
        </w:rPr>
      </w:pPr>
    </w:p>
    <w:p>
      <w:pPr>
        <w:spacing w:after="0" w:line="318" w:lineRule="exact"/>
        <w:rPr>
          <w:sz w:val="20"/>
          <w:szCs w:val="20"/>
          <w:color w:val="auto"/>
        </w:rPr>
      </w:pPr>
    </w:p>
    <w:p>
      <w:pPr>
        <w:ind w:right="640"/>
        <w:spacing w:after="0" w:line="259" w:lineRule="auto"/>
        <w:rPr>
          <w:sz w:val="20"/>
          <w:szCs w:val="20"/>
          <w:color w:val="auto"/>
        </w:rPr>
      </w:pPr>
      <w:r>
        <w:rPr>
          <w:rFonts w:ascii="Times New Roman" w:cs="Times New Roman" w:eastAsia="Times New Roman" w:hAnsi="Times New Roman"/>
          <w:sz w:val="16"/>
          <w:szCs w:val="16"/>
          <w:color w:val="auto"/>
        </w:rPr>
        <w:t>generally no public markets for these securities at the current time. The ability of PSLF to liquidate these investments and realize value is subject to significant limitations and uncertainties.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Leverage Risk</w:t>
      </w:r>
    </w:p>
    <w:p>
      <w:pPr>
        <w:spacing w:after="0" w:line="178" w:lineRule="exact"/>
        <w:rPr>
          <w:sz w:val="20"/>
          <w:szCs w:val="20"/>
          <w:color w:val="auto"/>
        </w:rPr>
      </w:pPr>
    </w:p>
    <w:p>
      <w:pPr>
        <w:ind w:firstLine="420"/>
        <w:spacing w:after="0" w:line="238" w:lineRule="auto"/>
        <w:rPr>
          <w:sz w:val="20"/>
          <w:szCs w:val="20"/>
          <w:color w:val="auto"/>
        </w:rPr>
      </w:pPr>
      <w:r>
        <w:rPr>
          <w:rFonts w:ascii="Times New Roman" w:cs="Times New Roman" w:eastAsia="Times New Roman" w:hAnsi="Times New Roman"/>
          <w:sz w:val="16"/>
          <w:szCs w:val="16"/>
          <w:color w:val="auto"/>
        </w:rPr>
        <w:t>PSLF may borrow funds in order to increase the amount of capital available for investment. The use of leverage can improve the return on invested capital, however, such use may also magnify the potential for loss on invested capital. If the value of PSLF’s assets decreases, leveraging would cause members’ equity to decline more sharply than it otherwise would have had PSLF not used leverage. Similarly, any decrease in PSLF’s income would cause net income to decline more sharply than it would have had PSLF not borrowed. Borrowings will usually be from credit facilities or debt securitizations which will typically be secured by PSLF’s securities and other assets. Under certain circumstances, such debt may demand an increase in the collateral that secures PSLF’s obligations and if PSLF was unable to provide additional collateral, the debt could liquidate assets held in the account to satisfy PSLF’s obligations. Liquidation in this manner could have adverse consequences. Additionally, the amount of PSLF’s borrowings and the interest rates on those borrowings, which will fluctuate, could have a significant effect on PSLF’s profitability.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Credit Risk</w:t>
      </w:r>
    </w:p>
    <w:p>
      <w:pPr>
        <w:spacing w:after="0" w:line="178" w:lineRule="exact"/>
        <w:rPr>
          <w:sz w:val="20"/>
          <w:szCs w:val="20"/>
          <w:color w:val="auto"/>
        </w:rPr>
      </w:pPr>
    </w:p>
    <w:p>
      <w:pPr>
        <w:ind w:right="220" w:firstLine="420"/>
        <w:spacing w:after="0" w:line="247" w:lineRule="auto"/>
        <w:rPr>
          <w:sz w:val="20"/>
          <w:szCs w:val="20"/>
          <w:color w:val="auto"/>
        </w:rPr>
      </w:pPr>
      <w:r>
        <w:rPr>
          <w:rFonts w:ascii="Times New Roman" w:cs="Times New Roman" w:eastAsia="Times New Roman" w:hAnsi="Times New Roman"/>
          <w:sz w:val="16"/>
          <w:szCs w:val="16"/>
          <w:color w:val="auto"/>
        </w:rPr>
        <w:t>PSLF primarily invests in first lien secured debt to middle-market companies. A majority of the investments held by PSLF are subject to restrictions on their resale or are otherwise illiquid. PSLF assumes the credit risk of the borrower. In the event that the borrower becomes insolvent or enters bankruptcy, PSLF may incur certain costs and delays in realizing payment, or may suffer a loss of principal and/or interest.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FINANCIAL HIGHLIGHTS</w:t>
      </w:r>
    </w:p>
    <w:p>
      <w:pPr>
        <w:spacing w:after="0" w:line="178" w:lineRule="exact"/>
        <w:rPr>
          <w:sz w:val="20"/>
          <w:szCs w:val="20"/>
          <w:color w:val="auto"/>
        </w:rPr>
      </w:pPr>
    </w:p>
    <w:p>
      <w:pPr>
        <w:ind w:right="260" w:firstLine="420"/>
        <w:spacing w:after="0" w:line="259" w:lineRule="auto"/>
        <w:rPr>
          <w:sz w:val="20"/>
          <w:szCs w:val="20"/>
          <w:color w:val="auto"/>
        </w:rPr>
      </w:pPr>
      <w:r>
        <w:rPr>
          <w:rFonts w:ascii="Times New Roman" w:cs="Times New Roman" w:eastAsia="Times New Roman" w:hAnsi="Times New Roman"/>
          <w:sz w:val="16"/>
          <w:szCs w:val="16"/>
          <w:color w:val="auto"/>
        </w:rPr>
        <w:t>The Members are responsible for all investment making and business decisions, therefore, there is no requirement to show financial highlights per ASC Topic 946, which have been omitted accordingly.</w:t>
      </w:r>
    </w:p>
    <w:p>
      <w:pPr>
        <w:spacing w:after="0" w:line="141" w:lineRule="exact"/>
        <w:rPr>
          <w:sz w:val="20"/>
          <w:szCs w:val="20"/>
          <w:color w:val="auto"/>
        </w:rPr>
      </w:pPr>
    </w:p>
    <w:p>
      <w:pPr>
        <w:ind w:right="9460" w:firstLine="6"/>
        <w:spacing w:after="0" w:line="529" w:lineRule="auto"/>
        <w:tabs>
          <w:tab w:leader="none" w:pos="228" w:val="left"/>
        </w:tabs>
        <w:numPr>
          <w:ilvl w:val="0"/>
          <w:numId w:val="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LEVERAGE Credit Facility</w:t>
      </w:r>
    </w:p>
    <w:p>
      <w:pPr>
        <w:spacing w:after="0" w:line="1" w:lineRule="exact"/>
        <w:rPr>
          <w:sz w:val="20"/>
          <w:szCs w:val="20"/>
          <w:color w:val="auto"/>
        </w:rPr>
      </w:pPr>
    </w:p>
    <w:p>
      <w:pPr>
        <w:ind w:right="300" w:firstLine="312"/>
        <w:spacing w:after="0" w:line="259" w:lineRule="auto"/>
        <w:rPr>
          <w:sz w:val="20"/>
          <w:szCs w:val="20"/>
          <w:color w:val="auto"/>
        </w:rPr>
      </w:pPr>
      <w:r>
        <w:rPr>
          <w:rFonts w:ascii="Times New Roman" w:cs="Times New Roman" w:eastAsia="Times New Roman" w:hAnsi="Times New Roman"/>
          <w:sz w:val="16"/>
          <w:szCs w:val="16"/>
          <w:color w:val="auto"/>
        </w:rPr>
        <w:t>As described in Note 1 above, PNNT contributed Funding I to the Company. As of the contribution date Funding I had a $ 250 million senior secured revolving credit facility with BNP Paribas (the “BNP Credit Facility”). The BNP Credit Facility is secured by all of the assets of Funding I.</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 November 2020, Funding I amended the BNP Credit Facility and increased the size to $275 million.</w:t>
      </w:r>
    </w:p>
    <w:p>
      <w:pPr>
        <w:spacing w:after="0" w:line="176" w:lineRule="exact"/>
        <w:rPr>
          <w:sz w:val="20"/>
          <w:szCs w:val="20"/>
          <w:color w:val="auto"/>
        </w:rPr>
      </w:pPr>
    </w:p>
    <w:p>
      <w:pPr>
        <w:ind w:right="200" w:firstLine="273"/>
        <w:spacing w:after="0" w:line="259" w:lineRule="auto"/>
        <w:rPr>
          <w:sz w:val="20"/>
          <w:szCs w:val="20"/>
          <w:color w:val="auto"/>
        </w:rPr>
      </w:pPr>
      <w:r>
        <w:rPr>
          <w:rFonts w:ascii="Times New Roman" w:cs="Times New Roman" w:eastAsia="Times New Roman" w:hAnsi="Times New Roman"/>
          <w:sz w:val="16"/>
          <w:szCs w:val="16"/>
          <w:color w:val="auto"/>
        </w:rPr>
        <w:t>In March 2022, Funding I amended the BNP Credit Facility and reduced the total commitment to $225 million, extended the revolving period to March 2025 and extended maturity to March 2027.</w:t>
      </w:r>
    </w:p>
    <w:p>
      <w:pPr>
        <w:spacing w:after="0" w:line="143" w:lineRule="exact"/>
        <w:rPr>
          <w:sz w:val="20"/>
          <w:szCs w:val="20"/>
          <w:color w:val="auto"/>
        </w:rPr>
      </w:pPr>
    </w:p>
    <w:p>
      <w:pPr>
        <w:ind w:right="260" w:firstLine="273"/>
        <w:spacing w:after="0" w:line="259" w:lineRule="auto"/>
        <w:rPr>
          <w:sz w:val="20"/>
          <w:szCs w:val="20"/>
          <w:color w:val="auto"/>
        </w:rPr>
      </w:pPr>
      <w:r>
        <w:rPr>
          <w:rFonts w:ascii="Times New Roman" w:cs="Times New Roman" w:eastAsia="Times New Roman" w:hAnsi="Times New Roman"/>
          <w:sz w:val="16"/>
          <w:szCs w:val="16"/>
          <w:color w:val="auto"/>
        </w:rPr>
        <w:t>In September 2022, Funding I amended the BNP Credit Facility and increased the total commitment to $325 million and amended the interest rate to SOFR plus 2.60%. As of September 30, 2023 there were $88.6 million in outstanding borrowings and we were in compliance with all required covenants.</w:t>
      </w:r>
    </w:p>
    <w:p>
      <w:pPr>
        <w:spacing w:after="0" w:line="143" w:lineRule="exact"/>
        <w:rPr>
          <w:sz w:val="20"/>
          <w:szCs w:val="20"/>
          <w:color w:val="auto"/>
        </w:rPr>
      </w:pPr>
    </w:p>
    <w:p>
      <w:pPr>
        <w:jc w:val="both"/>
        <w:ind w:right="140" w:firstLine="273"/>
        <w:spacing w:after="0" w:line="247" w:lineRule="auto"/>
        <w:rPr>
          <w:sz w:val="20"/>
          <w:szCs w:val="20"/>
          <w:color w:val="auto"/>
        </w:rPr>
      </w:pPr>
      <w:r>
        <w:rPr>
          <w:rFonts w:ascii="Times New Roman" w:cs="Times New Roman" w:eastAsia="Times New Roman" w:hAnsi="Times New Roman"/>
          <w:sz w:val="16"/>
          <w:szCs w:val="16"/>
          <w:color w:val="auto"/>
        </w:rPr>
        <w:t>On August 27, 2024, Funding I amended the BNP Credit Facility and increased the total commitment to $400 million and amended the interest rate to SOFR plus 2.53%. The credit facility term was not extended and will mature on March 2027 unless extended. As of September 30, 2024, there were $247.6 million in outstanding borrowings and we are in compliance with all required covenants.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709295</wp:posOffset>
            </wp:positionV>
            <wp:extent cx="6732905" cy="406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138" w:name="page139"/>
    <w:bookmarkEnd w:id="13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SEPTEMBER 30, 2024 (Continued)</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Asset - Backed Debt - CLO IV</w:t>
      </w:r>
    </w:p>
    <w:p>
      <w:pPr>
        <w:spacing w:after="0" w:line="178" w:lineRule="exact"/>
        <w:rPr>
          <w:sz w:val="20"/>
          <w:szCs w:val="20"/>
          <w:color w:val="auto"/>
        </w:rPr>
      </w:pPr>
    </w:p>
    <w:p>
      <w:pPr>
        <w:ind w:right="20" w:firstLine="420"/>
        <w:spacing w:after="0" w:line="275" w:lineRule="auto"/>
        <w:rPr>
          <w:sz w:val="20"/>
          <w:szCs w:val="20"/>
          <w:color w:val="auto"/>
        </w:rPr>
      </w:pPr>
      <w:r>
        <w:rPr>
          <w:rFonts w:ascii="Times New Roman" w:cs="Times New Roman" w:eastAsia="Times New Roman" w:hAnsi="Times New Roman"/>
          <w:sz w:val="14"/>
          <w:szCs w:val="14"/>
          <w:color w:val="auto"/>
        </w:rPr>
        <w:t>On March 2, 2022, CLO IV completed a $304 million debt securitization in the form of a collateralized loan obligation (the "2034 Debt Securitization" or "2034 Asset-Backed Debt"). The 2034 Asset-Backed Debt is secured by a diversified portfolio consisting primarily of middle market loans. The 2034 Debt Securitization was executed through a private placement of: (i) $30.0 million Class A- 1a Loans maturing 2034, which bear interest at the three-month SOFR plus 1.7%, (ii) $50.0 million Class A-1b Senior Secured Fixed Rate Notes due 2034, which bear interest at 3.45%, (iii) $12.0 million Class A- 2 Senior Secured Floating Rate Notes due 2034, which bear interest at the three-month SOFR plus 1.9%, (iv) $21.0 million Class B Senior Secured Floating Rate Notes due 2034, which bear interest at the three- month SOFR plus 2.1%, (v) $24.0 million Class C Secured Deferrable Floating Rate Notes due 2034, which bear interest at the three- month SOFR plus 2.9%, (vi) $18.0 million Class D Secured Deferrable Floating Rate Notes due 2034, which bear interest at the three-month SOFR plus 4.0%, and (vii) $91.0 million Class A-1a Senior Secured Floating Rate notes due 2034 which bears interest at the three-month SOFR plus 1.7%, under a credit agreement by and among CLO IV, as issuer, various financial institutions, as lenders, and Wilmington Trust, National Association, as collateral trustee and as loan agent. As of September 30, 2024 and September 30, 2023, there was $246.0 million and $246.0 million of 2034 Asset-Backed Debt and there was $1.7 million and $1.3 million, respectively of un-amortized financing costs. As of September 30, 2024 and September 30, 2023 the weighted average interest rate was 6.0% and 6.6% respectively.</w:t>
      </w:r>
    </w:p>
    <w:p>
      <w:pPr>
        <w:spacing w:after="0" w:line="316" w:lineRule="exact"/>
        <w:rPr>
          <w:sz w:val="20"/>
          <w:szCs w:val="20"/>
          <w:color w:val="auto"/>
        </w:rPr>
      </w:pPr>
    </w:p>
    <w:p>
      <w:pPr>
        <w:jc w:val="both"/>
        <w:ind w:right="60" w:firstLine="420"/>
        <w:spacing w:after="0" w:line="247" w:lineRule="auto"/>
        <w:rPr>
          <w:sz w:val="20"/>
          <w:szCs w:val="20"/>
          <w:color w:val="auto"/>
        </w:rPr>
      </w:pPr>
      <w:r>
        <w:rPr>
          <w:rFonts w:ascii="Times New Roman" w:cs="Times New Roman" w:eastAsia="Times New Roman" w:hAnsi="Times New Roman"/>
          <w:sz w:val="16"/>
          <w:szCs w:val="16"/>
          <w:color w:val="auto"/>
        </w:rPr>
        <w:t>On the closing date of the 2034 Debt Securitization, in consideration of our transfer to CLO IV of the initial closing date loan portfolio, PSLF received 100% of the Subordinated Notes (the "2034 Sub Notes") of CLO IV, and a portion of the net cash proceeds received from the sale of the 2034 Asset-Backed Debt Securitization. The 2034 Sub Notes do not bear interest and had a stated value of approximately $58.0 million at the closing of the 2034 Debt Securitization.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Asset - Backed Debt - CLO VII</w:t>
      </w:r>
    </w:p>
    <w:p>
      <w:pPr>
        <w:spacing w:after="0" w:line="178" w:lineRule="exact"/>
        <w:rPr>
          <w:sz w:val="20"/>
          <w:szCs w:val="20"/>
          <w:color w:val="auto"/>
        </w:rPr>
      </w:pPr>
    </w:p>
    <w:p>
      <w:pPr>
        <w:ind w:firstLine="420"/>
        <w:spacing w:after="0" w:line="238" w:lineRule="auto"/>
        <w:rPr>
          <w:sz w:val="20"/>
          <w:szCs w:val="20"/>
          <w:color w:val="auto"/>
        </w:rPr>
      </w:pPr>
      <w:r>
        <w:rPr>
          <w:rFonts w:ascii="Times New Roman" w:cs="Times New Roman" w:eastAsia="Times New Roman" w:hAnsi="Times New Roman"/>
          <w:sz w:val="16"/>
          <w:szCs w:val="16"/>
          <w:color w:val="auto"/>
        </w:rPr>
        <w:t>On July 26, 2023, CLO VII completed a $300 million debt securitization in the form of a collateralized loan obligation (the "2035 Debt Securitization" or "2035 Asset-Backed Debt"). The 2035 Asset-Backed Debt is secured by a diversified portfolio consisting primarily of middle market loans. The 2035 Debt Securitization was executed through a private placement of: (i) $151.0 million Class A-1a Notes maturing 2035, which bear interest at the three-month SOFR plus 2.7%, (ii) $20.0 million Class A-1b Loans 2035, which bear interest at 6.5%, (iii) $12.0 million Class A-2 Senior Secured Floating Rate Notes due 2035, which bear interest at the three-month SOFR plus 3.2%, (iv) $21.0 million Class B Senior Secured Floating Rate Notes due 2035, which bear interest at the three-month SOFR plus 4.1%, (v) $24.0 million Class C Secured Deferrable Floating Rate Notes due 2035, which bear interest at the three- month SOFR plus 4.7%, (vi) $18.0 million Class D Secured Deferrable Floating Rate Notes due 2035, which bear interest at the three -month SOFR plus 7.0%. As of September 30, 2024 and September 30, 2023, there was $246.0 million and $246.0 million of 2035 Asset-Backed Debt and there was $1.9 million and $2.3 million, respectively of un-amortized financing costs. As of September 30, 2024 and September 30, 2023 the weighted average interest rate was 8.0% and 8.5% respectively.</w:t>
      </w:r>
    </w:p>
    <w:p>
      <w:pPr>
        <w:spacing w:after="0" w:line="158" w:lineRule="exact"/>
        <w:rPr>
          <w:sz w:val="20"/>
          <w:szCs w:val="20"/>
          <w:color w:val="auto"/>
        </w:rPr>
      </w:pPr>
    </w:p>
    <w:p>
      <w:pPr>
        <w:ind w:right="80" w:firstLine="420"/>
        <w:spacing w:after="0" w:line="247" w:lineRule="auto"/>
        <w:rPr>
          <w:sz w:val="20"/>
          <w:szCs w:val="20"/>
          <w:color w:val="auto"/>
        </w:rPr>
      </w:pPr>
      <w:r>
        <w:rPr>
          <w:rFonts w:ascii="Times New Roman" w:cs="Times New Roman" w:eastAsia="Times New Roman" w:hAnsi="Times New Roman"/>
          <w:sz w:val="16"/>
          <w:szCs w:val="16"/>
          <w:color w:val="auto"/>
        </w:rPr>
        <w:t>On the closing date of the 2035 Debt Securitization, in consideration of our transfer to CLO VII of the initial closing date loan portfolio, PSLF received 100% of the Subordinated Notes (the "2035 Sub Notes") of CLO VII. The 2035 Sub Notes do not bear interest and had a stated value of approximately $54.0 million at the closing of the 2035 Debt Securitization.</w:t>
      </w:r>
    </w:p>
    <w:p>
      <w:pPr>
        <w:spacing w:after="0" w:line="152" w:lineRule="exact"/>
        <w:rPr>
          <w:sz w:val="20"/>
          <w:szCs w:val="20"/>
          <w:color w:val="auto"/>
        </w:rPr>
      </w:pPr>
    </w:p>
    <w:p>
      <w:pPr>
        <w:ind w:right="60" w:firstLine="696"/>
        <w:spacing w:after="0" w:line="259" w:lineRule="auto"/>
        <w:rPr>
          <w:sz w:val="20"/>
          <w:szCs w:val="20"/>
          <w:color w:val="auto"/>
        </w:rPr>
      </w:pPr>
      <w:r>
        <w:rPr>
          <w:rFonts w:ascii="Times New Roman" w:cs="Times New Roman" w:eastAsia="Times New Roman" w:hAnsi="Times New Roman"/>
          <w:sz w:val="16"/>
          <w:szCs w:val="16"/>
          <w:color w:val="auto"/>
        </w:rPr>
        <w:t>The 2034 Asset-Backed Debt and 2035 Asset-Backed Debt are included in the Consolidated Statement of Assets, Liabilities and Members' Equity as debt of the Company and the sub notes were eliminated in consolidation.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COMMITMENT AND CONTINGENCIES</w:t>
      </w:r>
    </w:p>
    <w:p>
      <w:pPr>
        <w:spacing w:after="0" w:line="1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As of September 30, 2024 and September 30, 2023 the Company had $0 and $0.5 million, respectively, of unfunded commitments to fund existing investments.</w:t>
      </w:r>
    </w:p>
    <w:p>
      <w:pPr>
        <w:spacing w:after="0" w:line="199" w:lineRule="exact"/>
        <w:rPr>
          <w:sz w:val="20"/>
          <w:szCs w:val="20"/>
          <w:color w:val="auto"/>
        </w:rPr>
      </w:pPr>
    </w:p>
    <w:p>
      <w:pPr>
        <w:ind w:right="400" w:firstLine="420"/>
        <w:spacing w:after="0" w:line="246" w:lineRule="auto"/>
        <w:rPr>
          <w:sz w:val="20"/>
          <w:szCs w:val="20"/>
          <w:color w:val="auto"/>
        </w:rPr>
      </w:pPr>
      <w:r>
        <w:rPr>
          <w:rFonts w:ascii="Times New Roman" w:cs="Times New Roman" w:eastAsia="Times New Roman" w:hAnsi="Times New Roman"/>
          <w:sz w:val="16"/>
          <w:szCs w:val="16"/>
          <w:color w:val="auto"/>
        </w:rPr>
        <w:t>The Company has provided general indemnifications to the Members, any affiliate of the Members, and any person acting on behalf of the Members or that affiliate when they act, in good faith, in the best interest of the Company. The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697865</wp:posOffset>
            </wp:positionV>
            <wp:extent cx="6732905" cy="406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131" w:right="700" w:bottom="1440" w:gutter="0" w:footer="0" w:header="0"/>
        </w:sectPr>
      </w:pPr>
    </w:p>
    <w:bookmarkStart w:id="139" w:name="page140"/>
    <w:bookmarkEnd w:id="139"/>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SEPTEMBER 30, 2024 (Continued)</w:t>
      </w:r>
    </w:p>
    <w:p>
      <w:pPr>
        <w:spacing w:after="0" w:line="200" w:lineRule="exact"/>
        <w:rPr>
          <w:sz w:val="20"/>
          <w:szCs w:val="20"/>
          <w:color w:val="auto"/>
        </w:rPr>
      </w:pPr>
    </w:p>
    <w:p>
      <w:pPr>
        <w:spacing w:after="0" w:line="318"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Company is unable to develop an estimate of the maximum potential amount of future payments that could potentially result from any hypothetical future claim but expects the risk of having to make any payments under these general business indemnifications to be remote.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SUBSEQUENT EVENTS</w:t>
      </w:r>
    </w:p>
    <w:p>
      <w:pPr>
        <w:spacing w:after="0" w:line="178"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6"/>
          <w:szCs w:val="16"/>
          <w:color w:val="auto"/>
        </w:rPr>
        <w:t>Subsequent events are evaluated and disclosed as appropriate for events occurring through the date of the consolidated financial statements were available to be issued on November 25, 2024. There were no events that require disclosure.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October 16, 2024, PSLF issued a capital call in the amount of $63.8 million to its Members.</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697865</wp:posOffset>
            </wp:positionV>
            <wp:extent cx="6732905" cy="406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00"/>
          </w:cols>
          <w:pgMar w:left="660" w:top="1131" w:right="840"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3"/>
          <w:szCs w:val="13"/>
          <w:b w:val="1"/>
          <w:bCs w:val="1"/>
          <w:color w:val="auto"/>
        </w:rPr>
        <w:t>EXHIBIT 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PennantPark Senior Loan Fund, LLC</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Consolidated Financial Statements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Independent Auditor’s Report</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September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1001395</wp:posOffset>
            </wp:positionV>
            <wp:extent cx="6732905" cy="406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0" w:right="680" w:bottom="1440" w:gutter="0" w:footer="0" w:header="0"/>
        </w:sectPr>
      </w:pPr>
    </w:p>
    <w:bookmarkStart w:id="141" w:name="page142"/>
    <w:bookmarkEnd w:id="141"/>
    <w:p>
      <w:pPr>
        <w:jc w:val="center"/>
        <w:ind w:right="-19"/>
        <w:spacing w:after="0"/>
        <w:rPr>
          <w:sz w:val="20"/>
          <w:szCs w:val="20"/>
          <w:color w:val="auto"/>
        </w:rPr>
      </w:pPr>
      <w:r>
        <w:rPr>
          <w:rFonts w:ascii="Times New Roman" w:cs="Times New Roman" w:eastAsia="Times New Roman" w:hAnsi="Times New Roman"/>
          <w:sz w:val="16"/>
          <w:szCs w:val="16"/>
          <w:color w:val="auto"/>
        </w:rPr>
        <w:t>Contents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Independent Auditor’s Report</w:t>
            </w:r>
          </w:p>
        </w:tc>
        <w:tc>
          <w:tcPr>
            <w:tcW w:w="24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r>
      <w:tr>
        <w:trPr>
          <w:trHeight w:val="312"/>
        </w:trPr>
        <w:tc>
          <w:tcPr>
            <w:tcW w:w="8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Financial Statements:</w:t>
            </w:r>
          </w:p>
        </w:tc>
        <w:tc>
          <w:tcPr>
            <w:tcW w:w="2420" w:type="dxa"/>
            <w:vAlign w:val="bottom"/>
          </w:tcPr>
          <w:p>
            <w:pPr>
              <w:spacing w:after="0"/>
              <w:rPr>
                <w:sz w:val="24"/>
                <w:szCs w:val="24"/>
                <w:color w:val="auto"/>
              </w:rPr>
            </w:pPr>
          </w:p>
        </w:tc>
      </w:tr>
      <w:tr>
        <w:trPr>
          <w:trHeight w:val="312"/>
        </w:trPr>
        <w:tc>
          <w:tcPr>
            <w:tcW w:w="8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Consolidated Statements of Assets, Liabilities and Members’ Equity as of September 30, 2023 and 2022</w:t>
            </w:r>
          </w:p>
        </w:tc>
        <w:tc>
          <w:tcPr>
            <w:tcW w:w="24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w:t>
            </w:r>
          </w:p>
        </w:tc>
      </w:tr>
      <w:tr>
        <w:trPr>
          <w:trHeight w:val="312"/>
        </w:trPr>
        <w:tc>
          <w:tcPr>
            <w:tcW w:w="8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Consolidated Statements of Operations for the years ended September 30, 2023 and 2022</w:t>
            </w:r>
          </w:p>
        </w:tc>
        <w:tc>
          <w:tcPr>
            <w:tcW w:w="24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w:t>
            </w:r>
          </w:p>
        </w:tc>
      </w:tr>
      <w:tr>
        <w:trPr>
          <w:trHeight w:val="312"/>
        </w:trPr>
        <w:tc>
          <w:tcPr>
            <w:tcW w:w="8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Consolidated Statements of Changes in Members’ Equity for the years ended September 30, 2023 and 2022</w:t>
            </w:r>
          </w:p>
        </w:tc>
        <w:tc>
          <w:tcPr>
            <w:tcW w:w="24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w:t>
            </w:r>
          </w:p>
        </w:tc>
      </w:tr>
      <w:tr>
        <w:trPr>
          <w:trHeight w:val="312"/>
        </w:trPr>
        <w:tc>
          <w:tcPr>
            <w:tcW w:w="8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Consolidated Statements of Cash Flows for the years ended September 30, 2023 and 2022</w:t>
            </w:r>
          </w:p>
        </w:tc>
        <w:tc>
          <w:tcPr>
            <w:tcW w:w="24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w:t>
            </w:r>
          </w:p>
        </w:tc>
      </w:tr>
      <w:tr>
        <w:trPr>
          <w:trHeight w:val="312"/>
        </w:trPr>
        <w:tc>
          <w:tcPr>
            <w:tcW w:w="8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Consolidated Schedules of Investments as of September 30, 2023 and 2022</w:t>
            </w:r>
          </w:p>
        </w:tc>
        <w:tc>
          <w:tcPr>
            <w:tcW w:w="24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w:t>
            </w:r>
          </w:p>
        </w:tc>
      </w:tr>
      <w:tr>
        <w:trPr>
          <w:trHeight w:val="312"/>
        </w:trPr>
        <w:tc>
          <w:tcPr>
            <w:tcW w:w="8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Notes to Consolidated Financial Statements</w:t>
            </w:r>
          </w:p>
        </w:tc>
        <w:tc>
          <w:tcPr>
            <w:tcW w:w="24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w:t>
            </w:r>
          </w:p>
        </w:tc>
      </w:tr>
      <w:tr>
        <w:trPr>
          <w:trHeight w:val="1833"/>
        </w:trPr>
        <w:tc>
          <w:tcPr>
            <w:tcW w:w="8140" w:type="dxa"/>
            <w:vAlign w:val="bottom"/>
            <w:tcBorders>
              <w:bottom w:val="single" w:sz="8" w:color="EEEEEE"/>
            </w:tcBorders>
          </w:tcPr>
          <w:p>
            <w:pPr>
              <w:spacing w:after="0"/>
              <w:rPr>
                <w:sz w:val="24"/>
                <w:szCs w:val="24"/>
                <w:color w:val="auto"/>
              </w:rPr>
            </w:pPr>
          </w:p>
        </w:tc>
        <w:tc>
          <w:tcPr>
            <w:tcW w:w="24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1" w:right="680" w:bottom="1440" w:gutter="0" w:footer="0" w:header="0"/>
        </w:sectPr>
      </w:pPr>
    </w:p>
    <w:bookmarkStart w:id="142" w:name="page143"/>
    <w:bookmarkEnd w:id="142"/>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Independent Auditor’s Report</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Member Designees’ Committee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PennantPark Senior Loan Fund, LLC</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Opinion</w:t>
      </w:r>
    </w:p>
    <w:p>
      <w:pPr>
        <w:spacing w:after="0" w:line="23" w:lineRule="exact"/>
        <w:rPr>
          <w:sz w:val="20"/>
          <w:szCs w:val="20"/>
          <w:color w:val="auto"/>
        </w:rPr>
      </w:pPr>
    </w:p>
    <w:p>
      <w:pPr>
        <w:jc w:val="both"/>
        <w:ind w:right="280"/>
        <w:spacing w:after="0" w:line="257" w:lineRule="auto"/>
        <w:rPr>
          <w:sz w:val="20"/>
          <w:szCs w:val="20"/>
          <w:color w:val="auto"/>
        </w:rPr>
      </w:pPr>
      <w:r>
        <w:rPr>
          <w:rFonts w:ascii="Times New Roman" w:cs="Times New Roman" w:eastAsia="Times New Roman" w:hAnsi="Times New Roman"/>
          <w:sz w:val="13"/>
          <w:szCs w:val="13"/>
          <w:color w:val="auto"/>
        </w:rPr>
        <w:t>We have audited the consolidated financial statements of PennantPark Senior Loan Fund, LLC and its subsidiaries (the Fund), which comprise the consolidated statements of assets, liabilities and members’ equity, including the consolidated schedule of investments, as of September 30, 2023 and 2022, the related consolidated statements of operations, changes in members’ equity and cash flows for the years then ended, and the related notes to the consolidated financial statements (collectively, the financial statements).</w:t>
      </w:r>
    </w:p>
    <w:p>
      <w:pPr>
        <w:spacing w:after="0" w:line="13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3"/>
          <w:szCs w:val="13"/>
          <w:color w:val="auto"/>
        </w:rPr>
        <w:t>In our opinion, the accompanying financial statements present fairly, in all material respects, the financial position of the Fund as of September 30, 2023 and 2022, and the results of its operations, changes in members’ equity and its cash flows for the years then ended in accordance with accounting principles generally accepted in the United States of America.</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for Opinion</w:t>
      </w:r>
    </w:p>
    <w:p>
      <w:pPr>
        <w:spacing w:after="0" w:line="23"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3"/>
          <w:szCs w:val="13"/>
          <w:color w:val="auto"/>
        </w:rPr>
        <w:t>We conducted our audit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Fund and to meet our other ethical responsibilities, in accordance with the relevant ethical requirements relating to our audit. We believe that the audit evidence we have obtained is sufficient and appropriate to provide a basis for our audit opinion.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Emphasis of Matter</w:t>
      </w:r>
    </w:p>
    <w:p>
      <w:pPr>
        <w:spacing w:after="0" w:line="23" w:lineRule="exact"/>
        <w:rPr>
          <w:sz w:val="20"/>
          <w:szCs w:val="20"/>
          <w:color w:val="auto"/>
        </w:rPr>
      </w:pPr>
    </w:p>
    <w:p>
      <w:pPr>
        <w:ind w:right="360"/>
        <w:spacing w:after="0" w:line="263" w:lineRule="auto"/>
        <w:rPr>
          <w:sz w:val="20"/>
          <w:szCs w:val="20"/>
          <w:color w:val="auto"/>
        </w:rPr>
      </w:pPr>
      <w:r>
        <w:rPr>
          <w:rFonts w:ascii="Times New Roman" w:cs="Times New Roman" w:eastAsia="Times New Roman" w:hAnsi="Times New Roman"/>
          <w:sz w:val="13"/>
          <w:szCs w:val="13"/>
          <w:color w:val="auto"/>
        </w:rPr>
        <w:t>As discussed in Note 2 of the consolidated financial statements, the 2022 financial statements have been restated to reclassify certain amounts presented within. Our opinion is not modified with respect to this matter.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Responsibilities of Management for the Financial Statements</w:t>
      </w:r>
    </w:p>
    <w:p>
      <w:pPr>
        <w:spacing w:after="0" w:line="2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3"/>
          <w:szCs w:val="13"/>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spacing w:after="0" w:line="2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3"/>
          <w:szCs w:val="13"/>
          <w:color w:val="auto"/>
        </w:rPr>
        <w:t>In preparing the financial statements, management is required to evaluate whether there are conditions or events, considered in the aggregate, that raise substantial doubt about the Fund’s ability to continue as a going concern within one year after the date that the financial statements are issued or available to be issued.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Auditor’s Responsibilities for the Audit of the Financial Statements</w:t>
      </w:r>
    </w:p>
    <w:p>
      <w:pPr>
        <w:spacing w:after="0" w:line="2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3"/>
          <w:szCs w:val="13"/>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performing an audit in accordance with GAAS, we:</w:t>
      </w:r>
    </w:p>
    <w:p>
      <w:pPr>
        <w:spacing w:after="0" w:line="1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•Exercise professional judgment and maintain professional skepticism throughout the audit.</w:t>
      </w:r>
    </w:p>
    <w:p>
      <w:pPr>
        <w:spacing w:after="0" w:line="103" w:lineRule="exact"/>
        <w:rPr>
          <w:sz w:val="20"/>
          <w:szCs w:val="20"/>
          <w:color w:val="auto"/>
        </w:rPr>
      </w:pPr>
    </w:p>
    <w:p>
      <w:pPr>
        <w:ind w:left="480" w:right="340"/>
        <w:spacing w:after="0" w:line="286" w:lineRule="auto"/>
        <w:rPr>
          <w:sz w:val="20"/>
          <w:szCs w:val="20"/>
          <w:color w:val="auto"/>
        </w:rPr>
      </w:pPr>
      <w:r>
        <w:rPr>
          <w:rFonts w:ascii="Times New Roman" w:cs="Times New Roman" w:eastAsia="Times New Roman" w:hAnsi="Times New Roman"/>
          <w:sz w:val="13"/>
          <w:szCs w:val="13"/>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52" w:lineRule="exact"/>
        <w:rPr>
          <w:sz w:val="20"/>
          <w:szCs w:val="20"/>
          <w:color w:val="auto"/>
        </w:rPr>
      </w:pPr>
    </w:p>
    <w:p>
      <w:pPr>
        <w:ind w:left="480" w:right="40"/>
        <w:spacing w:after="0" w:line="286" w:lineRule="auto"/>
        <w:rPr>
          <w:sz w:val="20"/>
          <w:szCs w:val="20"/>
          <w:color w:val="auto"/>
        </w:rPr>
      </w:pPr>
      <w:r>
        <w:rPr>
          <w:rFonts w:ascii="Times New Roman" w:cs="Times New Roman" w:eastAsia="Times New Roman" w:hAnsi="Times New Roman"/>
          <w:sz w:val="13"/>
          <w:szCs w:val="13"/>
          <w:color w:val="auto"/>
        </w:rPr>
        <w:t>•Obtain an understanding of internal control relevant to the audit in order to design audit procedures that are appropriate in the circumstances, but not for the purpose of expressing an opinion on the effectiveness of the Fund’s internal control. Accordingly, no such opinion is expressed.</w:t>
      </w:r>
    </w:p>
    <w:p>
      <w:pPr>
        <w:spacing w:after="0" w:line="52" w:lineRule="exact"/>
        <w:rPr>
          <w:sz w:val="20"/>
          <w:szCs w:val="20"/>
          <w:color w:val="auto"/>
        </w:rPr>
      </w:pPr>
    </w:p>
    <w:p>
      <w:pPr>
        <w:ind w:left="480" w:right="100"/>
        <w:spacing w:after="0" w:line="286" w:lineRule="auto"/>
        <w:rPr>
          <w:sz w:val="20"/>
          <w:szCs w:val="20"/>
          <w:color w:val="auto"/>
        </w:rPr>
      </w:pPr>
      <w:r>
        <w:rPr>
          <w:rFonts w:ascii="Times New Roman" w:cs="Times New Roman" w:eastAsia="Times New Roman" w:hAnsi="Times New Roman"/>
          <w:sz w:val="13"/>
          <w:szCs w:val="13"/>
          <w:color w:val="auto"/>
        </w:rPr>
        <w:t>•Evaluate the appropriateness of accounting policies used and the reasonableness of significant accounting estimates made by management, as well as evaluate the overall presentation of the financial statements.</w:t>
      </w:r>
    </w:p>
    <w:p>
      <w:pPr>
        <w:spacing w:after="0" w:line="52" w:lineRule="exact"/>
        <w:rPr>
          <w:sz w:val="20"/>
          <w:szCs w:val="20"/>
          <w:color w:val="auto"/>
        </w:rPr>
      </w:pPr>
    </w:p>
    <w:p>
      <w:pPr>
        <w:ind w:left="480" w:right="340"/>
        <w:spacing w:after="0" w:line="286" w:lineRule="auto"/>
        <w:rPr>
          <w:sz w:val="20"/>
          <w:szCs w:val="20"/>
          <w:color w:val="auto"/>
        </w:rPr>
      </w:pPr>
      <w:r>
        <w:rPr>
          <w:rFonts w:ascii="Times New Roman" w:cs="Times New Roman" w:eastAsia="Times New Roman" w:hAnsi="Times New Roman"/>
          <w:sz w:val="13"/>
          <w:szCs w:val="13"/>
          <w:color w:val="auto"/>
        </w:rPr>
        <w:t>•Conclude whether, in our judgment, there are conditions or events, considered in the aggregate, that raise substantial doubt about the Fund’s ability to continue as a going concern for a reasonable period of time.</w:t>
      </w:r>
    </w:p>
    <w:p>
      <w:pPr>
        <w:spacing w:after="0" w:line="11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3"/>
          <w:szCs w:val="13"/>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RSM US LLP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December 7, 2023</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523240</wp:posOffset>
            </wp:positionV>
            <wp:extent cx="6732905" cy="406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143" w:name="page144"/>
    <w:bookmarkEnd w:id="143"/>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PennantPark Senior Loan Fund, LLC</w:t>
      </w:r>
    </w:p>
    <w:p>
      <w:pPr>
        <w:spacing w:after="0" w:line="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Consolidated Statements of Assets, Liabilities and Members' Equity</w:t>
      </w:r>
    </w:p>
    <w:p>
      <w:pPr>
        <w:spacing w:after="0" w:line="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 in thousands)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September 30, 2022</w:t>
            </w:r>
          </w:p>
        </w:tc>
      </w:tr>
      <w:tr>
        <w:trPr>
          <w:trHeight w:val="156"/>
        </w:trPr>
        <w:tc>
          <w:tcPr>
            <w:tcW w:w="6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600" w:type="dxa"/>
            <w:vAlign w:val="bottom"/>
            <w:shd w:val="clear" w:color="auto" w:fill="CCECFF"/>
          </w:tcPr>
          <w:p>
            <w:pPr>
              <w:spacing w:after="0"/>
              <w:rPr>
                <w:sz w:val="13"/>
                <w:szCs w:val="13"/>
                <w:color w:val="auto"/>
              </w:rPr>
            </w:pPr>
          </w:p>
        </w:tc>
        <w:tc>
          <w:tcPr>
            <w:tcW w:w="46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7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6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 at fair value (amortized cost—$810,737 and $738,219, respectively)</w:t>
            </w:r>
          </w:p>
        </w:tc>
        <w:tc>
          <w:tcPr>
            <w:tcW w:w="1600" w:type="dxa"/>
            <w:vAlign w:val="bottom"/>
          </w:tcPr>
          <w:p>
            <w:pPr>
              <w:jc w:val="right"/>
              <w:ind w:right="1454"/>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804,187</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730,108</w:t>
            </w:r>
          </w:p>
        </w:tc>
        <w:tc>
          <w:tcPr>
            <w:tcW w:w="80" w:type="dxa"/>
            <w:vAlign w:val="bottom"/>
          </w:tcPr>
          <w:p>
            <w:pPr>
              <w:spacing w:after="0"/>
              <w:rPr>
                <w:sz w:val="13"/>
                <w:szCs w:val="13"/>
                <w:color w:val="auto"/>
              </w:rPr>
            </w:pPr>
          </w:p>
        </w:tc>
      </w:tr>
      <w:tr>
        <w:trPr>
          <w:trHeight w:val="192"/>
        </w:trPr>
        <w:tc>
          <w:tcPr>
            <w:tcW w:w="6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Cash and cash equivalents (cost—$59,096 and $40,945, respectively)</w:t>
            </w:r>
          </w:p>
        </w:tc>
        <w:tc>
          <w:tcPr>
            <w:tcW w:w="1600" w:type="dxa"/>
            <w:vAlign w:val="bottom"/>
            <w:shd w:val="clear" w:color="auto" w:fill="CCECFF"/>
          </w:tcPr>
          <w:p>
            <w:pPr>
              <w:spacing w:after="0"/>
              <w:rPr>
                <w:sz w:val="16"/>
                <w:szCs w:val="16"/>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59,096</w:t>
            </w:r>
          </w:p>
        </w:tc>
        <w:tc>
          <w:tcPr>
            <w:tcW w:w="3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40,945</w:t>
            </w:r>
          </w:p>
        </w:tc>
        <w:tc>
          <w:tcPr>
            <w:tcW w:w="80" w:type="dxa"/>
            <w:vAlign w:val="bottom"/>
            <w:shd w:val="clear" w:color="auto" w:fill="CCECFF"/>
          </w:tcPr>
          <w:p>
            <w:pPr>
              <w:spacing w:after="0"/>
              <w:rPr>
                <w:sz w:val="16"/>
                <w:szCs w:val="16"/>
                <w:color w:val="auto"/>
              </w:rPr>
            </w:pPr>
          </w:p>
        </w:tc>
      </w:tr>
      <w:tr>
        <w:trPr>
          <w:trHeight w:val="156"/>
        </w:trPr>
        <w:tc>
          <w:tcPr>
            <w:tcW w:w="6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receivable</w:t>
            </w:r>
          </w:p>
        </w:tc>
        <w:tc>
          <w:tcPr>
            <w:tcW w:w="16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5,248</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2,970</w:t>
            </w:r>
          </w:p>
        </w:tc>
        <w:tc>
          <w:tcPr>
            <w:tcW w:w="80" w:type="dxa"/>
            <w:vAlign w:val="bottom"/>
          </w:tcPr>
          <w:p>
            <w:pPr>
              <w:spacing w:after="0"/>
              <w:rPr>
                <w:sz w:val="13"/>
                <w:szCs w:val="13"/>
                <w:color w:val="auto"/>
              </w:rPr>
            </w:pPr>
          </w:p>
        </w:tc>
      </w:tr>
      <w:tr>
        <w:trPr>
          <w:trHeight w:val="156"/>
        </w:trPr>
        <w:tc>
          <w:tcPr>
            <w:tcW w:w="6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Due from affiliate</w:t>
            </w:r>
          </w:p>
        </w:tc>
        <w:tc>
          <w:tcPr>
            <w:tcW w:w="16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3,296</w:t>
            </w:r>
          </w:p>
        </w:tc>
        <w:tc>
          <w:tcPr>
            <w:tcW w:w="3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80" w:type="dxa"/>
            <w:vAlign w:val="bottom"/>
            <w:shd w:val="clear" w:color="auto" w:fill="CCECFF"/>
          </w:tcPr>
          <w:p>
            <w:pPr>
              <w:spacing w:after="0"/>
              <w:rPr>
                <w:sz w:val="13"/>
                <w:szCs w:val="13"/>
                <w:color w:val="auto"/>
              </w:rPr>
            </w:pPr>
          </w:p>
        </w:tc>
      </w:tr>
      <w:tr>
        <w:trPr>
          <w:trHeight w:val="156"/>
        </w:trPr>
        <w:tc>
          <w:tcPr>
            <w:tcW w:w="6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16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936</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1,373</w:t>
            </w:r>
          </w:p>
        </w:tc>
        <w:tc>
          <w:tcPr>
            <w:tcW w:w="80" w:type="dxa"/>
            <w:vAlign w:val="bottom"/>
          </w:tcPr>
          <w:p>
            <w:pPr>
              <w:spacing w:after="0"/>
              <w:rPr>
                <w:sz w:val="13"/>
                <w:szCs w:val="13"/>
                <w:color w:val="auto"/>
              </w:rPr>
            </w:pPr>
          </w:p>
        </w:tc>
      </w:tr>
      <w:tr>
        <w:trPr>
          <w:trHeight w:val="156"/>
        </w:trPr>
        <w:tc>
          <w:tcPr>
            <w:tcW w:w="6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Receivable for investments sold</w:t>
            </w:r>
          </w:p>
        </w:tc>
        <w:tc>
          <w:tcPr>
            <w:tcW w:w="16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3,870</w:t>
            </w:r>
          </w:p>
        </w:tc>
        <w:tc>
          <w:tcPr>
            <w:tcW w:w="80" w:type="dxa"/>
            <w:vAlign w:val="bottom"/>
            <w:shd w:val="clear" w:color="auto" w:fill="CCECFF"/>
          </w:tcPr>
          <w:p>
            <w:pPr>
              <w:spacing w:after="0"/>
              <w:rPr>
                <w:sz w:val="13"/>
                <w:szCs w:val="13"/>
                <w:color w:val="auto"/>
              </w:rPr>
            </w:pPr>
          </w:p>
        </w:tc>
      </w:tr>
      <w:tr>
        <w:trPr>
          <w:trHeight w:val="156"/>
        </w:trPr>
        <w:tc>
          <w:tcPr>
            <w:tcW w:w="604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6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872,763</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781,287</w:t>
            </w:r>
          </w:p>
        </w:tc>
        <w:tc>
          <w:tcPr>
            <w:tcW w:w="80" w:type="dxa"/>
            <w:vAlign w:val="bottom"/>
          </w:tcPr>
          <w:p>
            <w:pPr>
              <w:spacing w:after="0"/>
              <w:rPr>
                <w:sz w:val="13"/>
                <w:szCs w:val="13"/>
                <w:color w:val="auto"/>
              </w:rPr>
            </w:pPr>
          </w:p>
        </w:tc>
      </w:tr>
      <w:tr>
        <w:trPr>
          <w:trHeight w:val="156"/>
        </w:trPr>
        <w:tc>
          <w:tcPr>
            <w:tcW w:w="6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600" w:type="dxa"/>
            <w:vAlign w:val="bottom"/>
            <w:shd w:val="clear" w:color="auto" w:fill="CCECFF"/>
          </w:tcPr>
          <w:p>
            <w:pPr>
              <w:spacing w:after="0"/>
              <w:rPr>
                <w:sz w:val="13"/>
                <w:szCs w:val="13"/>
                <w:color w:val="auto"/>
              </w:rPr>
            </w:pPr>
          </w:p>
        </w:tc>
        <w:tc>
          <w:tcPr>
            <w:tcW w:w="46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7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6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2034 Asset-backed debt, net (par—$246,000)</w:t>
            </w:r>
          </w:p>
        </w:tc>
        <w:tc>
          <w:tcPr>
            <w:tcW w:w="16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244,284</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243,896</w:t>
            </w:r>
          </w:p>
        </w:tc>
        <w:tc>
          <w:tcPr>
            <w:tcW w:w="80" w:type="dxa"/>
            <w:vAlign w:val="bottom"/>
          </w:tcPr>
          <w:p>
            <w:pPr>
              <w:spacing w:after="0"/>
              <w:rPr>
                <w:sz w:val="13"/>
                <w:szCs w:val="13"/>
                <w:color w:val="auto"/>
              </w:rPr>
            </w:pPr>
          </w:p>
        </w:tc>
      </w:tr>
      <w:tr>
        <w:trPr>
          <w:trHeight w:val="156"/>
        </w:trPr>
        <w:tc>
          <w:tcPr>
            <w:tcW w:w="6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2035 Asset-backed debt, net (par—$246,000)</w:t>
            </w:r>
          </w:p>
        </w:tc>
        <w:tc>
          <w:tcPr>
            <w:tcW w:w="16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9"/>
              </w:rPr>
              <w:t>243,727</w:t>
            </w:r>
          </w:p>
        </w:tc>
        <w:tc>
          <w:tcPr>
            <w:tcW w:w="3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8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Notes payable to members</w:t>
            </w:r>
          </w:p>
        </w:tc>
        <w:tc>
          <w:tcPr>
            <w:tcW w:w="16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169,131</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145,472</w:t>
            </w:r>
          </w:p>
        </w:tc>
        <w:tc>
          <w:tcPr>
            <w:tcW w:w="80" w:type="dxa"/>
            <w:vAlign w:val="bottom"/>
          </w:tcPr>
          <w:p>
            <w:pPr>
              <w:spacing w:after="0"/>
              <w:rPr>
                <w:sz w:val="13"/>
                <w:szCs w:val="13"/>
                <w:color w:val="auto"/>
              </w:rPr>
            </w:pPr>
          </w:p>
        </w:tc>
      </w:tr>
      <w:tr>
        <w:trPr>
          <w:trHeight w:val="156"/>
        </w:trPr>
        <w:tc>
          <w:tcPr>
            <w:tcW w:w="6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Credit facility payable</w:t>
            </w:r>
          </w:p>
        </w:tc>
        <w:tc>
          <w:tcPr>
            <w:tcW w:w="16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88,600</w:t>
            </w:r>
          </w:p>
        </w:tc>
        <w:tc>
          <w:tcPr>
            <w:tcW w:w="3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257,600</w:t>
            </w:r>
          </w:p>
        </w:tc>
        <w:tc>
          <w:tcPr>
            <w:tcW w:w="80" w:type="dxa"/>
            <w:vAlign w:val="bottom"/>
            <w:shd w:val="clear" w:color="auto" w:fill="CCECFF"/>
          </w:tcPr>
          <w:p>
            <w:pPr>
              <w:spacing w:after="0"/>
              <w:rPr>
                <w:sz w:val="13"/>
                <w:szCs w:val="13"/>
                <w:color w:val="auto"/>
              </w:rPr>
            </w:pPr>
          </w:p>
        </w:tc>
      </w:tr>
      <w:tr>
        <w:trPr>
          <w:trHeight w:val="156"/>
        </w:trPr>
        <w:tc>
          <w:tcPr>
            <w:tcW w:w="6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payable on credit facility and asset backed debt</w:t>
            </w:r>
          </w:p>
        </w:tc>
        <w:tc>
          <w:tcPr>
            <w:tcW w:w="16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10,421</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4,676</w:t>
            </w:r>
          </w:p>
        </w:tc>
        <w:tc>
          <w:tcPr>
            <w:tcW w:w="80" w:type="dxa"/>
            <w:vAlign w:val="bottom"/>
          </w:tcPr>
          <w:p>
            <w:pPr>
              <w:spacing w:after="0"/>
              <w:rPr>
                <w:sz w:val="13"/>
                <w:szCs w:val="13"/>
                <w:color w:val="auto"/>
              </w:rPr>
            </w:pPr>
          </w:p>
        </w:tc>
      </w:tr>
      <w:tr>
        <w:trPr>
          <w:trHeight w:val="156"/>
        </w:trPr>
        <w:tc>
          <w:tcPr>
            <w:tcW w:w="6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Distribution payable to members</w:t>
            </w:r>
          </w:p>
        </w:tc>
        <w:tc>
          <w:tcPr>
            <w:tcW w:w="16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7,250</w:t>
            </w:r>
          </w:p>
        </w:tc>
        <w:tc>
          <w:tcPr>
            <w:tcW w:w="3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80" w:type="dxa"/>
            <w:vAlign w:val="bottom"/>
            <w:shd w:val="clear" w:color="auto" w:fill="CCECFF"/>
          </w:tcPr>
          <w:p>
            <w:pPr>
              <w:spacing w:after="0"/>
              <w:rPr>
                <w:sz w:val="13"/>
                <w:szCs w:val="13"/>
                <w:color w:val="auto"/>
              </w:rPr>
            </w:pPr>
          </w:p>
        </w:tc>
      </w:tr>
      <w:tr>
        <w:trPr>
          <w:trHeight w:val="156"/>
        </w:trPr>
        <w:tc>
          <w:tcPr>
            <w:tcW w:w="6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payable on notes to members</w:t>
            </w:r>
          </w:p>
        </w:tc>
        <w:tc>
          <w:tcPr>
            <w:tcW w:w="16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3,895</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2,703</w:t>
            </w:r>
          </w:p>
        </w:tc>
        <w:tc>
          <w:tcPr>
            <w:tcW w:w="80" w:type="dxa"/>
            <w:vAlign w:val="bottom"/>
          </w:tcPr>
          <w:p>
            <w:pPr>
              <w:spacing w:after="0"/>
              <w:rPr>
                <w:sz w:val="13"/>
                <w:szCs w:val="13"/>
                <w:color w:val="auto"/>
              </w:rPr>
            </w:pPr>
          </w:p>
        </w:tc>
      </w:tr>
      <w:tr>
        <w:trPr>
          <w:trHeight w:val="156"/>
        </w:trPr>
        <w:tc>
          <w:tcPr>
            <w:tcW w:w="6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Payable for investments purchased</w:t>
            </w:r>
          </w:p>
        </w:tc>
        <w:tc>
          <w:tcPr>
            <w:tcW w:w="16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2,002</w:t>
            </w:r>
          </w:p>
        </w:tc>
        <w:tc>
          <w:tcPr>
            <w:tcW w:w="3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37,658</w:t>
            </w:r>
          </w:p>
        </w:tc>
        <w:tc>
          <w:tcPr>
            <w:tcW w:w="80" w:type="dxa"/>
            <w:vAlign w:val="bottom"/>
            <w:shd w:val="clear" w:color="auto" w:fill="CCECFF"/>
          </w:tcPr>
          <w:p>
            <w:pPr>
              <w:spacing w:after="0"/>
              <w:rPr>
                <w:sz w:val="13"/>
                <w:szCs w:val="13"/>
                <w:color w:val="auto"/>
              </w:rPr>
            </w:pPr>
          </w:p>
        </w:tc>
      </w:tr>
      <w:tr>
        <w:trPr>
          <w:trHeight w:val="156"/>
        </w:trPr>
        <w:tc>
          <w:tcPr>
            <w:tcW w:w="6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16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835</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820</w:t>
            </w:r>
          </w:p>
        </w:tc>
        <w:tc>
          <w:tcPr>
            <w:tcW w:w="80" w:type="dxa"/>
            <w:vAlign w:val="bottom"/>
          </w:tcPr>
          <w:p>
            <w:pPr>
              <w:spacing w:after="0"/>
              <w:rPr>
                <w:sz w:val="13"/>
                <w:szCs w:val="13"/>
                <w:color w:val="auto"/>
              </w:rPr>
            </w:pPr>
          </w:p>
        </w:tc>
      </w:tr>
      <w:tr>
        <w:trPr>
          <w:trHeight w:val="156"/>
        </w:trPr>
        <w:tc>
          <w:tcPr>
            <w:tcW w:w="6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6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9"/>
              </w:rPr>
              <w:t>770,145</w:t>
            </w:r>
          </w:p>
        </w:tc>
        <w:tc>
          <w:tcPr>
            <w:tcW w:w="3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696,825</w:t>
            </w:r>
          </w:p>
        </w:tc>
        <w:tc>
          <w:tcPr>
            <w:tcW w:w="80" w:type="dxa"/>
            <w:vAlign w:val="bottom"/>
            <w:shd w:val="clear" w:color="auto" w:fill="CCECFF"/>
          </w:tcPr>
          <w:p>
            <w:pPr>
              <w:spacing w:after="0"/>
              <w:rPr>
                <w:sz w:val="13"/>
                <w:szCs w:val="13"/>
                <w:color w:val="auto"/>
              </w:rPr>
            </w:pPr>
          </w:p>
        </w:tc>
      </w:tr>
      <w:tr>
        <w:trPr>
          <w:trHeight w:val="156"/>
        </w:trPr>
        <w:tc>
          <w:tcPr>
            <w:tcW w:w="6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(See Note 11)</w:t>
            </w:r>
          </w:p>
        </w:tc>
        <w:tc>
          <w:tcPr>
            <w:tcW w:w="1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60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16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9"/>
              </w:rPr>
              <w:t>102,618</w:t>
            </w:r>
          </w:p>
        </w:tc>
        <w:tc>
          <w:tcPr>
            <w:tcW w:w="3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84,462</w:t>
            </w:r>
          </w:p>
        </w:tc>
        <w:tc>
          <w:tcPr>
            <w:tcW w:w="80" w:type="dxa"/>
            <w:vAlign w:val="bottom"/>
            <w:shd w:val="clear" w:color="auto" w:fill="CCECFF"/>
          </w:tcPr>
          <w:p>
            <w:pPr>
              <w:spacing w:after="0"/>
              <w:rPr>
                <w:sz w:val="13"/>
                <w:szCs w:val="13"/>
                <w:color w:val="auto"/>
              </w:rPr>
            </w:pPr>
          </w:p>
        </w:tc>
      </w:tr>
      <w:tr>
        <w:trPr>
          <w:trHeight w:val="156"/>
        </w:trPr>
        <w:tc>
          <w:tcPr>
            <w:tcW w:w="604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Total liabilities and members' equity</w:t>
            </w:r>
          </w:p>
        </w:tc>
        <w:tc>
          <w:tcPr>
            <w:tcW w:w="1600" w:type="dxa"/>
            <w:vAlign w:val="bottom"/>
          </w:tcPr>
          <w:p>
            <w:pPr>
              <w:jc w:val="right"/>
              <w:ind w:right="1454"/>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872,763</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781,287</w:t>
            </w:r>
          </w:p>
        </w:tc>
        <w:tc>
          <w:tcPr>
            <w:tcW w:w="80" w:type="dxa"/>
            <w:vAlign w:val="bottom"/>
          </w:tcPr>
          <w:p>
            <w:pPr>
              <w:spacing w:after="0"/>
              <w:rPr>
                <w:sz w:val="13"/>
                <w:szCs w:val="13"/>
                <w:color w:val="auto"/>
              </w:rPr>
            </w:pPr>
          </w:p>
        </w:tc>
      </w:tr>
      <w:tr>
        <w:trPr>
          <w:trHeight w:val="20"/>
        </w:trPr>
        <w:tc>
          <w:tcPr>
            <w:tcW w:w="60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6" w:right="680"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156"/>
        </w:trPr>
        <w:tc>
          <w:tcPr>
            <w:tcW w:w="4020" w:type="dxa"/>
            <w:vAlign w:val="bottom"/>
          </w:tcPr>
          <w:p>
            <w:pPr>
              <w:spacing w:after="0"/>
              <w:rPr>
                <w:sz w:val="13"/>
                <w:szCs w:val="13"/>
                <w:color w:val="auto"/>
              </w:rPr>
            </w:pPr>
          </w:p>
        </w:tc>
        <w:tc>
          <w:tcPr>
            <w:tcW w:w="4260" w:type="dxa"/>
            <w:vAlign w:val="bottom"/>
            <w:gridSpan w:val="2"/>
          </w:tcPr>
          <w:p>
            <w:pPr>
              <w:jc w:val="center"/>
              <w:ind w:right="1774"/>
              <w:spacing w:after="0"/>
              <w:rPr>
                <w:sz w:val="20"/>
                <w:szCs w:val="20"/>
                <w:color w:val="auto"/>
              </w:rPr>
            </w:pPr>
            <w:r>
              <w:rPr>
                <w:rFonts w:ascii="Times New Roman" w:cs="Times New Roman" w:eastAsia="Times New Roman" w:hAnsi="Times New Roman"/>
                <w:sz w:val="13"/>
                <w:szCs w:val="13"/>
                <w:b w:val="1"/>
                <w:bCs w:val="1"/>
                <w:color w:val="auto"/>
              </w:rPr>
              <w:t>PennantPark Senior Loan Fund, LLC</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20" w:type="dxa"/>
            <w:vAlign w:val="bottom"/>
          </w:tcPr>
          <w:p>
            <w:pPr>
              <w:spacing w:after="0"/>
              <w:rPr>
                <w:sz w:val="13"/>
                <w:szCs w:val="13"/>
                <w:color w:val="auto"/>
              </w:rPr>
            </w:pPr>
          </w:p>
        </w:tc>
        <w:tc>
          <w:tcPr>
            <w:tcW w:w="4260" w:type="dxa"/>
            <w:vAlign w:val="bottom"/>
            <w:gridSpan w:val="2"/>
          </w:tcPr>
          <w:p>
            <w:pPr>
              <w:jc w:val="center"/>
              <w:ind w:right="1754"/>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20" w:type="dxa"/>
            <w:vAlign w:val="bottom"/>
          </w:tcPr>
          <w:p>
            <w:pPr>
              <w:spacing w:after="0"/>
              <w:rPr>
                <w:sz w:val="13"/>
                <w:szCs w:val="13"/>
                <w:color w:val="auto"/>
              </w:rPr>
            </w:pPr>
          </w:p>
        </w:tc>
        <w:tc>
          <w:tcPr>
            <w:tcW w:w="4260" w:type="dxa"/>
            <w:vAlign w:val="bottom"/>
            <w:gridSpan w:val="2"/>
          </w:tcPr>
          <w:p>
            <w:pPr>
              <w:jc w:val="center"/>
              <w:ind w:right="1754"/>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720" w:type="dxa"/>
            <w:vAlign w:val="bottom"/>
            <w:gridSpan w:val="4"/>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Year Ended September 30,</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426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2023</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2022</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020" w:type="dxa"/>
            <w:vAlign w:val="bottom"/>
            <w:vMerge w:val="continue"/>
          </w:tcPr>
          <w:p>
            <w:pPr>
              <w:spacing w:after="0"/>
              <w:rPr>
                <w:sz w:val="13"/>
                <w:szCs w:val="13"/>
                <w:color w:val="auto"/>
              </w:rPr>
            </w:pPr>
          </w:p>
        </w:tc>
        <w:tc>
          <w:tcPr>
            <w:tcW w:w="3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3"/>
                <w:szCs w:val="13"/>
                <w:color w:val="auto"/>
              </w:rPr>
              <w:t>Interest</w:t>
            </w:r>
          </w:p>
        </w:tc>
        <w:tc>
          <w:tcPr>
            <w:tcW w:w="4260" w:type="dxa"/>
            <w:vAlign w:val="bottom"/>
            <w:gridSpan w:val="2"/>
            <w:shd w:val="clear" w:color="auto" w:fill="CCECFF"/>
          </w:tcPr>
          <w:p>
            <w:pPr>
              <w:jc w:val="right"/>
              <w:ind w:right="874"/>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88,280</w:t>
            </w:r>
          </w:p>
        </w:tc>
        <w:tc>
          <w:tcPr>
            <w:tcW w:w="220" w:type="dxa"/>
            <w:vAlign w:val="bottom"/>
            <w:shd w:val="clear" w:color="auto" w:fill="CCECFF"/>
          </w:tcPr>
          <w:p>
            <w:pPr>
              <w:spacing w:after="0"/>
              <w:rPr>
                <w:sz w:val="13"/>
                <w:szCs w:val="13"/>
                <w:color w:val="auto"/>
              </w:rPr>
            </w:pPr>
          </w:p>
        </w:tc>
        <w:tc>
          <w:tcPr>
            <w:tcW w:w="1000" w:type="dxa"/>
            <w:vAlign w:val="bottom"/>
            <w:shd w:val="clear" w:color="auto" w:fill="CCECFF"/>
          </w:tcPr>
          <w:p>
            <w:pPr>
              <w:jc w:val="right"/>
              <w:ind w:right="854"/>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37,905</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Other income</w:t>
            </w:r>
          </w:p>
        </w:tc>
        <w:tc>
          <w:tcPr>
            <w:tcW w:w="3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1,410</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324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89,690</w:t>
            </w:r>
          </w:p>
        </w:tc>
        <w:tc>
          <w:tcPr>
            <w:tcW w:w="22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38,151</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3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3"/>
                <w:szCs w:val="13"/>
                <w:color w:val="auto"/>
              </w:rPr>
              <w:t>Interest expense on credit facility and asset-backed debt</w:t>
            </w:r>
          </w:p>
        </w:tc>
        <w:tc>
          <w:tcPr>
            <w:tcW w:w="324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37,977</w:t>
            </w:r>
          </w:p>
        </w:tc>
        <w:tc>
          <w:tcPr>
            <w:tcW w:w="22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11,023</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Interest expense on notes to members</w:t>
            </w:r>
          </w:p>
        </w:tc>
        <w:tc>
          <w:tcPr>
            <w:tcW w:w="3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20,858</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11,692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3"/>
                <w:szCs w:val="13"/>
                <w:color w:val="auto"/>
              </w:rPr>
              <w:t>Administration fees</w:t>
            </w:r>
          </w:p>
        </w:tc>
        <w:tc>
          <w:tcPr>
            <w:tcW w:w="324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2,027</w:t>
            </w:r>
          </w:p>
        </w:tc>
        <w:tc>
          <w:tcPr>
            <w:tcW w:w="22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1,171</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3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1,090</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0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40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3"/>
                <w:szCs w:val="13"/>
                <w:b w:val="1"/>
                <w:bCs w:val="1"/>
                <w:color w:val="auto"/>
              </w:rPr>
              <w:t>Total expenses</w:t>
            </w:r>
          </w:p>
        </w:tc>
        <w:tc>
          <w:tcPr>
            <w:tcW w:w="324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61,952</w:t>
            </w:r>
          </w:p>
        </w:tc>
        <w:tc>
          <w:tcPr>
            <w:tcW w:w="22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24,333</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2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3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27,738</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Realized and unrealized gain (loss) on investments:</w:t>
            </w:r>
          </w:p>
        </w:tc>
        <w:tc>
          <w:tcPr>
            <w:tcW w:w="324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4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5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3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(498 )</w:t>
            </w:r>
          </w:p>
        </w:tc>
        <w:tc>
          <w:tcPr>
            <w:tcW w:w="10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324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1,575</w:t>
            </w:r>
          </w:p>
        </w:tc>
        <w:tc>
          <w:tcPr>
            <w:tcW w:w="22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5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(8,334 )</w:t>
            </w:r>
          </w:p>
        </w:tc>
        <w:tc>
          <w:tcPr>
            <w:tcW w:w="0" w:type="dxa"/>
            <w:vAlign w:val="bottom"/>
          </w:tcPr>
          <w:p>
            <w:pPr>
              <w:spacing w:after="0"/>
              <w:rPr>
                <w:sz w:val="1"/>
                <w:szCs w:val="1"/>
                <w:color w:val="auto"/>
              </w:rPr>
            </w:pPr>
          </w:p>
        </w:tc>
      </w:tr>
      <w:tr>
        <w:trPr>
          <w:trHeight w:val="156"/>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realized and unrealized gain (loss) on investments</w:t>
            </w:r>
          </w:p>
        </w:tc>
        <w:tc>
          <w:tcPr>
            <w:tcW w:w="3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1,077</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(7,958 )</w:t>
            </w:r>
          </w:p>
        </w:tc>
        <w:tc>
          <w:tcPr>
            <w:tcW w:w="0" w:type="dxa"/>
            <w:vAlign w:val="bottom"/>
          </w:tcPr>
          <w:p>
            <w:pPr>
              <w:spacing w:after="0"/>
              <w:rPr>
                <w:sz w:val="1"/>
                <w:szCs w:val="1"/>
                <w:color w:val="auto"/>
              </w:rPr>
            </w:pPr>
          </w:p>
        </w:tc>
      </w:tr>
      <w:tr>
        <w:trPr>
          <w:trHeight w:val="196"/>
        </w:trPr>
        <w:tc>
          <w:tcPr>
            <w:tcW w:w="40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members' equity resulting from operations</w:t>
            </w:r>
          </w:p>
        </w:tc>
        <w:tc>
          <w:tcPr>
            <w:tcW w:w="3240" w:type="dxa"/>
            <w:vAlign w:val="bottom"/>
            <w:tcBorders>
              <w:bottom w:val="single" w:sz="8" w:color="CCECFF"/>
            </w:tcBorders>
            <w:shd w:val="clear" w:color="auto" w:fill="CCECFF"/>
          </w:tcPr>
          <w:p>
            <w:pPr>
              <w:spacing w:after="0"/>
              <w:rPr>
                <w:sz w:val="17"/>
                <w:szCs w:val="17"/>
                <w:color w:val="auto"/>
              </w:rPr>
            </w:pPr>
          </w:p>
        </w:tc>
        <w:tc>
          <w:tcPr>
            <w:tcW w:w="1020" w:type="dxa"/>
            <w:vAlign w:val="bottom"/>
            <w:tcBorders>
              <w:bottom w:val="single" w:sz="8" w:color="auto"/>
            </w:tcBorders>
            <w:shd w:val="clear" w:color="auto" w:fill="CCECFF"/>
          </w:tcPr>
          <w:p>
            <w:pPr>
              <w:jc w:val="right"/>
              <w:ind w:right="874"/>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28,815</w:t>
            </w:r>
          </w:p>
        </w:tc>
        <w:tc>
          <w:tcPr>
            <w:tcW w:w="220" w:type="dxa"/>
            <w:vAlign w:val="bottom"/>
            <w:tcBorders>
              <w:bottom w:val="single" w:sz="8" w:color="CCECFF"/>
            </w:tcBorders>
            <w:shd w:val="clear" w:color="auto" w:fill="CCECFF"/>
          </w:tcPr>
          <w:p>
            <w:pPr>
              <w:spacing w:after="0"/>
              <w:rPr>
                <w:sz w:val="17"/>
                <w:szCs w:val="17"/>
                <w:color w:val="auto"/>
              </w:rPr>
            </w:pPr>
          </w:p>
        </w:tc>
        <w:tc>
          <w:tcPr>
            <w:tcW w:w="1000" w:type="dxa"/>
            <w:vAlign w:val="bottom"/>
            <w:tcBorders>
              <w:bottom w:val="single" w:sz="8" w:color="auto"/>
            </w:tcBorders>
            <w:shd w:val="clear" w:color="auto" w:fill="CCECFF"/>
          </w:tcPr>
          <w:p>
            <w:pPr>
              <w:jc w:val="right"/>
              <w:ind w:right="854"/>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5,860</w:t>
            </w:r>
          </w:p>
        </w:tc>
        <w:tc>
          <w:tcPr>
            <w:tcW w:w="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bl>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6" w:right="680" w:bottom="1440" w:gutter="0" w:footer="0" w:header="0"/>
        </w:sectPr>
      </w:pPr>
    </w:p>
    <w:bookmarkStart w:id="145" w:name="page146"/>
    <w:bookmarkEnd w:id="145"/>
    <w:p>
      <w:pPr>
        <w:spacing w:after="0" w:line="8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PennantPark Senior Loan Fund, LLC</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Consolidated Statements of Changes in Members’ Equity</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240" w:type="dxa"/>
            <w:vAlign w:val="bottom"/>
          </w:tcPr>
          <w:p>
            <w:pPr>
              <w:spacing w:after="0"/>
              <w:rPr>
                <w:sz w:val="13"/>
                <w:szCs w:val="13"/>
                <w:color w:val="auto"/>
              </w:rPr>
            </w:pPr>
          </w:p>
        </w:tc>
        <w:tc>
          <w:tcPr>
            <w:tcW w:w="2720" w:type="dxa"/>
            <w:vAlign w:val="bottom"/>
            <w:gridSpan w:val="4"/>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Year Ended September 30,</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7240" w:type="dxa"/>
            <w:vAlign w:val="bottom"/>
          </w:tcPr>
          <w:p>
            <w:pPr>
              <w:spacing w:after="0"/>
              <w:rPr>
                <w:sz w:val="14"/>
                <w:szCs w:val="14"/>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2022</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7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change in members’ equity resulting from operations:</w:t>
            </w:r>
          </w:p>
        </w:tc>
        <w:tc>
          <w:tcPr>
            <w:tcW w:w="98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72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Net investment income</w:t>
            </w:r>
          </w:p>
        </w:tc>
        <w:tc>
          <w:tcPr>
            <w:tcW w:w="980" w:type="dxa"/>
            <w:vAlign w:val="bottom"/>
          </w:tcPr>
          <w:p>
            <w:pPr>
              <w:jc w:val="right"/>
              <w:ind w:right="859"/>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27,738</w:t>
            </w:r>
          </w:p>
        </w:tc>
        <w:tc>
          <w:tcPr>
            <w:tcW w:w="220" w:type="dxa"/>
            <w:vAlign w:val="bottom"/>
          </w:tcPr>
          <w:p>
            <w:pPr>
              <w:spacing w:after="0"/>
              <w:rPr>
                <w:sz w:val="13"/>
                <w:szCs w:val="13"/>
                <w:color w:val="auto"/>
              </w:rPr>
            </w:pPr>
          </w:p>
        </w:tc>
        <w:tc>
          <w:tcPr>
            <w:tcW w:w="1000" w:type="dxa"/>
            <w:vAlign w:val="bottom"/>
          </w:tcPr>
          <w:p>
            <w:pPr>
              <w:jc w:val="right"/>
              <w:ind w:right="85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13,818</w:t>
            </w:r>
          </w:p>
        </w:tc>
        <w:tc>
          <w:tcPr>
            <w:tcW w:w="80" w:type="dxa"/>
            <w:vAlign w:val="bottom"/>
          </w:tcPr>
          <w:p>
            <w:pPr>
              <w:spacing w:after="0"/>
              <w:rPr>
                <w:sz w:val="13"/>
                <w:szCs w:val="13"/>
                <w:color w:val="auto"/>
              </w:rPr>
            </w:pPr>
          </w:p>
        </w:tc>
      </w:tr>
      <w:tr>
        <w:trPr>
          <w:trHeight w:val="156"/>
        </w:trPr>
        <w:tc>
          <w:tcPr>
            <w:tcW w:w="724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980" w:type="dxa"/>
            <w:vAlign w:val="bottom"/>
            <w:shd w:val="clear" w:color="auto" w:fill="CCECFF"/>
          </w:tcPr>
          <w:p>
            <w:pPr>
              <w:spacing w:after="0"/>
              <w:rPr>
                <w:sz w:val="13"/>
                <w:szCs w:val="13"/>
                <w:color w:val="auto"/>
              </w:rPr>
            </w:pPr>
          </w:p>
        </w:tc>
        <w:tc>
          <w:tcPr>
            <w:tcW w:w="7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(498 )</w:t>
            </w:r>
          </w:p>
        </w:tc>
        <w:tc>
          <w:tcPr>
            <w:tcW w:w="100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80" w:type="dxa"/>
            <w:vAlign w:val="bottom"/>
            <w:shd w:val="clear" w:color="auto" w:fill="CCECFF"/>
          </w:tcPr>
          <w:p>
            <w:pPr>
              <w:spacing w:after="0"/>
              <w:rPr>
                <w:sz w:val="13"/>
                <w:szCs w:val="13"/>
                <w:color w:val="auto"/>
              </w:rPr>
            </w:pPr>
          </w:p>
        </w:tc>
      </w:tr>
      <w:tr>
        <w:trPr>
          <w:trHeight w:val="156"/>
        </w:trPr>
        <w:tc>
          <w:tcPr>
            <w:tcW w:w="72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9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1,575</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(8,334 )</w:t>
            </w:r>
          </w:p>
        </w:tc>
      </w:tr>
      <w:tr>
        <w:trPr>
          <w:trHeight w:val="156"/>
        </w:trPr>
        <w:tc>
          <w:tcPr>
            <w:tcW w:w="724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Net increase (decrease) in members’ equity resulting from operations</w:t>
            </w:r>
          </w:p>
        </w:tc>
        <w:tc>
          <w:tcPr>
            <w:tcW w:w="9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28,815</w:t>
            </w:r>
          </w:p>
        </w:tc>
        <w:tc>
          <w:tcPr>
            <w:tcW w:w="22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5,860</w:t>
            </w:r>
          </w:p>
        </w:tc>
        <w:tc>
          <w:tcPr>
            <w:tcW w:w="80" w:type="dxa"/>
            <w:vAlign w:val="bottom"/>
            <w:shd w:val="clear" w:color="auto" w:fill="CCECFF"/>
          </w:tcPr>
          <w:p>
            <w:pPr>
              <w:spacing w:after="0"/>
              <w:rPr>
                <w:sz w:val="13"/>
                <w:szCs w:val="13"/>
                <w:color w:val="auto"/>
              </w:rPr>
            </w:pPr>
          </w:p>
        </w:tc>
      </w:tr>
      <w:tr>
        <w:trPr>
          <w:trHeight w:val="156"/>
        </w:trPr>
        <w:tc>
          <w:tcPr>
            <w:tcW w:w="72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Capital contributions (See Note 6)</w:t>
            </w:r>
          </w:p>
        </w:tc>
        <w:tc>
          <w:tcPr>
            <w:tcW w:w="9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15,341</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25,570</w:t>
            </w:r>
          </w:p>
        </w:tc>
        <w:tc>
          <w:tcPr>
            <w:tcW w:w="80" w:type="dxa"/>
            <w:vAlign w:val="bottom"/>
          </w:tcPr>
          <w:p>
            <w:pPr>
              <w:spacing w:after="0"/>
              <w:rPr>
                <w:sz w:val="13"/>
                <w:szCs w:val="13"/>
                <w:color w:val="auto"/>
              </w:rPr>
            </w:pPr>
          </w:p>
        </w:tc>
      </w:tr>
      <w:tr>
        <w:trPr>
          <w:trHeight w:val="156"/>
        </w:trPr>
        <w:tc>
          <w:tcPr>
            <w:tcW w:w="724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Distributions</w:t>
            </w:r>
          </w:p>
        </w:tc>
        <w:tc>
          <w:tcPr>
            <w:tcW w:w="980" w:type="dxa"/>
            <w:vAlign w:val="bottom"/>
            <w:shd w:val="clear" w:color="auto" w:fill="CCECFF"/>
          </w:tcPr>
          <w:p>
            <w:pPr>
              <w:spacing w:after="0"/>
              <w:rPr>
                <w:sz w:val="13"/>
                <w:szCs w:val="13"/>
                <w:color w:val="auto"/>
              </w:rPr>
            </w:pPr>
          </w:p>
        </w:tc>
        <w:tc>
          <w:tcPr>
            <w:tcW w:w="7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(26,000 )</w:t>
            </w:r>
          </w:p>
        </w:tc>
        <w:tc>
          <w:tcPr>
            <w:tcW w:w="1000" w:type="dxa"/>
            <w:vAlign w:val="bottom"/>
            <w:shd w:val="clear" w:color="auto" w:fill="CCECFF"/>
          </w:tcPr>
          <w:p>
            <w:pPr>
              <w:spacing w:after="0"/>
              <w:rPr>
                <w:sz w:val="13"/>
                <w:szCs w:val="13"/>
                <w:color w:val="auto"/>
              </w:rPr>
            </w:pPr>
          </w:p>
        </w:tc>
        <w:tc>
          <w:tcPr>
            <w:tcW w:w="6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(15,000 )</w:t>
            </w:r>
          </w:p>
        </w:tc>
      </w:tr>
      <w:tr>
        <w:trPr>
          <w:trHeight w:val="156"/>
        </w:trPr>
        <w:tc>
          <w:tcPr>
            <w:tcW w:w="7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members’ equity</w:t>
            </w:r>
          </w:p>
        </w:tc>
        <w:tc>
          <w:tcPr>
            <w:tcW w:w="9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18,156</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16,430</w:t>
            </w:r>
          </w:p>
        </w:tc>
        <w:tc>
          <w:tcPr>
            <w:tcW w:w="80" w:type="dxa"/>
            <w:vAlign w:val="bottom"/>
          </w:tcPr>
          <w:p>
            <w:pPr>
              <w:spacing w:after="0"/>
              <w:rPr>
                <w:sz w:val="13"/>
                <w:szCs w:val="13"/>
                <w:color w:val="auto"/>
              </w:rPr>
            </w:pPr>
          </w:p>
        </w:tc>
      </w:tr>
      <w:tr>
        <w:trPr>
          <w:trHeight w:val="156"/>
        </w:trPr>
        <w:tc>
          <w:tcPr>
            <w:tcW w:w="7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98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72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Beginning of year</w:t>
            </w:r>
          </w:p>
        </w:tc>
        <w:tc>
          <w:tcPr>
            <w:tcW w:w="9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84,462</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68,032</w:t>
            </w:r>
          </w:p>
        </w:tc>
        <w:tc>
          <w:tcPr>
            <w:tcW w:w="80" w:type="dxa"/>
            <w:vAlign w:val="bottom"/>
          </w:tcPr>
          <w:p>
            <w:pPr>
              <w:spacing w:after="0"/>
              <w:rPr>
                <w:sz w:val="13"/>
                <w:szCs w:val="13"/>
                <w:color w:val="auto"/>
              </w:rPr>
            </w:pPr>
          </w:p>
        </w:tc>
      </w:tr>
      <w:tr>
        <w:trPr>
          <w:trHeight w:val="196"/>
        </w:trPr>
        <w:tc>
          <w:tcPr>
            <w:tcW w:w="7240" w:type="dxa"/>
            <w:vAlign w:val="bottom"/>
            <w:tcBorders>
              <w:bottom w:val="single" w:sz="8" w:color="CCECFF"/>
            </w:tcBorders>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End of year</w:t>
            </w:r>
          </w:p>
        </w:tc>
        <w:tc>
          <w:tcPr>
            <w:tcW w:w="980" w:type="dxa"/>
            <w:vAlign w:val="bottom"/>
            <w:tcBorders>
              <w:bottom w:val="single" w:sz="8" w:color="auto"/>
            </w:tcBorders>
            <w:shd w:val="clear" w:color="auto" w:fill="CCECFF"/>
          </w:tcPr>
          <w:p>
            <w:pPr>
              <w:jc w:val="right"/>
              <w:ind w:right="859"/>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102,618</w:t>
            </w:r>
          </w:p>
        </w:tc>
        <w:tc>
          <w:tcPr>
            <w:tcW w:w="220" w:type="dxa"/>
            <w:vAlign w:val="bottom"/>
            <w:tcBorders>
              <w:bottom w:val="single" w:sz="8" w:color="CCECFF"/>
            </w:tcBorders>
            <w:shd w:val="clear" w:color="auto" w:fill="CCECFF"/>
          </w:tcPr>
          <w:p>
            <w:pPr>
              <w:spacing w:after="0"/>
              <w:rPr>
                <w:sz w:val="17"/>
                <w:szCs w:val="17"/>
                <w:color w:val="auto"/>
              </w:rPr>
            </w:pPr>
          </w:p>
        </w:tc>
        <w:tc>
          <w:tcPr>
            <w:tcW w:w="1000" w:type="dxa"/>
            <w:vAlign w:val="bottom"/>
            <w:tcBorders>
              <w:bottom w:val="single" w:sz="8" w:color="auto"/>
            </w:tcBorders>
            <w:shd w:val="clear" w:color="auto" w:fill="CCECFF"/>
          </w:tcPr>
          <w:p>
            <w:pPr>
              <w:jc w:val="right"/>
              <w:ind w:right="85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84,462</w:t>
            </w:r>
          </w:p>
        </w:tc>
        <w:tc>
          <w:tcPr>
            <w:tcW w:w="80" w:type="dxa"/>
            <w:vAlign w:val="bottom"/>
            <w:tcBorders>
              <w:bottom w:val="single" w:sz="8" w:color="CCECFF"/>
            </w:tcBorders>
            <w:shd w:val="clear" w:color="auto" w:fill="CCECFF"/>
          </w:tcPr>
          <w:p>
            <w:pPr>
              <w:spacing w:after="0"/>
              <w:rPr>
                <w:sz w:val="17"/>
                <w:szCs w:val="17"/>
                <w:color w:val="auto"/>
              </w:rPr>
            </w:pPr>
          </w:p>
        </w:tc>
      </w:tr>
    </w:tbl>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156"/>
        </w:trPr>
        <w:tc>
          <w:tcPr>
            <w:tcW w:w="7480" w:type="dxa"/>
            <w:vAlign w:val="bottom"/>
          </w:tcPr>
          <w:p>
            <w:pPr>
              <w:jc w:val="center"/>
              <w:ind w:left="2914"/>
              <w:spacing w:after="0"/>
              <w:rPr>
                <w:sz w:val="20"/>
                <w:szCs w:val="20"/>
                <w:color w:val="auto"/>
              </w:rPr>
            </w:pPr>
            <w:r>
              <w:rPr>
                <w:rFonts w:ascii="Times New Roman" w:cs="Times New Roman" w:eastAsia="Times New Roman" w:hAnsi="Times New Roman"/>
                <w:sz w:val="13"/>
                <w:szCs w:val="13"/>
                <w:b w:val="1"/>
                <w:bCs w:val="1"/>
                <w:color w:val="auto"/>
              </w:rPr>
              <w:t>PennantPark Senior Loan Fund, LLC</w:t>
            </w: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80" w:type="dxa"/>
            <w:vAlign w:val="bottom"/>
          </w:tcPr>
          <w:p>
            <w:pPr>
              <w:jc w:val="center"/>
              <w:ind w:left="2914"/>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480" w:type="dxa"/>
            <w:vAlign w:val="bottom"/>
          </w:tcPr>
          <w:p>
            <w:pPr>
              <w:jc w:val="center"/>
              <w:ind w:left="2934"/>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2480" w:type="dxa"/>
            <w:vAlign w:val="bottom"/>
            <w:gridSpan w:val="4"/>
            <w:vMerge w:val="restart"/>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Year Ended September 30,</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7480" w:type="dxa"/>
            <w:vAlign w:val="bottom"/>
          </w:tcPr>
          <w:p>
            <w:pPr>
              <w:spacing w:after="0"/>
              <w:rPr>
                <w:sz w:val="12"/>
                <w:szCs w:val="12"/>
                <w:color w:val="auto"/>
              </w:rPr>
            </w:pPr>
          </w:p>
        </w:tc>
        <w:tc>
          <w:tcPr>
            <w:tcW w:w="2480" w:type="dxa"/>
            <w:vAlign w:val="bottom"/>
            <w:gridSpan w:val="4"/>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748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3"/>
                <w:szCs w:val="13"/>
                <w:color w:val="auto"/>
              </w:rPr>
              <w:t>Net increase (decrease) in members’ equity resulting from operations</w:t>
            </w:r>
          </w:p>
        </w:tc>
        <w:tc>
          <w:tcPr>
            <w:tcW w:w="880" w:type="dxa"/>
            <w:vAlign w:val="bottom"/>
            <w:shd w:val="clear" w:color="auto" w:fill="CCECFF"/>
          </w:tcPr>
          <w:p>
            <w:pPr>
              <w:jc w:val="right"/>
              <w:ind w:right="73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28,815</w:t>
            </w:r>
          </w:p>
        </w:tc>
        <w:tc>
          <w:tcPr>
            <w:tcW w:w="220" w:type="dxa"/>
            <w:vAlign w:val="bottom"/>
            <w:shd w:val="clear" w:color="auto" w:fill="CCECFF"/>
          </w:tcPr>
          <w:p>
            <w:pPr>
              <w:spacing w:after="0"/>
              <w:rPr>
                <w:sz w:val="13"/>
                <w:szCs w:val="13"/>
                <w:color w:val="auto"/>
              </w:rPr>
            </w:pPr>
          </w:p>
        </w:tc>
        <w:tc>
          <w:tcPr>
            <w:tcW w:w="860" w:type="dxa"/>
            <w:vAlign w:val="bottom"/>
            <w:shd w:val="clear" w:color="auto" w:fill="CCECFF"/>
          </w:tcPr>
          <w:p>
            <w:pPr>
              <w:jc w:val="right"/>
              <w:ind w:right="71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5,860</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48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Adjustments to reconcile net increase (decrease) in members’ equity resulting from operations to net cash (used in) provided by</w:t>
            </w: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operating activities:</w:t>
            </w: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8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880" w:type="dxa"/>
            <w:vAlign w:val="bottom"/>
            <w:shd w:val="clear" w:color="auto" w:fill="CCECFF"/>
          </w:tcPr>
          <w:p>
            <w:pPr>
              <w:spacing w:after="0"/>
              <w:rPr>
                <w:sz w:val="13"/>
                <w:szCs w:val="13"/>
                <w:color w:val="auto"/>
              </w:rPr>
            </w:pPr>
          </w:p>
        </w:tc>
        <w:tc>
          <w:tcPr>
            <w:tcW w:w="7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(1,575 )</w:t>
            </w:r>
          </w:p>
        </w:tc>
        <w:tc>
          <w:tcPr>
            <w:tcW w:w="86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8,334</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8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(376 )</w:t>
            </w:r>
          </w:p>
        </w:tc>
        <w:tc>
          <w:tcPr>
            <w:tcW w:w="0" w:type="dxa"/>
            <w:vAlign w:val="bottom"/>
          </w:tcPr>
          <w:p>
            <w:pPr>
              <w:spacing w:after="0"/>
              <w:rPr>
                <w:sz w:val="1"/>
                <w:szCs w:val="1"/>
                <w:color w:val="auto"/>
              </w:rPr>
            </w:pPr>
          </w:p>
        </w:tc>
      </w:tr>
      <w:tr>
        <w:trPr>
          <w:trHeight w:val="156"/>
        </w:trPr>
        <w:tc>
          <w:tcPr>
            <w:tcW w:w="748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Net accretion of discount and amortization of premium</w:t>
            </w:r>
          </w:p>
        </w:tc>
        <w:tc>
          <w:tcPr>
            <w:tcW w:w="880" w:type="dxa"/>
            <w:vAlign w:val="bottom"/>
            <w:shd w:val="clear" w:color="auto" w:fill="CCECFF"/>
          </w:tcPr>
          <w:p>
            <w:pPr>
              <w:spacing w:after="0"/>
              <w:rPr>
                <w:sz w:val="13"/>
                <w:szCs w:val="13"/>
                <w:color w:val="auto"/>
              </w:rPr>
            </w:pPr>
          </w:p>
        </w:tc>
        <w:tc>
          <w:tcPr>
            <w:tcW w:w="7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(3,146 )</w:t>
            </w:r>
          </w:p>
        </w:tc>
        <w:tc>
          <w:tcPr>
            <w:tcW w:w="860" w:type="dxa"/>
            <w:vAlign w:val="bottom"/>
            <w:shd w:val="clear" w:color="auto" w:fill="CCECFF"/>
          </w:tcPr>
          <w:p>
            <w:pPr>
              <w:spacing w:after="0"/>
              <w:rPr>
                <w:sz w:val="13"/>
                <w:szCs w:val="13"/>
                <w:color w:val="auto"/>
              </w:rPr>
            </w:pPr>
          </w:p>
        </w:tc>
        <w:tc>
          <w:tcPr>
            <w:tcW w:w="6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(2,080 )</w:t>
            </w:r>
          </w:p>
        </w:tc>
        <w:tc>
          <w:tcPr>
            <w:tcW w:w="0" w:type="dxa"/>
            <w:vAlign w:val="bottom"/>
          </w:tcPr>
          <w:p>
            <w:pPr>
              <w:spacing w:after="0"/>
              <w:rPr>
                <w:sz w:val="1"/>
                <w:szCs w:val="1"/>
                <w:color w:val="auto"/>
              </w:rPr>
            </w:pPr>
          </w:p>
        </w:tc>
      </w:tr>
      <w:tr>
        <w:trPr>
          <w:trHeight w:val="156"/>
        </w:trPr>
        <w:tc>
          <w:tcPr>
            <w:tcW w:w="74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Purchases of investments</w:t>
            </w:r>
          </w:p>
        </w:tc>
        <w:tc>
          <w:tcPr>
            <w:tcW w:w="88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(176,199 )</w:t>
            </w:r>
          </w:p>
        </w:tc>
        <w:tc>
          <w:tcPr>
            <w:tcW w:w="8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9"/>
              </w:rPr>
              <w:t>(431,196 )</w:t>
            </w:r>
          </w:p>
        </w:tc>
        <w:tc>
          <w:tcPr>
            <w:tcW w:w="0" w:type="dxa"/>
            <w:vAlign w:val="bottom"/>
          </w:tcPr>
          <w:p>
            <w:pPr>
              <w:spacing w:after="0"/>
              <w:rPr>
                <w:sz w:val="1"/>
                <w:szCs w:val="1"/>
                <w:color w:val="auto"/>
              </w:rPr>
            </w:pPr>
          </w:p>
        </w:tc>
      </w:tr>
      <w:tr>
        <w:trPr>
          <w:trHeight w:val="156"/>
        </w:trPr>
        <w:tc>
          <w:tcPr>
            <w:tcW w:w="748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Amortization of deferred financing costs</w:t>
            </w:r>
          </w:p>
        </w:tc>
        <w:tc>
          <w:tcPr>
            <w:tcW w:w="8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460</w:t>
            </w:r>
          </w:p>
        </w:tc>
        <w:tc>
          <w:tcPr>
            <w:tcW w:w="22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Payment-in-kind interest</w:t>
            </w:r>
          </w:p>
        </w:tc>
        <w:tc>
          <w:tcPr>
            <w:tcW w:w="88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(225 )</w:t>
            </w:r>
          </w:p>
        </w:tc>
        <w:tc>
          <w:tcPr>
            <w:tcW w:w="8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(38 )</w:t>
            </w:r>
          </w:p>
        </w:tc>
        <w:tc>
          <w:tcPr>
            <w:tcW w:w="0" w:type="dxa"/>
            <w:vAlign w:val="bottom"/>
          </w:tcPr>
          <w:p>
            <w:pPr>
              <w:spacing w:after="0"/>
              <w:rPr>
                <w:sz w:val="1"/>
                <w:szCs w:val="1"/>
                <w:color w:val="auto"/>
              </w:rPr>
            </w:pPr>
          </w:p>
        </w:tc>
      </w:tr>
      <w:tr>
        <w:trPr>
          <w:trHeight w:val="156"/>
        </w:trPr>
        <w:tc>
          <w:tcPr>
            <w:tcW w:w="748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Proceeds from disposition of investments</w:t>
            </w:r>
          </w:p>
        </w:tc>
        <w:tc>
          <w:tcPr>
            <w:tcW w:w="8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106,568</w:t>
            </w:r>
          </w:p>
        </w:tc>
        <w:tc>
          <w:tcPr>
            <w:tcW w:w="22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100,481</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(Increase) Decrease in:</w:t>
            </w: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80" w:type="dxa"/>
            <w:vAlign w:val="bottom"/>
            <w:shd w:val="clear" w:color="auto" w:fill="CCECFF"/>
          </w:tcPr>
          <w:p>
            <w:pPr>
              <w:ind w:left="280"/>
              <w:spacing w:after="0"/>
              <w:rPr>
                <w:sz w:val="20"/>
                <w:szCs w:val="20"/>
                <w:color w:val="auto"/>
              </w:rPr>
            </w:pPr>
            <w:r>
              <w:rPr>
                <w:rFonts w:ascii="Times New Roman" w:cs="Times New Roman" w:eastAsia="Times New Roman" w:hAnsi="Times New Roman"/>
                <w:sz w:val="13"/>
                <w:szCs w:val="13"/>
                <w:color w:val="auto"/>
              </w:rPr>
              <w:t>Receivable for investments sold</w:t>
            </w:r>
          </w:p>
        </w:tc>
        <w:tc>
          <w:tcPr>
            <w:tcW w:w="8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3,870</w:t>
            </w:r>
          </w:p>
        </w:tc>
        <w:tc>
          <w:tcPr>
            <w:tcW w:w="22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6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(3,870 )</w:t>
            </w:r>
          </w:p>
        </w:tc>
        <w:tc>
          <w:tcPr>
            <w:tcW w:w="0" w:type="dxa"/>
            <w:vAlign w:val="bottom"/>
          </w:tcPr>
          <w:p>
            <w:pPr>
              <w:spacing w:after="0"/>
              <w:rPr>
                <w:sz w:val="1"/>
                <w:szCs w:val="1"/>
                <w:color w:val="auto"/>
              </w:rPr>
            </w:pPr>
          </w:p>
        </w:tc>
      </w:tr>
      <w:tr>
        <w:trPr>
          <w:trHeight w:val="156"/>
        </w:trPr>
        <w:tc>
          <w:tcPr>
            <w:tcW w:w="7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Interest receivable</w:t>
            </w:r>
          </w:p>
        </w:tc>
        <w:tc>
          <w:tcPr>
            <w:tcW w:w="88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(2,278 )</w:t>
            </w:r>
          </w:p>
        </w:tc>
        <w:tc>
          <w:tcPr>
            <w:tcW w:w="8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(1,794 )</w:t>
            </w:r>
          </w:p>
        </w:tc>
        <w:tc>
          <w:tcPr>
            <w:tcW w:w="0" w:type="dxa"/>
            <w:vAlign w:val="bottom"/>
          </w:tcPr>
          <w:p>
            <w:pPr>
              <w:spacing w:after="0"/>
              <w:rPr>
                <w:sz w:val="1"/>
                <w:szCs w:val="1"/>
                <w:color w:val="auto"/>
              </w:rPr>
            </w:pPr>
          </w:p>
        </w:tc>
      </w:tr>
      <w:tr>
        <w:trPr>
          <w:trHeight w:val="156"/>
        </w:trPr>
        <w:tc>
          <w:tcPr>
            <w:tcW w:w="7480" w:type="dxa"/>
            <w:vAlign w:val="bottom"/>
            <w:shd w:val="clear" w:color="auto" w:fill="CCECFF"/>
          </w:tcPr>
          <w:p>
            <w:pPr>
              <w:ind w:left="280"/>
              <w:spacing w:after="0"/>
              <w:rPr>
                <w:sz w:val="20"/>
                <w:szCs w:val="20"/>
                <w:color w:val="auto"/>
              </w:rPr>
            </w:pPr>
            <w:r>
              <w:rPr>
                <w:rFonts w:ascii="Times New Roman" w:cs="Times New Roman" w:eastAsia="Times New Roman" w:hAnsi="Times New Roman"/>
                <w:sz w:val="13"/>
                <w:szCs w:val="13"/>
                <w:color w:val="auto"/>
              </w:rPr>
              <w:t>Due from affiliate</w:t>
            </w:r>
          </w:p>
        </w:tc>
        <w:tc>
          <w:tcPr>
            <w:tcW w:w="880" w:type="dxa"/>
            <w:vAlign w:val="bottom"/>
            <w:shd w:val="clear" w:color="auto" w:fill="CCECFF"/>
          </w:tcPr>
          <w:p>
            <w:pPr>
              <w:spacing w:after="0"/>
              <w:rPr>
                <w:sz w:val="13"/>
                <w:szCs w:val="13"/>
                <w:color w:val="auto"/>
              </w:rPr>
            </w:pPr>
          </w:p>
        </w:tc>
        <w:tc>
          <w:tcPr>
            <w:tcW w:w="7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(1,275 )</w:t>
            </w:r>
          </w:p>
        </w:tc>
        <w:tc>
          <w:tcPr>
            <w:tcW w:w="860" w:type="dxa"/>
            <w:vAlign w:val="bottom"/>
            <w:shd w:val="clear" w:color="auto" w:fill="CCECFF"/>
          </w:tcPr>
          <w:p>
            <w:pPr>
              <w:spacing w:after="0"/>
              <w:rPr>
                <w:sz w:val="13"/>
                <w:szCs w:val="13"/>
                <w:color w:val="auto"/>
              </w:rPr>
            </w:pPr>
          </w:p>
        </w:tc>
        <w:tc>
          <w:tcPr>
            <w:tcW w:w="6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(2,021 )</w:t>
            </w:r>
          </w:p>
        </w:tc>
        <w:tc>
          <w:tcPr>
            <w:tcW w:w="0" w:type="dxa"/>
            <w:vAlign w:val="bottom"/>
          </w:tcPr>
          <w:p>
            <w:pPr>
              <w:spacing w:after="0"/>
              <w:rPr>
                <w:sz w:val="1"/>
                <w:szCs w:val="1"/>
                <w:color w:val="auto"/>
              </w:rPr>
            </w:pPr>
          </w:p>
        </w:tc>
      </w:tr>
      <w:tr>
        <w:trPr>
          <w:trHeight w:val="156"/>
        </w:trPr>
        <w:tc>
          <w:tcPr>
            <w:tcW w:w="7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8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(1,375 )</w:t>
            </w:r>
          </w:p>
        </w:tc>
        <w:tc>
          <w:tcPr>
            <w:tcW w:w="0" w:type="dxa"/>
            <w:vAlign w:val="bottom"/>
          </w:tcPr>
          <w:p>
            <w:pPr>
              <w:spacing w:after="0"/>
              <w:rPr>
                <w:sz w:val="1"/>
                <w:szCs w:val="1"/>
                <w:color w:val="auto"/>
              </w:rPr>
            </w:pPr>
          </w:p>
        </w:tc>
      </w:tr>
      <w:tr>
        <w:trPr>
          <w:trHeight w:val="156"/>
        </w:trPr>
        <w:tc>
          <w:tcPr>
            <w:tcW w:w="748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Increase (Decrease) in:</w:t>
            </w:r>
          </w:p>
        </w:tc>
        <w:tc>
          <w:tcPr>
            <w:tcW w:w="88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Payable for investments purchased</w:t>
            </w:r>
          </w:p>
        </w:tc>
        <w:tc>
          <w:tcPr>
            <w:tcW w:w="88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(35,656 )</w:t>
            </w:r>
          </w:p>
        </w:tc>
        <w:tc>
          <w:tcPr>
            <w:tcW w:w="8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24,865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80" w:type="dxa"/>
            <w:vAlign w:val="bottom"/>
            <w:shd w:val="clear" w:color="auto" w:fill="CCECFF"/>
          </w:tcPr>
          <w:p>
            <w:pPr>
              <w:ind w:left="280"/>
              <w:spacing w:after="0"/>
              <w:rPr>
                <w:sz w:val="20"/>
                <w:szCs w:val="20"/>
                <w:color w:val="auto"/>
              </w:rPr>
            </w:pPr>
            <w:r>
              <w:rPr>
                <w:rFonts w:ascii="Times New Roman" w:cs="Times New Roman" w:eastAsia="Times New Roman" w:hAnsi="Times New Roman"/>
                <w:sz w:val="13"/>
                <w:szCs w:val="13"/>
                <w:color w:val="auto"/>
              </w:rPr>
              <w:t>Interest payable on credit facility and asset backed debt</w:t>
            </w:r>
          </w:p>
        </w:tc>
        <w:tc>
          <w:tcPr>
            <w:tcW w:w="8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5,745</w:t>
            </w:r>
          </w:p>
        </w:tc>
        <w:tc>
          <w:tcPr>
            <w:tcW w:w="22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3,177</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Interest payable on notes to members</w:t>
            </w:r>
          </w:p>
        </w:tc>
        <w:tc>
          <w:tcPr>
            <w:tcW w:w="8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1,192</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80" w:type="dxa"/>
            <w:vAlign w:val="bottom"/>
            <w:shd w:val="clear" w:color="auto" w:fill="CCECFF"/>
          </w:tcPr>
          <w:p>
            <w:pPr>
              <w:ind w:left="280"/>
              <w:spacing w:after="0"/>
              <w:rPr>
                <w:sz w:val="20"/>
                <w:szCs w:val="20"/>
                <w:color w:val="auto"/>
              </w:rPr>
            </w:pPr>
            <w:r>
              <w:rPr>
                <w:rFonts w:ascii="Times New Roman" w:cs="Times New Roman" w:eastAsia="Times New Roman" w:hAnsi="Times New Roman"/>
                <w:sz w:val="13"/>
                <w:szCs w:val="13"/>
                <w:color w:val="auto"/>
              </w:rPr>
              <w:t>Accrued expenses</w:t>
            </w:r>
          </w:p>
        </w:tc>
        <w:tc>
          <w:tcPr>
            <w:tcW w:w="8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2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88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(72,755 )</w:t>
            </w:r>
          </w:p>
        </w:tc>
        <w:tc>
          <w:tcPr>
            <w:tcW w:w="8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9"/>
              </w:rPr>
              <w:t>(298,542 )</w:t>
            </w:r>
          </w:p>
        </w:tc>
        <w:tc>
          <w:tcPr>
            <w:tcW w:w="0" w:type="dxa"/>
            <w:vAlign w:val="bottom"/>
          </w:tcPr>
          <w:p>
            <w:pPr>
              <w:spacing w:after="0"/>
              <w:rPr>
                <w:sz w:val="1"/>
                <w:szCs w:val="1"/>
                <w:color w:val="auto"/>
              </w:rPr>
            </w:pPr>
          </w:p>
        </w:tc>
      </w:tr>
      <w:tr>
        <w:trPr>
          <w:trHeight w:val="156"/>
        </w:trPr>
        <w:tc>
          <w:tcPr>
            <w:tcW w:w="7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88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Members’ capital contributions</w:t>
            </w:r>
          </w:p>
        </w:tc>
        <w:tc>
          <w:tcPr>
            <w:tcW w:w="8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15,341</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25,570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8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Notes issued to members</w:t>
            </w:r>
          </w:p>
        </w:tc>
        <w:tc>
          <w:tcPr>
            <w:tcW w:w="8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23,659</w:t>
            </w:r>
          </w:p>
        </w:tc>
        <w:tc>
          <w:tcPr>
            <w:tcW w:w="22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39,432</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Distribution paid to members</w:t>
            </w:r>
          </w:p>
        </w:tc>
        <w:tc>
          <w:tcPr>
            <w:tcW w:w="88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(22,750 )</w:t>
            </w:r>
          </w:p>
        </w:tc>
        <w:tc>
          <w:tcPr>
            <w:tcW w:w="8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(13,800 )</w:t>
            </w:r>
          </w:p>
        </w:tc>
        <w:tc>
          <w:tcPr>
            <w:tcW w:w="0" w:type="dxa"/>
            <w:vAlign w:val="bottom"/>
          </w:tcPr>
          <w:p>
            <w:pPr>
              <w:spacing w:after="0"/>
              <w:rPr>
                <w:sz w:val="1"/>
                <w:szCs w:val="1"/>
                <w:color w:val="auto"/>
              </w:rPr>
            </w:pPr>
          </w:p>
        </w:tc>
      </w:tr>
      <w:tr>
        <w:trPr>
          <w:trHeight w:val="156"/>
        </w:trPr>
        <w:tc>
          <w:tcPr>
            <w:tcW w:w="748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Proceeds from 2035 Asset Backed Debt issued</w:t>
            </w:r>
          </w:p>
        </w:tc>
        <w:tc>
          <w:tcPr>
            <w:tcW w:w="8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246,000</w:t>
            </w:r>
          </w:p>
        </w:tc>
        <w:tc>
          <w:tcPr>
            <w:tcW w:w="22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246,000</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Discount on 2035 Asset Backed Debt issued</w:t>
            </w:r>
          </w:p>
        </w:tc>
        <w:tc>
          <w:tcPr>
            <w:tcW w:w="88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(2,344 )</w:t>
            </w:r>
          </w:p>
        </w:tc>
        <w:tc>
          <w:tcPr>
            <w:tcW w:w="8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(2,328 )</w:t>
            </w:r>
          </w:p>
        </w:tc>
        <w:tc>
          <w:tcPr>
            <w:tcW w:w="0" w:type="dxa"/>
            <w:vAlign w:val="bottom"/>
          </w:tcPr>
          <w:p>
            <w:pPr>
              <w:spacing w:after="0"/>
              <w:rPr>
                <w:sz w:val="1"/>
                <w:szCs w:val="1"/>
                <w:color w:val="auto"/>
              </w:rPr>
            </w:pPr>
          </w:p>
        </w:tc>
      </w:tr>
      <w:tr>
        <w:trPr>
          <w:trHeight w:val="156"/>
        </w:trPr>
        <w:tc>
          <w:tcPr>
            <w:tcW w:w="748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Borrowings under credit facility</w:t>
            </w:r>
          </w:p>
        </w:tc>
        <w:tc>
          <w:tcPr>
            <w:tcW w:w="8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89,000</w:t>
            </w:r>
          </w:p>
        </w:tc>
        <w:tc>
          <w:tcPr>
            <w:tcW w:w="22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306,600</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Repayments under credit facility</w:t>
            </w:r>
          </w:p>
        </w:tc>
        <w:tc>
          <w:tcPr>
            <w:tcW w:w="88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(258,000 )</w:t>
            </w:r>
          </w:p>
        </w:tc>
        <w:tc>
          <w:tcPr>
            <w:tcW w:w="8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9"/>
              </w:rPr>
              <w:t>(273,000 )</w:t>
            </w:r>
          </w:p>
        </w:tc>
        <w:tc>
          <w:tcPr>
            <w:tcW w:w="0" w:type="dxa"/>
            <w:vAlign w:val="bottom"/>
          </w:tcPr>
          <w:p>
            <w:pPr>
              <w:spacing w:after="0"/>
              <w:rPr>
                <w:sz w:val="1"/>
                <w:szCs w:val="1"/>
                <w:color w:val="auto"/>
              </w:rPr>
            </w:pPr>
          </w:p>
        </w:tc>
      </w:tr>
      <w:tr>
        <w:trPr>
          <w:trHeight w:val="156"/>
        </w:trPr>
        <w:tc>
          <w:tcPr>
            <w:tcW w:w="748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8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90,906</w:t>
            </w:r>
          </w:p>
        </w:tc>
        <w:tc>
          <w:tcPr>
            <w:tcW w:w="22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328,474</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in cash and cash equivalents</w:t>
            </w:r>
          </w:p>
        </w:tc>
        <w:tc>
          <w:tcPr>
            <w:tcW w:w="8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18,151</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29,932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beginning of year</w:t>
            </w:r>
          </w:p>
        </w:tc>
        <w:tc>
          <w:tcPr>
            <w:tcW w:w="8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40,945</w:t>
            </w:r>
          </w:p>
        </w:tc>
        <w:tc>
          <w:tcPr>
            <w:tcW w:w="22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11,013</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end of year</w:t>
            </w:r>
          </w:p>
        </w:tc>
        <w:tc>
          <w:tcPr>
            <w:tcW w:w="88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59,096</w:t>
            </w:r>
          </w:p>
        </w:tc>
        <w:tc>
          <w:tcPr>
            <w:tcW w:w="220" w:type="dxa"/>
            <w:vAlign w:val="bottom"/>
          </w:tcPr>
          <w:p>
            <w:pPr>
              <w:spacing w:after="0"/>
              <w:rPr>
                <w:sz w:val="13"/>
                <w:szCs w:val="13"/>
                <w:color w:val="auto"/>
              </w:rPr>
            </w:pPr>
          </w:p>
        </w:tc>
        <w:tc>
          <w:tcPr>
            <w:tcW w:w="86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40,945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480" w:type="dxa"/>
            <w:vAlign w:val="bottom"/>
            <w:shd w:val="clear" w:color="auto" w:fill="CCECFF"/>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88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4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Interest paid on notes to members</w:t>
            </w:r>
          </w:p>
        </w:tc>
        <w:tc>
          <w:tcPr>
            <w:tcW w:w="88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19,666</w:t>
            </w:r>
          </w:p>
        </w:tc>
        <w:tc>
          <w:tcPr>
            <w:tcW w:w="220" w:type="dxa"/>
            <w:vAlign w:val="bottom"/>
          </w:tcPr>
          <w:p>
            <w:pPr>
              <w:spacing w:after="0"/>
              <w:rPr>
                <w:sz w:val="13"/>
                <w:szCs w:val="13"/>
                <w:color w:val="auto"/>
              </w:rPr>
            </w:pPr>
          </w:p>
        </w:tc>
        <w:tc>
          <w:tcPr>
            <w:tcW w:w="86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10,633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480" w:type="dxa"/>
            <w:vAlign w:val="bottom"/>
            <w:tcBorders>
              <w:bottom w:val="single" w:sz="8" w:color="CCECFF"/>
            </w:tcBorders>
            <w:shd w:val="clear" w:color="auto" w:fill="CCECFF"/>
          </w:tcPr>
          <w:p>
            <w:pPr>
              <w:ind w:left="220"/>
              <w:spacing w:after="0" w:line="133" w:lineRule="exact"/>
              <w:rPr>
                <w:sz w:val="20"/>
                <w:szCs w:val="20"/>
                <w:color w:val="auto"/>
              </w:rPr>
            </w:pPr>
            <w:r>
              <w:rPr>
                <w:rFonts w:ascii="Times New Roman" w:cs="Times New Roman" w:eastAsia="Times New Roman" w:hAnsi="Times New Roman"/>
                <w:sz w:val="13"/>
                <w:szCs w:val="13"/>
                <w:color w:val="auto"/>
              </w:rPr>
              <w:t>Interest paid on credit facility and asset backed debt</w:t>
            </w:r>
          </w:p>
        </w:tc>
        <w:tc>
          <w:tcPr>
            <w:tcW w:w="880" w:type="dxa"/>
            <w:vAlign w:val="bottom"/>
            <w:tcBorders>
              <w:bottom w:val="single" w:sz="8" w:color="auto"/>
            </w:tcBorders>
            <w:shd w:val="clear" w:color="auto" w:fill="CCECFF"/>
          </w:tcPr>
          <w:p>
            <w:pPr>
              <w:jc w:val="right"/>
              <w:ind w:right="73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32,232</w:t>
            </w:r>
          </w:p>
        </w:tc>
        <w:tc>
          <w:tcPr>
            <w:tcW w:w="220" w:type="dxa"/>
            <w:vAlign w:val="bottom"/>
            <w:tcBorders>
              <w:bottom w:val="single" w:sz="8" w:color="CCECFF"/>
            </w:tcBorders>
            <w:shd w:val="clear" w:color="auto" w:fill="CCECFF"/>
          </w:tcPr>
          <w:p>
            <w:pPr>
              <w:spacing w:after="0"/>
              <w:rPr>
                <w:sz w:val="14"/>
                <w:szCs w:val="14"/>
                <w:color w:val="auto"/>
              </w:rPr>
            </w:pPr>
          </w:p>
        </w:tc>
        <w:tc>
          <w:tcPr>
            <w:tcW w:w="860" w:type="dxa"/>
            <w:vAlign w:val="bottom"/>
            <w:tcBorders>
              <w:bottom w:val="single" w:sz="8" w:color="auto"/>
            </w:tcBorders>
            <w:shd w:val="clear" w:color="auto" w:fill="CCECFF"/>
          </w:tcPr>
          <w:p>
            <w:pPr>
              <w:jc w:val="right"/>
              <w:ind w:right="71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7,846</w:t>
            </w:r>
          </w:p>
        </w:tc>
        <w:tc>
          <w:tcPr>
            <w:tcW w:w="8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6" w:right="680" w:bottom="1440" w:gutter="0" w:footer="0" w:header="0"/>
        </w:sectPr>
      </w:pPr>
    </w:p>
    <w:bookmarkStart w:id="147" w:name="page148"/>
    <w:bookmarkEnd w:id="147"/>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w:t>
      </w:r>
    </w:p>
    <w:p>
      <w:pPr>
        <w:jc w:val="center"/>
        <w:ind w:right="100"/>
        <w:spacing w:after="0" w:line="234" w:lineRule="auto"/>
        <w:rPr>
          <w:sz w:val="20"/>
          <w:szCs w:val="20"/>
          <w:color w:val="auto"/>
        </w:rPr>
      </w:pPr>
      <w:r>
        <w:rPr>
          <w:rFonts w:ascii="Times New Roman" w:cs="Times New Roman" w:eastAsia="Times New Roman" w:hAnsi="Times New Roman"/>
          <w:sz w:val="16"/>
          <w:szCs w:val="16"/>
          <w:b w:val="1"/>
          <w:bCs w:val="1"/>
          <w:color w:val="auto"/>
        </w:rPr>
        <w:t>September 30, 2023</w:t>
      </w:r>
    </w:p>
    <w:p>
      <w:pPr>
        <w:spacing w:after="0" w:line="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In thousands)</w:t>
      </w:r>
    </w:p>
    <w:tbl>
      <w:tblPr>
        <w:tblLayout w:type="fixed"/>
        <w:tblInd w:w="0" w:type="dxa"/>
        <w:tblCellMar>
          <w:top w:w="0" w:type="dxa"/>
          <w:left w:w="0" w:type="dxa"/>
          <w:bottom w:w="0" w:type="dxa"/>
          <w:right w:w="0" w:type="dxa"/>
        </w:tblCellMar>
      </w:tblPr>
      <w:tr>
        <w:trPr>
          <w:trHeight w:val="110"/>
        </w:trPr>
        <w:tc>
          <w:tcPr>
            <w:tcW w:w="30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980" w:type="dxa"/>
            <w:vAlign w:val="bottom"/>
          </w:tcPr>
          <w:p>
            <w:pPr>
              <w:spacing w:after="0"/>
              <w:rPr>
                <w:sz w:val="9"/>
                <w:szCs w:val="9"/>
                <w:color w:val="auto"/>
              </w:rPr>
            </w:pPr>
          </w:p>
        </w:tc>
        <w:tc>
          <w:tcPr>
            <w:tcW w:w="920" w:type="dxa"/>
            <w:vAlign w:val="bottom"/>
          </w:tcPr>
          <w:p>
            <w:pPr>
              <w:jc w:val="center"/>
              <w:ind w:right="92"/>
              <w:spacing w:after="0" w:line="110" w:lineRule="exact"/>
              <w:rPr>
                <w:sz w:val="20"/>
                <w:szCs w:val="20"/>
                <w:color w:val="auto"/>
              </w:rPr>
            </w:pPr>
            <w:r>
              <w:rPr>
                <w:rFonts w:ascii="Times New Roman" w:cs="Times New Roman" w:eastAsia="Times New Roman" w:hAnsi="Times New Roman"/>
                <w:sz w:val="10"/>
                <w:szCs w:val="10"/>
                <w:b w:val="1"/>
                <w:bCs w:val="1"/>
                <w:color w:val="auto"/>
                <w:w w:val="96"/>
              </w:rPr>
              <w:t>Basis Point</w:t>
            </w: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92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000" w:type="dxa"/>
            <w:vAlign w:val="bottom"/>
          </w:tcPr>
          <w:p>
            <w:pPr>
              <w:ind w:left="44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238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920" w:type="dxa"/>
            <w:vAlign w:val="bottom"/>
          </w:tcPr>
          <w:p>
            <w:pPr>
              <w:jc w:val="center"/>
              <w:ind w:right="92"/>
              <w:spacing w:after="0" w:line="120"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52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Par</w:t>
            </w: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220" w:type="dxa"/>
            <w:vAlign w:val="bottom"/>
          </w:tcPr>
          <w:p>
            <w:pPr>
              <w:spacing w:after="0"/>
              <w:rPr>
                <w:sz w:val="10"/>
                <w:szCs w:val="10"/>
                <w:color w:val="auto"/>
              </w:rPr>
            </w:pPr>
          </w:p>
        </w:tc>
        <w:tc>
          <w:tcPr>
            <w:tcW w:w="880" w:type="dxa"/>
            <w:vAlign w:val="bottom"/>
          </w:tcPr>
          <w:p>
            <w:pPr>
              <w:jc w:val="right"/>
              <w:ind w:right="232"/>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c>
          <w:tcPr>
            <w:tcW w:w="0" w:type="dxa"/>
            <w:vAlign w:val="bottom"/>
          </w:tcPr>
          <w:p>
            <w:pPr>
              <w:spacing w:after="0"/>
              <w:rPr>
                <w:sz w:val="1"/>
                <w:szCs w:val="1"/>
                <w:color w:val="auto"/>
              </w:rPr>
            </w:pPr>
          </w:p>
        </w:tc>
      </w:tr>
      <w:tr>
        <w:trPr>
          <w:trHeight w:val="122"/>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- 783.7%</w:t>
            </w:r>
          </w:p>
        </w:tc>
        <w:tc>
          <w:tcPr>
            <w:tcW w:w="10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100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12/22/2028</w:t>
            </w:r>
          </w:p>
        </w:tc>
        <w:tc>
          <w:tcPr>
            <w:tcW w:w="23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11.84 %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SOFR+660</w:t>
            </w: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14,925</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  14,668</w:t>
            </w:r>
          </w:p>
        </w:tc>
        <w:tc>
          <w:tcPr>
            <w:tcW w:w="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14,850</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1000" w:type="dxa"/>
            <w:vAlign w:val="bottom"/>
          </w:tcPr>
          <w:p>
            <w:pPr>
              <w:jc w:val="center"/>
              <w:ind w:left="212"/>
              <w:spacing w:after="0"/>
              <w:rPr>
                <w:sz w:val="20"/>
                <w:szCs w:val="20"/>
                <w:color w:val="auto"/>
              </w:rPr>
            </w:pPr>
            <w:r>
              <w:rPr>
                <w:rFonts w:ascii="Times New Roman" w:cs="Times New Roman" w:eastAsia="Times New Roman" w:hAnsi="Times New Roman"/>
                <w:sz w:val="10"/>
                <w:szCs w:val="10"/>
                <w:color w:val="auto"/>
                <w:w w:val="95"/>
              </w:rPr>
              <w:t>5/7/2026</w:t>
            </w:r>
          </w:p>
        </w:tc>
        <w:tc>
          <w:tcPr>
            <w:tcW w:w="23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11.65 %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SOFR+600</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4,888</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4,888</w:t>
            </w:r>
          </w:p>
        </w:tc>
        <w:tc>
          <w:tcPr>
            <w:tcW w:w="220" w:type="dxa"/>
            <w:vAlign w:val="bottom"/>
          </w:tcPr>
          <w:p>
            <w:pPr>
              <w:spacing w:after="0"/>
              <w:rPr>
                <w:sz w:val="10"/>
                <w:szCs w:val="10"/>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4,863</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100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11/30/2026</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Containers, Packaging and Glass</w:t>
            </w: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11.26 %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SOFR+600</w:t>
            </w: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14,837</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14,528</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14,244</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Amsive Holding Corporation (f/k/a Vision Purchaser Corporation)</w:t>
            </w:r>
          </w:p>
        </w:tc>
        <w:tc>
          <w:tcPr>
            <w:tcW w:w="1000" w:type="dxa"/>
            <w:vAlign w:val="bottom"/>
          </w:tcPr>
          <w:p>
            <w:pPr>
              <w:jc w:val="center"/>
              <w:ind w:left="212"/>
              <w:spacing w:after="0"/>
              <w:rPr>
                <w:sz w:val="20"/>
                <w:szCs w:val="20"/>
                <w:color w:val="auto"/>
              </w:rPr>
            </w:pPr>
            <w:r>
              <w:rPr>
                <w:rFonts w:ascii="Times New Roman" w:cs="Times New Roman" w:eastAsia="Times New Roman" w:hAnsi="Times New Roman"/>
                <w:sz w:val="10"/>
                <w:szCs w:val="10"/>
                <w:color w:val="auto"/>
                <w:w w:val="93"/>
              </w:rPr>
              <w:t>6/10/2025</w:t>
            </w:r>
          </w:p>
        </w:tc>
        <w:tc>
          <w:tcPr>
            <w:tcW w:w="23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11.79 %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SOFR+640</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13,958</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13,869</w:t>
            </w:r>
          </w:p>
        </w:tc>
        <w:tc>
          <w:tcPr>
            <w:tcW w:w="220" w:type="dxa"/>
            <w:vAlign w:val="bottom"/>
          </w:tcPr>
          <w:p>
            <w:pPr>
              <w:spacing w:after="0"/>
              <w:rPr>
                <w:sz w:val="10"/>
                <w:szCs w:val="10"/>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13,749</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1000" w:type="dxa"/>
            <w:vAlign w:val="bottom"/>
            <w:shd w:val="clear" w:color="auto" w:fill="CCECFF"/>
          </w:tcPr>
          <w:p>
            <w:pPr>
              <w:jc w:val="center"/>
              <w:ind w:left="212"/>
              <w:spacing w:after="0"/>
              <w:rPr>
                <w:sz w:val="20"/>
                <w:szCs w:val="20"/>
                <w:color w:val="auto"/>
              </w:rPr>
            </w:pPr>
            <w:r>
              <w:rPr>
                <w:rFonts w:ascii="Times New Roman" w:cs="Times New Roman" w:eastAsia="Times New Roman" w:hAnsi="Times New Roman"/>
                <w:sz w:val="10"/>
                <w:szCs w:val="10"/>
                <w:color w:val="auto"/>
                <w:w w:val="93"/>
              </w:rPr>
              <w:t>5/23/2024</w:t>
            </w:r>
          </w:p>
        </w:tc>
        <w:tc>
          <w:tcPr>
            <w:tcW w:w="23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12.04 %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SOFR+665</w:t>
            </w: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14,354</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14,319</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14,103</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Any Hour Services</w:t>
            </w:r>
          </w:p>
        </w:tc>
        <w:tc>
          <w:tcPr>
            <w:tcW w:w="1000" w:type="dxa"/>
            <w:vAlign w:val="bottom"/>
          </w:tcPr>
          <w:p>
            <w:pPr>
              <w:jc w:val="center"/>
              <w:ind w:left="212"/>
              <w:spacing w:after="0"/>
              <w:rPr>
                <w:sz w:val="20"/>
                <w:szCs w:val="20"/>
                <w:color w:val="auto"/>
              </w:rPr>
            </w:pPr>
            <w:r>
              <w:rPr>
                <w:rFonts w:ascii="Times New Roman" w:cs="Times New Roman" w:eastAsia="Times New Roman" w:hAnsi="Times New Roman"/>
                <w:sz w:val="10"/>
                <w:szCs w:val="10"/>
                <w:color w:val="auto"/>
                <w:w w:val="93"/>
              </w:rPr>
              <w:t>7/21/2027</w:t>
            </w:r>
          </w:p>
        </w:tc>
        <w:tc>
          <w:tcPr>
            <w:tcW w:w="23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11.22 %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SOFR+585</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10,882</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10,847</w:t>
            </w:r>
          </w:p>
        </w:tc>
        <w:tc>
          <w:tcPr>
            <w:tcW w:w="220" w:type="dxa"/>
            <w:vAlign w:val="bottom"/>
          </w:tcPr>
          <w:p>
            <w:pPr>
              <w:spacing w:after="0"/>
              <w:rPr>
                <w:sz w:val="10"/>
                <w:szCs w:val="10"/>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10,665</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w:t>
            </w:r>
          </w:p>
        </w:tc>
        <w:tc>
          <w:tcPr>
            <w:tcW w:w="1000" w:type="dxa"/>
            <w:vAlign w:val="bottom"/>
            <w:shd w:val="clear" w:color="auto" w:fill="CCECFF"/>
          </w:tcPr>
          <w:p>
            <w:pPr>
              <w:jc w:val="center"/>
              <w:ind w:left="212"/>
              <w:spacing w:after="0"/>
              <w:rPr>
                <w:sz w:val="20"/>
                <w:szCs w:val="20"/>
                <w:color w:val="auto"/>
              </w:rPr>
            </w:pPr>
            <w:r>
              <w:rPr>
                <w:rFonts w:ascii="Times New Roman" w:cs="Times New Roman" w:eastAsia="Times New Roman" w:hAnsi="Times New Roman"/>
                <w:sz w:val="10"/>
                <w:szCs w:val="10"/>
                <w:color w:val="auto"/>
                <w:w w:val="93"/>
              </w:rPr>
              <w:t>7/31/2025</w:t>
            </w:r>
          </w:p>
        </w:tc>
        <w:tc>
          <w:tcPr>
            <w:tcW w:w="23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10.52 %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SOFR+525</w:t>
            </w: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6,424</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6,380</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6,408</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 Term Loan B</w:t>
            </w:r>
          </w:p>
        </w:tc>
        <w:tc>
          <w:tcPr>
            <w:tcW w:w="1000" w:type="dxa"/>
            <w:vAlign w:val="bottom"/>
          </w:tcPr>
          <w:p>
            <w:pPr>
              <w:jc w:val="center"/>
              <w:ind w:left="212"/>
              <w:spacing w:after="0"/>
              <w:rPr>
                <w:sz w:val="20"/>
                <w:szCs w:val="20"/>
                <w:color w:val="auto"/>
              </w:rPr>
            </w:pPr>
            <w:r>
              <w:rPr>
                <w:rFonts w:ascii="Times New Roman" w:cs="Times New Roman" w:eastAsia="Times New Roman" w:hAnsi="Times New Roman"/>
                <w:sz w:val="10"/>
                <w:szCs w:val="10"/>
                <w:color w:val="auto"/>
                <w:w w:val="93"/>
              </w:rPr>
              <w:t>7/31/2025</w:t>
            </w:r>
          </w:p>
        </w:tc>
        <w:tc>
          <w:tcPr>
            <w:tcW w:w="23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11.11 %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SOFR+550</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3,316</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3,299</w:t>
            </w:r>
          </w:p>
        </w:tc>
        <w:tc>
          <w:tcPr>
            <w:tcW w:w="220" w:type="dxa"/>
            <w:vAlign w:val="bottom"/>
          </w:tcPr>
          <w:p>
            <w:pPr>
              <w:spacing w:after="0"/>
              <w:rPr>
                <w:sz w:val="10"/>
                <w:szCs w:val="10"/>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3,308</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 - Term Loan C</w:t>
            </w:r>
          </w:p>
        </w:tc>
        <w:tc>
          <w:tcPr>
            <w:tcW w:w="1000" w:type="dxa"/>
            <w:vAlign w:val="bottom"/>
            <w:shd w:val="clear" w:color="auto" w:fill="CCECFF"/>
          </w:tcPr>
          <w:p>
            <w:pPr>
              <w:jc w:val="center"/>
              <w:ind w:left="212"/>
              <w:spacing w:after="0"/>
              <w:rPr>
                <w:sz w:val="20"/>
                <w:szCs w:val="20"/>
                <w:color w:val="auto"/>
              </w:rPr>
            </w:pPr>
            <w:r>
              <w:rPr>
                <w:rFonts w:ascii="Times New Roman" w:cs="Times New Roman" w:eastAsia="Times New Roman" w:hAnsi="Times New Roman"/>
                <w:sz w:val="10"/>
                <w:szCs w:val="10"/>
                <w:color w:val="auto"/>
                <w:w w:val="93"/>
              </w:rPr>
              <w:t>7/31/2025</w:t>
            </w:r>
          </w:p>
        </w:tc>
        <w:tc>
          <w:tcPr>
            <w:tcW w:w="23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10.76 %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SOFR+525</w:t>
            </w: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7,531</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7,531</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7,512</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100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12/29/2026</w:t>
            </w:r>
          </w:p>
        </w:tc>
        <w:tc>
          <w:tcPr>
            <w:tcW w:w="23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11.51 %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SOFR+615</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11,394</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11,271</w:t>
            </w:r>
          </w:p>
        </w:tc>
        <w:tc>
          <w:tcPr>
            <w:tcW w:w="220" w:type="dxa"/>
            <w:vAlign w:val="bottom"/>
          </w:tcPr>
          <w:p>
            <w:pPr>
              <w:spacing w:after="0"/>
              <w:rPr>
                <w:sz w:val="10"/>
                <w:szCs w:val="10"/>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11,166</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Applied Technical Services, LLC - Unfunded Term Loan </w:t>
            </w:r>
            <w:r>
              <w:rPr>
                <w:rFonts w:ascii="Times New Roman" w:cs="Times New Roman" w:eastAsia="Times New Roman" w:hAnsi="Times New Roman"/>
                <w:sz w:val="12"/>
                <w:szCs w:val="12"/>
                <w:color w:val="auto"/>
                <w:vertAlign w:val="superscript"/>
              </w:rPr>
              <w:t>(3)</w:t>
            </w:r>
          </w:p>
        </w:tc>
        <w:tc>
          <w:tcPr>
            <w:tcW w:w="100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12/29/2026</w:t>
            </w:r>
          </w:p>
        </w:tc>
        <w:tc>
          <w:tcPr>
            <w:tcW w:w="23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513</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1000" w:type="dxa"/>
            <w:vAlign w:val="bottom"/>
          </w:tcPr>
          <w:p>
            <w:pPr>
              <w:jc w:val="center"/>
              <w:ind w:left="212"/>
              <w:spacing w:after="0"/>
              <w:rPr>
                <w:sz w:val="20"/>
                <w:szCs w:val="20"/>
                <w:color w:val="auto"/>
              </w:rPr>
            </w:pPr>
            <w:r>
              <w:rPr>
                <w:rFonts w:ascii="Times New Roman" w:cs="Times New Roman" w:eastAsia="Times New Roman" w:hAnsi="Times New Roman"/>
                <w:sz w:val="10"/>
                <w:szCs w:val="10"/>
                <w:color w:val="auto"/>
                <w:w w:val="95"/>
              </w:rPr>
              <w:t>8/3/2029</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11.62 %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SOFR+625</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11,820</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11,642</w:t>
            </w:r>
          </w:p>
        </w:tc>
        <w:tc>
          <w:tcPr>
            <w:tcW w:w="220" w:type="dxa"/>
            <w:vAlign w:val="bottom"/>
          </w:tcPr>
          <w:p>
            <w:pPr>
              <w:spacing w:after="0"/>
              <w:rPr>
                <w:sz w:val="10"/>
                <w:szCs w:val="10"/>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11,702</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1000" w:type="dxa"/>
            <w:vAlign w:val="bottom"/>
            <w:shd w:val="clear" w:color="auto" w:fill="CCECFF"/>
          </w:tcPr>
          <w:p>
            <w:pPr>
              <w:jc w:val="center"/>
              <w:ind w:left="212"/>
              <w:spacing w:after="0"/>
              <w:rPr>
                <w:sz w:val="20"/>
                <w:szCs w:val="20"/>
                <w:color w:val="auto"/>
              </w:rPr>
            </w:pPr>
            <w:r>
              <w:rPr>
                <w:rFonts w:ascii="Times New Roman" w:cs="Times New Roman" w:eastAsia="Times New Roman" w:hAnsi="Times New Roman"/>
                <w:sz w:val="10"/>
                <w:szCs w:val="10"/>
                <w:color w:val="auto"/>
                <w:w w:val="95"/>
              </w:rPr>
              <w:t>7/1/2029</w:t>
            </w:r>
          </w:p>
        </w:tc>
        <w:tc>
          <w:tcPr>
            <w:tcW w:w="23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11.14 %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SOFR+575</w:t>
            </w: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14,850</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14,604</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13,811</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1000" w:type="dxa"/>
            <w:vAlign w:val="bottom"/>
          </w:tcPr>
          <w:p>
            <w:pPr>
              <w:jc w:val="center"/>
              <w:ind w:left="212"/>
              <w:spacing w:after="0"/>
              <w:rPr>
                <w:sz w:val="20"/>
                <w:szCs w:val="20"/>
                <w:color w:val="auto"/>
              </w:rPr>
            </w:pPr>
            <w:r>
              <w:rPr>
                <w:rFonts w:ascii="Times New Roman" w:cs="Times New Roman" w:eastAsia="Times New Roman" w:hAnsi="Times New Roman"/>
                <w:sz w:val="10"/>
                <w:szCs w:val="10"/>
                <w:color w:val="auto"/>
                <w:w w:val="93"/>
              </w:rPr>
              <w:t>1/31/2028</w:t>
            </w:r>
          </w:p>
        </w:tc>
        <w:tc>
          <w:tcPr>
            <w:tcW w:w="23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11.83 %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SOFR+650</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8,978</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8,874</w:t>
            </w:r>
          </w:p>
        </w:tc>
        <w:tc>
          <w:tcPr>
            <w:tcW w:w="220" w:type="dxa"/>
            <w:vAlign w:val="bottom"/>
          </w:tcPr>
          <w:p>
            <w:pPr>
              <w:spacing w:after="0"/>
              <w:rPr>
                <w:sz w:val="10"/>
                <w:szCs w:val="10"/>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8,933</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1000" w:type="dxa"/>
            <w:vAlign w:val="bottom"/>
            <w:shd w:val="clear" w:color="auto" w:fill="CCECFF"/>
          </w:tcPr>
          <w:p>
            <w:pPr>
              <w:jc w:val="center"/>
              <w:ind w:left="212"/>
              <w:spacing w:after="0"/>
              <w:rPr>
                <w:sz w:val="20"/>
                <w:szCs w:val="20"/>
                <w:color w:val="auto"/>
              </w:rPr>
            </w:pPr>
            <w:r>
              <w:rPr>
                <w:rFonts w:ascii="Times New Roman" w:cs="Times New Roman" w:eastAsia="Times New Roman" w:hAnsi="Times New Roman"/>
                <w:sz w:val="10"/>
                <w:szCs w:val="10"/>
                <w:color w:val="auto"/>
                <w:w w:val="93"/>
              </w:rPr>
              <w:t>9/17/2024</w:t>
            </w:r>
          </w:p>
        </w:tc>
        <w:tc>
          <w:tcPr>
            <w:tcW w:w="23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9"/>
              </w:rPr>
              <w:t>Distribution</w:t>
            </w: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11.79 %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SOFR+640</w:t>
            </w: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17,823</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17,588</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17,556</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1000" w:type="dxa"/>
            <w:vAlign w:val="bottom"/>
          </w:tcPr>
          <w:p>
            <w:pPr>
              <w:jc w:val="center"/>
              <w:ind w:left="212"/>
              <w:spacing w:after="0"/>
              <w:rPr>
                <w:sz w:val="20"/>
                <w:szCs w:val="20"/>
                <w:color w:val="auto"/>
              </w:rPr>
            </w:pPr>
            <w:r>
              <w:rPr>
                <w:rFonts w:ascii="Times New Roman" w:cs="Times New Roman" w:eastAsia="Times New Roman" w:hAnsi="Times New Roman"/>
                <w:sz w:val="10"/>
                <w:szCs w:val="10"/>
                <w:color w:val="auto"/>
                <w:w w:val="93"/>
              </w:rPr>
              <w:t>12/4/2025</w:t>
            </w:r>
          </w:p>
        </w:tc>
        <w:tc>
          <w:tcPr>
            <w:tcW w:w="23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11.50 %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SOFR+626</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9,683</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9,683</w:t>
            </w:r>
          </w:p>
        </w:tc>
        <w:tc>
          <w:tcPr>
            <w:tcW w:w="220" w:type="dxa"/>
            <w:vAlign w:val="bottom"/>
          </w:tcPr>
          <w:p>
            <w:pPr>
              <w:spacing w:after="0"/>
              <w:rPr>
                <w:sz w:val="10"/>
                <w:szCs w:val="10"/>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9,683</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1000" w:type="dxa"/>
            <w:vAlign w:val="bottom"/>
            <w:shd w:val="clear" w:color="auto" w:fill="CCECFF"/>
          </w:tcPr>
          <w:p>
            <w:pPr>
              <w:jc w:val="center"/>
              <w:ind w:left="212"/>
              <w:spacing w:after="0"/>
              <w:rPr>
                <w:sz w:val="20"/>
                <w:szCs w:val="20"/>
                <w:color w:val="auto"/>
              </w:rPr>
            </w:pPr>
            <w:r>
              <w:rPr>
                <w:rFonts w:ascii="Times New Roman" w:cs="Times New Roman" w:eastAsia="Times New Roman" w:hAnsi="Times New Roman"/>
                <w:sz w:val="10"/>
                <w:szCs w:val="10"/>
                <w:color w:val="auto"/>
                <w:w w:val="93"/>
              </w:rPr>
              <w:t>9/26/2029</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10.67 %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SOFR+532</w:t>
            </w: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893</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836</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841</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1000" w:type="dxa"/>
            <w:vAlign w:val="bottom"/>
          </w:tcPr>
          <w:p>
            <w:pPr>
              <w:jc w:val="center"/>
              <w:ind w:left="212"/>
              <w:spacing w:after="0"/>
              <w:rPr>
                <w:sz w:val="20"/>
                <w:szCs w:val="20"/>
                <w:color w:val="auto"/>
              </w:rPr>
            </w:pPr>
            <w:r>
              <w:rPr>
                <w:rFonts w:ascii="Times New Roman" w:cs="Times New Roman" w:eastAsia="Times New Roman" w:hAnsi="Times New Roman"/>
                <w:sz w:val="10"/>
                <w:szCs w:val="10"/>
                <w:color w:val="auto"/>
                <w:w w:val="93"/>
              </w:rPr>
              <w:t>6/14/2028</w:t>
            </w:r>
          </w:p>
        </w:tc>
        <w:tc>
          <w:tcPr>
            <w:tcW w:w="23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9"/>
              </w:rPr>
              <w:t>Distribution</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11.39 %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SOFR+600</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17,281</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17,013</w:t>
            </w:r>
          </w:p>
        </w:tc>
        <w:tc>
          <w:tcPr>
            <w:tcW w:w="220" w:type="dxa"/>
            <w:vAlign w:val="bottom"/>
          </w:tcPr>
          <w:p>
            <w:pPr>
              <w:spacing w:after="0"/>
              <w:rPr>
                <w:sz w:val="10"/>
                <w:szCs w:val="10"/>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17,281</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1000" w:type="dxa"/>
            <w:vAlign w:val="bottom"/>
            <w:shd w:val="clear" w:color="auto" w:fill="CCECFF"/>
          </w:tcPr>
          <w:p>
            <w:pPr>
              <w:jc w:val="center"/>
              <w:ind w:left="212"/>
              <w:spacing w:after="0"/>
              <w:rPr>
                <w:sz w:val="20"/>
                <w:szCs w:val="20"/>
                <w:color w:val="auto"/>
              </w:rPr>
            </w:pPr>
            <w:r>
              <w:rPr>
                <w:rFonts w:ascii="Times New Roman" w:cs="Times New Roman" w:eastAsia="Times New Roman" w:hAnsi="Times New Roman"/>
                <w:sz w:val="10"/>
                <w:szCs w:val="10"/>
                <w:color w:val="auto"/>
                <w:w w:val="93"/>
              </w:rPr>
              <w:t>8/20/2026</w:t>
            </w:r>
          </w:p>
        </w:tc>
        <w:tc>
          <w:tcPr>
            <w:tcW w:w="23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11.60 %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SOFR+600</w:t>
            </w: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2,921</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2,901</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2,862</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1000" w:type="dxa"/>
            <w:vAlign w:val="bottom"/>
          </w:tcPr>
          <w:p>
            <w:pPr>
              <w:jc w:val="center"/>
              <w:ind w:left="212"/>
              <w:spacing w:after="0"/>
              <w:rPr>
                <w:sz w:val="20"/>
                <w:szCs w:val="20"/>
                <w:color w:val="auto"/>
              </w:rPr>
            </w:pPr>
            <w:r>
              <w:rPr>
                <w:rFonts w:ascii="Times New Roman" w:cs="Times New Roman" w:eastAsia="Times New Roman" w:hAnsi="Times New Roman"/>
                <w:sz w:val="10"/>
                <w:szCs w:val="10"/>
                <w:color w:val="auto"/>
                <w:w w:val="93"/>
              </w:rPr>
              <w:t>7/13/2027</w:t>
            </w:r>
          </w:p>
        </w:tc>
        <w:tc>
          <w:tcPr>
            <w:tcW w:w="23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11.16 %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SOFR+550</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8,808</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8,792</w:t>
            </w:r>
          </w:p>
        </w:tc>
        <w:tc>
          <w:tcPr>
            <w:tcW w:w="220" w:type="dxa"/>
            <w:vAlign w:val="bottom"/>
          </w:tcPr>
          <w:p>
            <w:pPr>
              <w:spacing w:after="0"/>
              <w:rPr>
                <w:sz w:val="10"/>
                <w:szCs w:val="10"/>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8,500</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1000" w:type="dxa"/>
            <w:vAlign w:val="bottom"/>
            <w:shd w:val="clear" w:color="auto" w:fill="CCECFF"/>
          </w:tcPr>
          <w:p>
            <w:pPr>
              <w:jc w:val="center"/>
              <w:ind w:left="212"/>
              <w:spacing w:after="0"/>
              <w:rPr>
                <w:sz w:val="20"/>
                <w:szCs w:val="20"/>
                <w:color w:val="auto"/>
              </w:rPr>
            </w:pPr>
            <w:r>
              <w:rPr>
                <w:rFonts w:ascii="Times New Roman" w:cs="Times New Roman" w:eastAsia="Times New Roman" w:hAnsi="Times New Roman"/>
                <w:sz w:val="10"/>
                <w:szCs w:val="10"/>
                <w:color w:val="auto"/>
                <w:w w:val="93"/>
              </w:rPr>
              <w:t>8/16/2027</w:t>
            </w:r>
          </w:p>
        </w:tc>
        <w:tc>
          <w:tcPr>
            <w:tcW w:w="23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10.90 %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SOFR+551</w:t>
            </w: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2,575</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2,550</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2,562</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1000" w:type="dxa"/>
            <w:vAlign w:val="bottom"/>
          </w:tcPr>
          <w:p>
            <w:pPr>
              <w:jc w:val="center"/>
              <w:ind w:left="212"/>
              <w:spacing w:after="0"/>
              <w:rPr>
                <w:sz w:val="20"/>
                <w:szCs w:val="20"/>
                <w:color w:val="auto"/>
              </w:rPr>
            </w:pPr>
            <w:r>
              <w:rPr>
                <w:rFonts w:ascii="Times New Roman" w:cs="Times New Roman" w:eastAsia="Times New Roman" w:hAnsi="Times New Roman"/>
                <w:sz w:val="10"/>
                <w:szCs w:val="10"/>
                <w:color w:val="auto"/>
                <w:w w:val="93"/>
              </w:rPr>
              <w:t>8/31/2027</w:t>
            </w:r>
          </w:p>
        </w:tc>
        <w:tc>
          <w:tcPr>
            <w:tcW w:w="23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11.24 %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SOFR+585</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10,882</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10,834</w:t>
            </w:r>
          </w:p>
        </w:tc>
        <w:tc>
          <w:tcPr>
            <w:tcW w:w="220" w:type="dxa"/>
            <w:vAlign w:val="bottom"/>
          </w:tcPr>
          <w:p>
            <w:pPr>
              <w:spacing w:after="0"/>
              <w:rPr>
                <w:sz w:val="10"/>
                <w:szCs w:val="10"/>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10,882</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100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12/21/2028</w:t>
            </w:r>
          </w:p>
        </w:tc>
        <w:tc>
          <w:tcPr>
            <w:tcW w:w="23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10.67 %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SOFR+525</w:t>
            </w: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4,382</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3,959</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3,993</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1000" w:type="dxa"/>
            <w:vAlign w:val="bottom"/>
          </w:tcPr>
          <w:p>
            <w:pPr>
              <w:jc w:val="center"/>
              <w:ind w:left="212"/>
              <w:spacing w:after="0"/>
              <w:rPr>
                <w:sz w:val="20"/>
                <w:szCs w:val="20"/>
                <w:color w:val="auto"/>
              </w:rPr>
            </w:pPr>
            <w:r>
              <w:rPr>
                <w:rFonts w:ascii="Times New Roman" w:cs="Times New Roman" w:eastAsia="Times New Roman" w:hAnsi="Times New Roman"/>
                <w:sz w:val="10"/>
                <w:szCs w:val="10"/>
                <w:color w:val="auto"/>
                <w:w w:val="93"/>
              </w:rPr>
              <w:t>11/3/2025</w:t>
            </w:r>
          </w:p>
        </w:tc>
        <w:tc>
          <w:tcPr>
            <w:tcW w:w="23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11.77 %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SOFR+640</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14,395</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14,345</w:t>
            </w:r>
          </w:p>
        </w:tc>
        <w:tc>
          <w:tcPr>
            <w:tcW w:w="220" w:type="dxa"/>
            <w:vAlign w:val="bottom"/>
          </w:tcPr>
          <w:p>
            <w:pPr>
              <w:spacing w:after="0"/>
              <w:rPr>
                <w:sz w:val="10"/>
                <w:szCs w:val="10"/>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14,222</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Duraco Specialty Tapes LLC</w:t>
            </w:r>
          </w:p>
        </w:tc>
        <w:tc>
          <w:tcPr>
            <w:tcW w:w="1000" w:type="dxa"/>
            <w:vAlign w:val="bottom"/>
            <w:shd w:val="clear" w:color="auto" w:fill="CCECFF"/>
          </w:tcPr>
          <w:p>
            <w:pPr>
              <w:jc w:val="center"/>
              <w:ind w:left="212"/>
              <w:spacing w:after="0"/>
              <w:rPr>
                <w:sz w:val="20"/>
                <w:szCs w:val="20"/>
                <w:color w:val="auto"/>
              </w:rPr>
            </w:pPr>
            <w:r>
              <w:rPr>
                <w:rFonts w:ascii="Times New Roman" w:cs="Times New Roman" w:eastAsia="Times New Roman" w:hAnsi="Times New Roman"/>
                <w:sz w:val="10"/>
                <w:szCs w:val="10"/>
                <w:color w:val="auto"/>
                <w:w w:val="93"/>
              </w:rPr>
              <w:t>6/30/2024</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Manufacturing / Basic Industries</w:t>
            </w: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11.93 %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SOFR+650</w:t>
            </w: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8,635</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8,561</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8,505</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1000" w:type="dxa"/>
            <w:vAlign w:val="bottom"/>
          </w:tcPr>
          <w:p>
            <w:pPr>
              <w:jc w:val="center"/>
              <w:ind w:left="212"/>
              <w:spacing w:after="0"/>
              <w:rPr>
                <w:sz w:val="20"/>
                <w:szCs w:val="20"/>
                <w:color w:val="auto"/>
              </w:rPr>
            </w:pPr>
            <w:r>
              <w:rPr>
                <w:rFonts w:ascii="Times New Roman" w:cs="Times New Roman" w:eastAsia="Times New Roman" w:hAnsi="Times New Roman"/>
                <w:sz w:val="10"/>
                <w:szCs w:val="10"/>
                <w:color w:val="auto"/>
                <w:w w:val="93"/>
              </w:rPr>
              <w:t>1/10/2029</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11.64 %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SOFR+625</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6,219</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6,148</w:t>
            </w:r>
          </w:p>
        </w:tc>
        <w:tc>
          <w:tcPr>
            <w:tcW w:w="220" w:type="dxa"/>
            <w:vAlign w:val="bottom"/>
          </w:tcPr>
          <w:p>
            <w:pPr>
              <w:spacing w:after="0"/>
              <w:rPr>
                <w:sz w:val="10"/>
                <w:szCs w:val="10"/>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6,125</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Electro Rent Corporation</w:t>
            </w:r>
          </w:p>
        </w:tc>
        <w:tc>
          <w:tcPr>
            <w:tcW w:w="1000" w:type="dxa"/>
            <w:vAlign w:val="bottom"/>
            <w:shd w:val="clear" w:color="auto" w:fill="CCECFF"/>
          </w:tcPr>
          <w:p>
            <w:pPr>
              <w:jc w:val="center"/>
              <w:ind w:left="212"/>
              <w:spacing w:after="0"/>
              <w:rPr>
                <w:sz w:val="20"/>
                <w:szCs w:val="20"/>
                <w:color w:val="auto"/>
              </w:rPr>
            </w:pPr>
            <w:r>
              <w:rPr>
                <w:rFonts w:ascii="Times New Roman" w:cs="Times New Roman" w:eastAsia="Times New Roman" w:hAnsi="Times New Roman"/>
                <w:sz w:val="10"/>
                <w:szCs w:val="10"/>
                <w:color w:val="auto"/>
                <w:w w:val="93"/>
              </w:rPr>
              <w:t>1/17/2024</w:t>
            </w:r>
          </w:p>
        </w:tc>
        <w:tc>
          <w:tcPr>
            <w:tcW w:w="23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Electronics</w:t>
            </w: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10.93 %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SOFR+550</w:t>
            </w: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3,712</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3,665</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3,632</w:t>
            </w:r>
          </w:p>
        </w:tc>
        <w:tc>
          <w:tcPr>
            <w:tcW w:w="0" w:type="dxa"/>
            <w:vAlign w:val="bottom"/>
          </w:tcPr>
          <w:p>
            <w:pPr>
              <w:spacing w:after="0"/>
              <w:rPr>
                <w:sz w:val="1"/>
                <w:szCs w:val="1"/>
                <w:color w:val="auto"/>
              </w:rPr>
            </w:pPr>
          </w:p>
        </w:tc>
      </w:tr>
      <w:tr>
        <w:trPr>
          <w:trHeight w:val="124"/>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ETE Intermediate II, LLC</w:t>
            </w:r>
          </w:p>
        </w:tc>
        <w:tc>
          <w:tcPr>
            <w:tcW w:w="1000" w:type="dxa"/>
            <w:vAlign w:val="bottom"/>
            <w:vMerge w:val="restart"/>
          </w:tcPr>
          <w:p>
            <w:pPr>
              <w:jc w:val="center"/>
              <w:ind w:left="212"/>
              <w:spacing w:after="0"/>
              <w:rPr>
                <w:sz w:val="20"/>
                <w:szCs w:val="20"/>
                <w:color w:val="auto"/>
              </w:rPr>
            </w:pPr>
            <w:r>
              <w:rPr>
                <w:rFonts w:ascii="Times New Roman" w:cs="Times New Roman" w:eastAsia="Times New Roman" w:hAnsi="Times New Roman"/>
                <w:sz w:val="10"/>
                <w:szCs w:val="10"/>
                <w:color w:val="auto"/>
                <w:w w:val="93"/>
              </w:rPr>
              <w:t>5/29/2029</w:t>
            </w:r>
          </w:p>
        </w:tc>
        <w:tc>
          <w:tcPr>
            <w:tcW w:w="2380" w:type="dxa"/>
            <w:vAlign w:val="bottom"/>
            <w:vMerge w:val="restart"/>
          </w:tcPr>
          <w:p>
            <w:pPr>
              <w:jc w:val="center"/>
              <w:ind w:right="1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8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11.89 %</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auto"/>
              </w:rPr>
              <w:t>SOFR+650</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12,404</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12,171</w:t>
            </w:r>
          </w:p>
        </w:tc>
        <w:tc>
          <w:tcPr>
            <w:tcW w:w="220" w:type="dxa"/>
            <w:vAlign w:val="bottom"/>
          </w:tcPr>
          <w:p>
            <w:pPr>
              <w:spacing w:after="0"/>
              <w:rPr>
                <w:sz w:val="10"/>
                <w:szCs w:val="10"/>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12,193</w:t>
            </w:r>
          </w:p>
        </w:tc>
        <w:tc>
          <w:tcPr>
            <w:tcW w:w="0" w:type="dxa"/>
            <w:vAlign w:val="bottom"/>
          </w:tcPr>
          <w:p>
            <w:pPr>
              <w:spacing w:after="0"/>
              <w:rPr>
                <w:sz w:val="1"/>
                <w:szCs w:val="1"/>
                <w:color w:val="auto"/>
              </w:rPr>
            </w:pPr>
          </w:p>
        </w:tc>
      </w:tr>
      <w:tr>
        <w:trPr>
          <w:trHeight w:val="80"/>
        </w:trPr>
        <w:tc>
          <w:tcPr>
            <w:tcW w:w="300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238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1000" w:type="dxa"/>
            <w:vAlign w:val="bottom"/>
            <w:shd w:val="clear" w:color="auto" w:fill="CCECFF"/>
          </w:tcPr>
          <w:p>
            <w:pPr>
              <w:jc w:val="center"/>
              <w:ind w:left="212"/>
              <w:spacing w:after="0"/>
              <w:rPr>
                <w:sz w:val="20"/>
                <w:szCs w:val="20"/>
                <w:color w:val="auto"/>
              </w:rPr>
            </w:pPr>
            <w:r>
              <w:rPr>
                <w:rFonts w:ascii="Times New Roman" w:cs="Times New Roman" w:eastAsia="Times New Roman" w:hAnsi="Times New Roman"/>
                <w:sz w:val="10"/>
                <w:szCs w:val="10"/>
                <w:color w:val="auto"/>
                <w:w w:val="93"/>
              </w:rPr>
              <w:t>3/15/2027</w:t>
            </w:r>
          </w:p>
        </w:tc>
        <w:tc>
          <w:tcPr>
            <w:tcW w:w="23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11.17 %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SOFR+585</w:t>
            </w: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9,750</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9,637</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9,555</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Fairbanks Morse Defense</w:t>
            </w:r>
          </w:p>
        </w:tc>
        <w:tc>
          <w:tcPr>
            <w:tcW w:w="1000" w:type="dxa"/>
            <w:vAlign w:val="bottom"/>
          </w:tcPr>
          <w:p>
            <w:pPr>
              <w:jc w:val="center"/>
              <w:ind w:left="212"/>
              <w:spacing w:after="0"/>
              <w:rPr>
                <w:sz w:val="20"/>
                <w:szCs w:val="20"/>
                <w:color w:val="auto"/>
              </w:rPr>
            </w:pPr>
            <w:r>
              <w:rPr>
                <w:rFonts w:ascii="Times New Roman" w:cs="Times New Roman" w:eastAsia="Times New Roman" w:hAnsi="Times New Roman"/>
                <w:sz w:val="10"/>
                <w:szCs w:val="10"/>
                <w:color w:val="auto"/>
                <w:w w:val="93"/>
              </w:rPr>
              <w:t>6/17/2028</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10.40 %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SOFR+475</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1,518</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1,470</w:t>
            </w:r>
          </w:p>
        </w:tc>
        <w:tc>
          <w:tcPr>
            <w:tcW w:w="220" w:type="dxa"/>
            <w:vAlign w:val="bottom"/>
          </w:tcPr>
          <w:p>
            <w:pPr>
              <w:spacing w:after="0"/>
              <w:rPr>
                <w:sz w:val="10"/>
                <w:szCs w:val="10"/>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1,506</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Five Star Buyer, Inc.</w:t>
            </w:r>
          </w:p>
        </w:tc>
        <w:tc>
          <w:tcPr>
            <w:tcW w:w="1000" w:type="dxa"/>
            <w:vAlign w:val="bottom"/>
            <w:shd w:val="clear" w:color="auto" w:fill="CCECFF"/>
          </w:tcPr>
          <w:p>
            <w:pPr>
              <w:jc w:val="center"/>
              <w:ind w:left="212"/>
              <w:spacing w:after="0"/>
              <w:rPr>
                <w:sz w:val="20"/>
                <w:szCs w:val="20"/>
                <w:color w:val="auto"/>
              </w:rPr>
            </w:pPr>
            <w:r>
              <w:rPr>
                <w:rFonts w:ascii="Times New Roman" w:cs="Times New Roman" w:eastAsia="Times New Roman" w:hAnsi="Times New Roman"/>
                <w:sz w:val="10"/>
                <w:szCs w:val="10"/>
                <w:color w:val="auto"/>
                <w:w w:val="93"/>
              </w:rPr>
              <w:t>2/23/2028</w:t>
            </w:r>
          </w:p>
        </w:tc>
        <w:tc>
          <w:tcPr>
            <w:tcW w:w="23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Hotels, Motels, Inns and Gaming</w:t>
            </w: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12.43 %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SOFR+710</w:t>
            </w: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4,373</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4,291</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4,307</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1000" w:type="dxa"/>
            <w:vAlign w:val="bottom"/>
          </w:tcPr>
          <w:p>
            <w:pPr>
              <w:jc w:val="center"/>
              <w:ind w:left="212"/>
              <w:spacing w:after="0"/>
              <w:rPr>
                <w:sz w:val="20"/>
                <w:szCs w:val="20"/>
                <w:color w:val="auto"/>
              </w:rPr>
            </w:pPr>
            <w:r>
              <w:rPr>
                <w:rFonts w:ascii="Times New Roman" w:cs="Times New Roman" w:eastAsia="Times New Roman" w:hAnsi="Times New Roman"/>
                <w:sz w:val="10"/>
                <w:szCs w:val="10"/>
                <w:color w:val="auto"/>
                <w:w w:val="93"/>
              </w:rPr>
              <w:t>3/16/2026</w:t>
            </w:r>
          </w:p>
        </w:tc>
        <w:tc>
          <w:tcPr>
            <w:tcW w:w="23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Banking, Finance, Insurance &amp; Real Estate</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11.96 %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SOFR+660</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7,027</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7,008</w:t>
            </w:r>
          </w:p>
        </w:tc>
        <w:tc>
          <w:tcPr>
            <w:tcW w:w="220" w:type="dxa"/>
            <w:vAlign w:val="bottom"/>
          </w:tcPr>
          <w:p>
            <w:pPr>
              <w:spacing w:after="0"/>
              <w:rPr>
                <w:sz w:val="10"/>
                <w:szCs w:val="10"/>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6,676</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1000" w:type="dxa"/>
            <w:vAlign w:val="bottom"/>
            <w:shd w:val="clear" w:color="auto" w:fill="CCECFF"/>
          </w:tcPr>
          <w:p>
            <w:pPr>
              <w:jc w:val="center"/>
              <w:ind w:left="212"/>
              <w:spacing w:after="0"/>
              <w:rPr>
                <w:sz w:val="20"/>
                <w:szCs w:val="20"/>
                <w:color w:val="auto"/>
              </w:rPr>
            </w:pPr>
            <w:r>
              <w:rPr>
                <w:rFonts w:ascii="Times New Roman" w:cs="Times New Roman" w:eastAsia="Times New Roman" w:hAnsi="Times New Roman"/>
                <w:sz w:val="10"/>
                <w:szCs w:val="10"/>
                <w:color w:val="auto"/>
                <w:w w:val="93"/>
              </w:rPr>
              <w:t>8/10/2027</w:t>
            </w:r>
          </w:p>
        </w:tc>
        <w:tc>
          <w:tcPr>
            <w:tcW w:w="23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9"/>
              </w:rPr>
              <w:t>Distribution</w:t>
            </w: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10.99 %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SOFR+560</w:t>
            </w: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1,954</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1,925</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1,935</w:t>
            </w:r>
          </w:p>
        </w:tc>
        <w:tc>
          <w:tcPr>
            <w:tcW w:w="0" w:type="dxa"/>
            <w:vAlign w:val="bottom"/>
          </w:tcPr>
          <w:p>
            <w:pPr>
              <w:spacing w:after="0"/>
              <w:rPr>
                <w:sz w:val="1"/>
                <w:szCs w:val="1"/>
                <w:color w:val="auto"/>
              </w:rPr>
            </w:pPr>
          </w:p>
        </w:tc>
      </w:tr>
      <w:tr>
        <w:trPr>
          <w:trHeight w:val="12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1000" w:type="dxa"/>
            <w:vAlign w:val="bottom"/>
            <w:vMerge w:val="restart"/>
          </w:tcPr>
          <w:p>
            <w:pPr>
              <w:jc w:val="center"/>
              <w:ind w:left="192"/>
              <w:spacing w:after="0"/>
              <w:rPr>
                <w:sz w:val="20"/>
                <w:szCs w:val="20"/>
                <w:color w:val="auto"/>
              </w:rPr>
            </w:pPr>
            <w:r>
              <w:rPr>
                <w:rFonts w:ascii="Times New Roman" w:cs="Times New Roman" w:eastAsia="Times New Roman" w:hAnsi="Times New Roman"/>
                <w:sz w:val="10"/>
                <w:szCs w:val="10"/>
                <w:color w:val="auto"/>
                <w:w w:val="96"/>
              </w:rPr>
              <w:t>12/31/2026</w:t>
            </w:r>
          </w:p>
        </w:tc>
        <w:tc>
          <w:tcPr>
            <w:tcW w:w="2380" w:type="dxa"/>
            <w:vAlign w:val="bottom"/>
            <w:vMerge w:val="restart"/>
          </w:tcPr>
          <w:p>
            <w:pPr>
              <w:jc w:val="center"/>
              <w:ind w:right="12"/>
              <w:spacing w:after="0"/>
              <w:rPr>
                <w:sz w:val="20"/>
                <w:szCs w:val="20"/>
                <w:color w:val="auto"/>
              </w:rPr>
            </w:pPr>
            <w:r>
              <w:rPr>
                <w:rFonts w:ascii="Times New Roman" w:cs="Times New Roman" w:eastAsia="Times New Roman" w:hAnsi="Times New Roman"/>
                <w:sz w:val="10"/>
                <w:szCs w:val="10"/>
                <w:color w:val="auto"/>
                <w:w w:val="92"/>
              </w:rPr>
              <w:t>Insurance</w:t>
            </w:r>
          </w:p>
        </w:tc>
        <w:tc>
          <w:tcPr>
            <w:tcW w:w="98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10.93 %</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auto"/>
              </w:rPr>
              <w:t>SOFR+550</w:t>
            </w:r>
          </w:p>
        </w:tc>
        <w:tc>
          <w:tcPr>
            <w:tcW w:w="52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6,423</w:t>
            </w:r>
          </w:p>
        </w:tc>
        <w:tc>
          <w:tcPr>
            <w:tcW w:w="66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6,423</w:t>
            </w:r>
          </w:p>
        </w:tc>
        <w:tc>
          <w:tcPr>
            <w:tcW w:w="220" w:type="dxa"/>
            <w:vAlign w:val="bottom"/>
          </w:tcPr>
          <w:p>
            <w:pPr>
              <w:spacing w:after="0"/>
              <w:rPr>
                <w:sz w:val="10"/>
                <w:szCs w:val="10"/>
                <w:color w:val="auto"/>
              </w:rPr>
            </w:pPr>
          </w:p>
        </w:tc>
        <w:tc>
          <w:tcPr>
            <w:tcW w:w="88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6,262</w:t>
            </w:r>
          </w:p>
        </w:tc>
        <w:tc>
          <w:tcPr>
            <w:tcW w:w="0" w:type="dxa"/>
            <w:vAlign w:val="bottom"/>
          </w:tcPr>
          <w:p>
            <w:pPr>
              <w:spacing w:after="0"/>
              <w:rPr>
                <w:sz w:val="1"/>
                <w:szCs w:val="1"/>
                <w:color w:val="auto"/>
              </w:rPr>
            </w:pPr>
          </w:p>
        </w:tc>
      </w:tr>
      <w:tr>
        <w:trPr>
          <w:trHeight w:val="56"/>
        </w:trPr>
        <w:tc>
          <w:tcPr>
            <w:tcW w:w="300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238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Holdco Sands Intermediate, LLC</w:t>
            </w:r>
          </w:p>
        </w:tc>
        <w:tc>
          <w:tcPr>
            <w:tcW w:w="100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11/23/2028</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11.32 %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SOFR+585</w:t>
            </w: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19,717</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19,388</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19,717</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100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12/17/2026</w:t>
            </w:r>
          </w:p>
        </w:tc>
        <w:tc>
          <w:tcPr>
            <w:tcW w:w="23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11.79 %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SOFR+625</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15,140</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14,974</w:t>
            </w:r>
          </w:p>
        </w:tc>
        <w:tc>
          <w:tcPr>
            <w:tcW w:w="220" w:type="dxa"/>
            <w:vAlign w:val="bottom"/>
          </w:tcPr>
          <w:p>
            <w:pPr>
              <w:spacing w:after="0"/>
              <w:rPr>
                <w:sz w:val="10"/>
                <w:szCs w:val="10"/>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15,110</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100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12/10/2024</w:t>
            </w:r>
          </w:p>
        </w:tc>
        <w:tc>
          <w:tcPr>
            <w:tcW w:w="23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11.70 %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SOFR+640</w:t>
            </w: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14,250</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14,171</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14,036</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IG Investments Holdings, LLC</w:t>
            </w:r>
          </w:p>
        </w:tc>
        <w:tc>
          <w:tcPr>
            <w:tcW w:w="1000" w:type="dxa"/>
            <w:vAlign w:val="bottom"/>
          </w:tcPr>
          <w:p>
            <w:pPr>
              <w:jc w:val="center"/>
              <w:ind w:left="212"/>
              <w:spacing w:after="0"/>
              <w:rPr>
                <w:sz w:val="20"/>
                <w:szCs w:val="20"/>
                <w:color w:val="auto"/>
              </w:rPr>
            </w:pPr>
            <w:r>
              <w:rPr>
                <w:rFonts w:ascii="Times New Roman" w:cs="Times New Roman" w:eastAsia="Times New Roman" w:hAnsi="Times New Roman"/>
                <w:sz w:val="10"/>
                <w:szCs w:val="10"/>
                <w:color w:val="auto"/>
                <w:w w:val="93"/>
              </w:rPr>
              <w:t>9/22/2028</w:t>
            </w:r>
          </w:p>
        </w:tc>
        <w:tc>
          <w:tcPr>
            <w:tcW w:w="23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11.45 %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SOFR+610</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4,428</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4,355</w:t>
            </w:r>
          </w:p>
        </w:tc>
        <w:tc>
          <w:tcPr>
            <w:tcW w:w="220" w:type="dxa"/>
            <w:vAlign w:val="bottom"/>
          </w:tcPr>
          <w:p>
            <w:pPr>
              <w:spacing w:after="0"/>
              <w:rPr>
                <w:sz w:val="10"/>
                <w:szCs w:val="10"/>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4,362</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100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11/15/2027</w:t>
            </w:r>
          </w:p>
        </w:tc>
        <w:tc>
          <w:tcPr>
            <w:tcW w:w="23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10.72 %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SOFR+615</w:t>
            </w: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5,565</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5,481</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5,482</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Inception Fertility Ventures, LLC</w:t>
            </w:r>
          </w:p>
        </w:tc>
        <w:tc>
          <w:tcPr>
            <w:tcW w:w="100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12/31/2024</w:t>
            </w:r>
          </w:p>
        </w:tc>
        <w:tc>
          <w:tcPr>
            <w:tcW w:w="23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12.50 %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SOFR+715</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19,737</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19,410</w:t>
            </w:r>
          </w:p>
        </w:tc>
        <w:tc>
          <w:tcPr>
            <w:tcW w:w="220" w:type="dxa"/>
            <w:vAlign w:val="bottom"/>
          </w:tcPr>
          <w:p>
            <w:pPr>
              <w:spacing w:after="0"/>
              <w:rPr>
                <w:sz w:val="10"/>
                <w:szCs w:val="10"/>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19,737</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100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12/28/2028</w:t>
            </w:r>
          </w:p>
        </w:tc>
        <w:tc>
          <w:tcPr>
            <w:tcW w:w="23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12.24 %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SOFR+685</w:t>
            </w: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11,053</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10,867</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11,053</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Infolinks Media Buyco, LLC</w:t>
            </w:r>
          </w:p>
        </w:tc>
        <w:tc>
          <w:tcPr>
            <w:tcW w:w="1000" w:type="dxa"/>
            <w:vAlign w:val="bottom"/>
          </w:tcPr>
          <w:p>
            <w:pPr>
              <w:jc w:val="center"/>
              <w:ind w:left="212"/>
              <w:spacing w:after="0"/>
              <w:rPr>
                <w:sz w:val="20"/>
                <w:szCs w:val="20"/>
                <w:color w:val="auto"/>
              </w:rPr>
            </w:pPr>
            <w:r>
              <w:rPr>
                <w:rFonts w:ascii="Times New Roman" w:cs="Times New Roman" w:eastAsia="Times New Roman" w:hAnsi="Times New Roman"/>
                <w:sz w:val="10"/>
                <w:szCs w:val="10"/>
                <w:color w:val="auto"/>
                <w:w w:val="93"/>
              </w:rPr>
              <w:t>11/1/2026</w:t>
            </w:r>
          </w:p>
        </w:tc>
        <w:tc>
          <w:tcPr>
            <w:tcW w:w="23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11.17 %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SOFR+585</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6,364</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6,364</w:t>
            </w:r>
          </w:p>
        </w:tc>
        <w:tc>
          <w:tcPr>
            <w:tcW w:w="220" w:type="dxa"/>
            <w:vAlign w:val="bottom"/>
          </w:tcPr>
          <w:p>
            <w:pPr>
              <w:spacing w:after="0"/>
              <w:rPr>
                <w:sz w:val="10"/>
                <w:szCs w:val="10"/>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6,364</w:t>
            </w:r>
          </w:p>
        </w:tc>
        <w:tc>
          <w:tcPr>
            <w:tcW w:w="0" w:type="dxa"/>
            <w:vAlign w:val="bottom"/>
          </w:tcPr>
          <w:p>
            <w:pPr>
              <w:spacing w:after="0"/>
              <w:rPr>
                <w:sz w:val="1"/>
                <w:szCs w:val="1"/>
                <w:color w:val="auto"/>
              </w:rPr>
            </w:pPr>
          </w:p>
        </w:tc>
      </w:tr>
      <w:tr>
        <w:trPr>
          <w:trHeight w:val="132"/>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Integrity Marketing Acquisition, LLC</w:t>
            </w:r>
          </w:p>
        </w:tc>
        <w:tc>
          <w:tcPr>
            <w:tcW w:w="1000" w:type="dxa"/>
            <w:vAlign w:val="bottom"/>
            <w:shd w:val="clear" w:color="auto" w:fill="CCECFF"/>
          </w:tcPr>
          <w:p>
            <w:pPr>
              <w:jc w:val="center"/>
              <w:ind w:left="212"/>
              <w:spacing w:after="0"/>
              <w:rPr>
                <w:sz w:val="20"/>
                <w:szCs w:val="20"/>
                <w:color w:val="auto"/>
              </w:rPr>
            </w:pPr>
            <w:r>
              <w:rPr>
                <w:rFonts w:ascii="Times New Roman" w:cs="Times New Roman" w:eastAsia="Times New Roman" w:hAnsi="Times New Roman"/>
                <w:sz w:val="10"/>
                <w:szCs w:val="10"/>
                <w:color w:val="auto"/>
                <w:w w:val="93"/>
              </w:rPr>
              <w:t>8/27/2026</w:t>
            </w:r>
          </w:p>
        </w:tc>
        <w:tc>
          <w:tcPr>
            <w:tcW w:w="23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2"/>
              </w:rPr>
              <w:t>Insurance</w:t>
            </w: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11.57 %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SOFR+615</w:t>
            </w: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19,701</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19,639</w:t>
            </w:r>
          </w:p>
        </w:tc>
        <w:tc>
          <w:tcPr>
            <w:tcW w:w="220" w:type="dxa"/>
            <w:vAlign w:val="bottom"/>
            <w:shd w:val="clear" w:color="auto" w:fill="CCECFF"/>
          </w:tcPr>
          <w:p>
            <w:pPr>
              <w:spacing w:after="0"/>
              <w:rPr>
                <w:sz w:val="11"/>
                <w:szCs w:val="11"/>
                <w:color w:val="auto"/>
              </w:rPr>
            </w:pP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19,504</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K2 Pure Solutions NoCal, L.P.</w:t>
            </w:r>
          </w:p>
        </w:tc>
        <w:tc>
          <w:tcPr>
            <w:tcW w:w="100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12/20/2023</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13.42 %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SOFR+810</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12,061</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12,040</w:t>
            </w:r>
          </w:p>
        </w:tc>
        <w:tc>
          <w:tcPr>
            <w:tcW w:w="220" w:type="dxa"/>
            <w:vAlign w:val="bottom"/>
          </w:tcPr>
          <w:p>
            <w:pPr>
              <w:spacing w:after="0"/>
              <w:rPr>
                <w:sz w:val="10"/>
                <w:szCs w:val="10"/>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12,061</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100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6"/>
              </w:rPr>
              <w:t>11/10/2027</w:t>
            </w:r>
          </w:p>
        </w:tc>
        <w:tc>
          <w:tcPr>
            <w:tcW w:w="23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11.54 %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SOFR+615</w:t>
            </w: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16,920</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16,641</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16,666</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100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10/31/2024</w:t>
            </w:r>
          </w:p>
        </w:tc>
        <w:tc>
          <w:tcPr>
            <w:tcW w:w="23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Leisure, Amusement, Motion Pictures, Entertainment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11.46 %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SOFR+625</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4,658</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4,631</w:t>
            </w:r>
          </w:p>
        </w:tc>
        <w:tc>
          <w:tcPr>
            <w:tcW w:w="220" w:type="dxa"/>
            <w:vAlign w:val="bottom"/>
          </w:tcPr>
          <w:p>
            <w:pPr>
              <w:spacing w:after="0"/>
              <w:rPr>
                <w:sz w:val="10"/>
                <w:szCs w:val="10"/>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4,603</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1000" w:type="dxa"/>
            <w:vAlign w:val="bottom"/>
            <w:shd w:val="clear" w:color="auto" w:fill="CCECFF"/>
          </w:tcPr>
          <w:p>
            <w:pPr>
              <w:jc w:val="center"/>
              <w:ind w:left="212"/>
              <w:spacing w:after="0"/>
              <w:rPr>
                <w:sz w:val="20"/>
                <w:szCs w:val="20"/>
                <w:color w:val="auto"/>
              </w:rPr>
            </w:pPr>
            <w:r>
              <w:rPr>
                <w:rFonts w:ascii="Times New Roman" w:cs="Times New Roman" w:eastAsia="Times New Roman" w:hAnsi="Times New Roman"/>
                <w:sz w:val="10"/>
                <w:szCs w:val="10"/>
                <w:color w:val="auto"/>
                <w:w w:val="93"/>
              </w:rPr>
              <w:t>2/18/2027</w:t>
            </w:r>
          </w:p>
        </w:tc>
        <w:tc>
          <w:tcPr>
            <w:tcW w:w="23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12.13 %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SOFR+700</w:t>
            </w: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19,723</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19,565</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19,526</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1000" w:type="dxa"/>
            <w:vAlign w:val="bottom"/>
          </w:tcPr>
          <w:p>
            <w:pPr>
              <w:jc w:val="center"/>
              <w:ind w:left="212"/>
              <w:spacing w:after="0"/>
              <w:rPr>
                <w:sz w:val="20"/>
                <w:szCs w:val="20"/>
                <w:color w:val="auto"/>
              </w:rPr>
            </w:pPr>
            <w:r>
              <w:rPr>
                <w:rFonts w:ascii="Times New Roman" w:cs="Times New Roman" w:eastAsia="Times New Roman" w:hAnsi="Times New Roman"/>
                <w:sz w:val="10"/>
                <w:szCs w:val="10"/>
                <w:color w:val="auto"/>
                <w:w w:val="95"/>
              </w:rPr>
              <w:t>2/3/2026</w:t>
            </w:r>
          </w:p>
        </w:tc>
        <w:tc>
          <w:tcPr>
            <w:tcW w:w="23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10.67 %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SOFR+535</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12,218</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12,056</w:t>
            </w:r>
          </w:p>
        </w:tc>
        <w:tc>
          <w:tcPr>
            <w:tcW w:w="220" w:type="dxa"/>
            <w:vAlign w:val="bottom"/>
          </w:tcPr>
          <w:p>
            <w:pPr>
              <w:spacing w:after="0"/>
              <w:rPr>
                <w:sz w:val="10"/>
                <w:szCs w:val="10"/>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12,096</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1000" w:type="dxa"/>
            <w:vAlign w:val="bottom"/>
            <w:shd w:val="clear" w:color="auto" w:fill="CCECFF"/>
          </w:tcPr>
          <w:p>
            <w:pPr>
              <w:jc w:val="center"/>
              <w:ind w:left="212"/>
              <w:spacing w:after="0"/>
              <w:rPr>
                <w:sz w:val="20"/>
                <w:szCs w:val="20"/>
                <w:color w:val="auto"/>
              </w:rPr>
            </w:pPr>
            <w:r>
              <w:rPr>
                <w:rFonts w:ascii="Times New Roman" w:cs="Times New Roman" w:eastAsia="Times New Roman" w:hAnsi="Times New Roman"/>
                <w:sz w:val="10"/>
                <w:szCs w:val="10"/>
                <w:color w:val="auto"/>
                <w:w w:val="93"/>
              </w:rPr>
              <w:t>1/31/2030</w:t>
            </w:r>
          </w:p>
        </w:tc>
        <w:tc>
          <w:tcPr>
            <w:tcW w:w="23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11.77 %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SOFR+640</w:t>
            </w: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6,318</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6,206</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6,192</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1000" w:type="dxa"/>
            <w:vAlign w:val="bottom"/>
          </w:tcPr>
          <w:p>
            <w:pPr>
              <w:jc w:val="center"/>
              <w:ind w:left="212"/>
              <w:spacing w:after="0"/>
              <w:rPr>
                <w:sz w:val="20"/>
                <w:szCs w:val="20"/>
                <w:color w:val="auto"/>
              </w:rPr>
            </w:pPr>
            <w:r>
              <w:rPr>
                <w:rFonts w:ascii="Times New Roman" w:cs="Times New Roman" w:eastAsia="Times New Roman" w:hAnsi="Times New Roman"/>
                <w:sz w:val="10"/>
                <w:szCs w:val="10"/>
                <w:color w:val="auto"/>
                <w:w w:val="95"/>
              </w:rPr>
              <w:t>4/1/2027</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10.99 %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SOFR+549</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7,601</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7,153</w:t>
            </w:r>
          </w:p>
        </w:tc>
        <w:tc>
          <w:tcPr>
            <w:tcW w:w="220" w:type="dxa"/>
            <w:vAlign w:val="bottom"/>
          </w:tcPr>
          <w:p>
            <w:pPr>
              <w:spacing w:after="0"/>
              <w:rPr>
                <w:sz w:val="10"/>
                <w:szCs w:val="10"/>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7,202</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Magenta Buyer, LLC</w:t>
            </w:r>
          </w:p>
        </w:tc>
        <w:tc>
          <w:tcPr>
            <w:tcW w:w="1000" w:type="dxa"/>
            <w:vAlign w:val="bottom"/>
            <w:shd w:val="clear" w:color="auto" w:fill="CCECFF"/>
          </w:tcPr>
          <w:p>
            <w:pPr>
              <w:jc w:val="center"/>
              <w:ind w:left="212"/>
              <w:spacing w:after="0"/>
              <w:rPr>
                <w:sz w:val="20"/>
                <w:szCs w:val="20"/>
                <w:color w:val="auto"/>
              </w:rPr>
            </w:pPr>
            <w:r>
              <w:rPr>
                <w:rFonts w:ascii="Times New Roman" w:cs="Times New Roman" w:eastAsia="Times New Roman" w:hAnsi="Times New Roman"/>
                <w:sz w:val="10"/>
                <w:szCs w:val="10"/>
                <w:color w:val="auto"/>
                <w:w w:val="93"/>
              </w:rPr>
              <w:t>7/31/2028</w:t>
            </w:r>
          </w:p>
        </w:tc>
        <w:tc>
          <w:tcPr>
            <w:tcW w:w="23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9"/>
              </w:rPr>
              <w:t>Software</w:t>
            </w: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10.63 %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SOFR+500</w:t>
            </w: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3,785</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3,550</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2,805</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w:t>
            </w:r>
          </w:p>
        </w:tc>
        <w:tc>
          <w:tcPr>
            <w:tcW w:w="1000" w:type="dxa"/>
            <w:vAlign w:val="bottom"/>
          </w:tcPr>
          <w:p>
            <w:pPr>
              <w:jc w:val="center"/>
              <w:ind w:left="212"/>
              <w:spacing w:after="0"/>
              <w:rPr>
                <w:sz w:val="20"/>
                <w:szCs w:val="20"/>
                <w:color w:val="auto"/>
              </w:rPr>
            </w:pPr>
            <w:r>
              <w:rPr>
                <w:rFonts w:ascii="Times New Roman" w:cs="Times New Roman" w:eastAsia="Times New Roman" w:hAnsi="Times New Roman"/>
                <w:sz w:val="10"/>
                <w:szCs w:val="10"/>
                <w:color w:val="auto"/>
                <w:w w:val="93"/>
              </w:rPr>
              <w:t>5/14/2026</w:t>
            </w:r>
          </w:p>
        </w:tc>
        <w:tc>
          <w:tcPr>
            <w:tcW w:w="23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Media</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11.04 %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SOFR+550</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10,885</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10,811</w:t>
            </w:r>
          </w:p>
        </w:tc>
        <w:tc>
          <w:tcPr>
            <w:tcW w:w="220" w:type="dxa"/>
            <w:vAlign w:val="bottom"/>
          </w:tcPr>
          <w:p>
            <w:pPr>
              <w:spacing w:after="0"/>
              <w:rPr>
                <w:sz w:val="10"/>
                <w:szCs w:val="10"/>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10,776</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1000" w:type="dxa"/>
            <w:vAlign w:val="bottom"/>
            <w:shd w:val="clear" w:color="auto" w:fill="CCECFF"/>
          </w:tcPr>
          <w:p>
            <w:pPr>
              <w:jc w:val="center"/>
              <w:ind w:left="212"/>
              <w:spacing w:after="0"/>
              <w:rPr>
                <w:sz w:val="20"/>
                <w:szCs w:val="20"/>
                <w:color w:val="auto"/>
              </w:rPr>
            </w:pPr>
            <w:r>
              <w:rPr>
                <w:rFonts w:ascii="Times New Roman" w:cs="Times New Roman" w:eastAsia="Times New Roman" w:hAnsi="Times New Roman"/>
                <w:sz w:val="10"/>
                <w:szCs w:val="10"/>
                <w:color w:val="auto"/>
                <w:w w:val="93"/>
              </w:rPr>
              <w:t>4/16/2027</w:t>
            </w:r>
          </w:p>
        </w:tc>
        <w:tc>
          <w:tcPr>
            <w:tcW w:w="23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11.22 %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SOFR+585</w:t>
            </w: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7,859</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7,780</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7,749</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100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6"/>
              </w:rPr>
              <w:t>12/10/2027</w:t>
            </w:r>
          </w:p>
        </w:tc>
        <w:tc>
          <w:tcPr>
            <w:tcW w:w="23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10.58 %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SOFR+550</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2,958</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2,911</w:t>
            </w:r>
          </w:p>
        </w:tc>
        <w:tc>
          <w:tcPr>
            <w:tcW w:w="220" w:type="dxa"/>
            <w:vAlign w:val="bottom"/>
          </w:tcPr>
          <w:p>
            <w:pPr>
              <w:spacing w:after="0"/>
              <w:rPr>
                <w:sz w:val="10"/>
                <w:szCs w:val="10"/>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2,884</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1000" w:type="dxa"/>
            <w:vAlign w:val="bottom"/>
            <w:shd w:val="clear" w:color="auto" w:fill="CCECFF"/>
          </w:tcPr>
          <w:p>
            <w:pPr>
              <w:jc w:val="center"/>
              <w:ind w:left="212"/>
              <w:spacing w:after="0"/>
              <w:rPr>
                <w:sz w:val="20"/>
                <w:szCs w:val="20"/>
                <w:color w:val="auto"/>
              </w:rPr>
            </w:pPr>
            <w:r>
              <w:rPr>
                <w:rFonts w:ascii="Times New Roman" w:cs="Times New Roman" w:eastAsia="Times New Roman" w:hAnsi="Times New Roman"/>
                <w:sz w:val="10"/>
                <w:szCs w:val="10"/>
                <w:color w:val="auto"/>
                <w:w w:val="93"/>
              </w:rPr>
              <w:t>10/1/2027</w:t>
            </w:r>
          </w:p>
        </w:tc>
        <w:tc>
          <w:tcPr>
            <w:tcW w:w="23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9"/>
              </w:rPr>
              <w:t>Distribution</w:t>
            </w: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11.04 %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SOFR+565</w:t>
            </w: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5,975</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5,860</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5,843</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NBH Group LLC</w:t>
            </w:r>
          </w:p>
        </w:tc>
        <w:tc>
          <w:tcPr>
            <w:tcW w:w="1000" w:type="dxa"/>
            <w:vAlign w:val="bottom"/>
          </w:tcPr>
          <w:p>
            <w:pPr>
              <w:jc w:val="center"/>
              <w:ind w:left="212"/>
              <w:spacing w:after="0"/>
              <w:rPr>
                <w:sz w:val="20"/>
                <w:szCs w:val="20"/>
                <w:color w:val="auto"/>
              </w:rPr>
            </w:pPr>
            <w:r>
              <w:rPr>
                <w:rFonts w:ascii="Times New Roman" w:cs="Times New Roman" w:eastAsia="Times New Roman" w:hAnsi="Times New Roman"/>
                <w:sz w:val="10"/>
                <w:szCs w:val="10"/>
                <w:color w:val="auto"/>
                <w:w w:val="93"/>
              </w:rPr>
              <w:t>8/19/2026</w:t>
            </w:r>
          </w:p>
        </w:tc>
        <w:tc>
          <w:tcPr>
            <w:tcW w:w="23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10.93 %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SOFR+525</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7,429</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7,369</w:t>
            </w:r>
          </w:p>
        </w:tc>
        <w:tc>
          <w:tcPr>
            <w:tcW w:w="220" w:type="dxa"/>
            <w:vAlign w:val="bottom"/>
          </w:tcPr>
          <w:p>
            <w:pPr>
              <w:spacing w:after="0"/>
              <w:rPr>
                <w:sz w:val="10"/>
                <w:szCs w:val="10"/>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7,280</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Neptune Flood Incorporated</w:t>
            </w:r>
          </w:p>
        </w:tc>
        <w:tc>
          <w:tcPr>
            <w:tcW w:w="1000" w:type="dxa"/>
            <w:vAlign w:val="bottom"/>
            <w:shd w:val="clear" w:color="auto" w:fill="CCECFF"/>
          </w:tcPr>
          <w:p>
            <w:pPr>
              <w:jc w:val="center"/>
              <w:ind w:left="212"/>
              <w:spacing w:after="0"/>
              <w:rPr>
                <w:sz w:val="20"/>
                <w:szCs w:val="20"/>
                <w:color w:val="auto"/>
              </w:rPr>
            </w:pPr>
            <w:r>
              <w:rPr>
                <w:rFonts w:ascii="Times New Roman" w:cs="Times New Roman" w:eastAsia="Times New Roman" w:hAnsi="Times New Roman"/>
                <w:sz w:val="10"/>
                <w:szCs w:val="10"/>
                <w:color w:val="auto"/>
                <w:w w:val="95"/>
              </w:rPr>
              <w:t>5/9/2029</w:t>
            </w:r>
          </w:p>
        </w:tc>
        <w:tc>
          <w:tcPr>
            <w:tcW w:w="23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11.97 %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SOFR+650</w:t>
            </w: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8,020</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7,910</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8,020</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1000" w:type="dxa"/>
            <w:vAlign w:val="bottom"/>
          </w:tcPr>
          <w:p>
            <w:pPr>
              <w:jc w:val="center"/>
              <w:ind w:left="212"/>
              <w:spacing w:after="0"/>
              <w:rPr>
                <w:sz w:val="20"/>
                <w:szCs w:val="20"/>
                <w:color w:val="auto"/>
              </w:rPr>
            </w:pPr>
            <w:r>
              <w:rPr>
                <w:rFonts w:ascii="Times New Roman" w:cs="Times New Roman" w:eastAsia="Times New Roman" w:hAnsi="Times New Roman"/>
                <w:sz w:val="10"/>
                <w:szCs w:val="10"/>
                <w:color w:val="auto"/>
                <w:w w:val="95"/>
              </w:rPr>
              <w:t>5/7/2027</w:t>
            </w:r>
          </w:p>
        </w:tc>
        <w:tc>
          <w:tcPr>
            <w:tcW w:w="23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Transportation</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11.68 %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SOFR+636</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8,470</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8,311</w:t>
            </w:r>
          </w:p>
        </w:tc>
        <w:tc>
          <w:tcPr>
            <w:tcW w:w="220" w:type="dxa"/>
            <w:vAlign w:val="bottom"/>
          </w:tcPr>
          <w:p>
            <w:pPr>
              <w:spacing w:after="0"/>
              <w:rPr>
                <w:sz w:val="10"/>
                <w:szCs w:val="10"/>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8,470</w:t>
            </w:r>
          </w:p>
        </w:tc>
        <w:tc>
          <w:tcPr>
            <w:tcW w:w="0" w:type="dxa"/>
            <w:vAlign w:val="bottom"/>
          </w:tcPr>
          <w:p>
            <w:pPr>
              <w:spacing w:after="0"/>
              <w:rPr>
                <w:sz w:val="1"/>
                <w:szCs w:val="1"/>
                <w:color w:val="auto"/>
              </w:rPr>
            </w:pPr>
          </w:p>
        </w:tc>
      </w:tr>
      <w:tr>
        <w:trPr>
          <w:trHeight w:val="18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1000" w:type="dxa"/>
            <w:vAlign w:val="bottom"/>
            <w:shd w:val="clear" w:color="auto" w:fill="CCECFF"/>
          </w:tcPr>
          <w:p>
            <w:pPr>
              <w:jc w:val="center"/>
              <w:ind w:left="212"/>
              <w:spacing w:after="0"/>
              <w:rPr>
                <w:sz w:val="20"/>
                <w:szCs w:val="20"/>
                <w:color w:val="auto"/>
              </w:rPr>
            </w:pPr>
            <w:r>
              <w:rPr>
                <w:rFonts w:ascii="Times New Roman" w:cs="Times New Roman" w:eastAsia="Times New Roman" w:hAnsi="Times New Roman"/>
                <w:sz w:val="10"/>
                <w:szCs w:val="10"/>
                <w:color w:val="auto"/>
                <w:w w:val="95"/>
              </w:rPr>
              <w:t>2/4/2028</w:t>
            </w:r>
          </w:p>
        </w:tc>
        <w:tc>
          <w:tcPr>
            <w:tcW w:w="23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8"/>
              </w:rPr>
              <w:t>Education</w:t>
            </w:r>
          </w:p>
        </w:tc>
        <w:tc>
          <w:tcPr>
            <w:tcW w:w="980" w:type="dxa"/>
            <w:vAlign w:val="bottom"/>
            <w:shd w:val="clear" w:color="auto" w:fill="CCECFF"/>
          </w:tcPr>
          <w:p>
            <w:pPr>
              <w:jc w:val="right"/>
              <w:ind w:right="72"/>
              <w:spacing w:after="0" w:line="180" w:lineRule="exact"/>
              <w:rPr>
                <w:sz w:val="20"/>
                <w:szCs w:val="20"/>
                <w:color w:val="auto"/>
              </w:rPr>
            </w:pPr>
            <w:r>
              <w:rPr>
                <w:rFonts w:ascii="Times New Roman" w:cs="Times New Roman" w:eastAsia="Times New Roman" w:hAnsi="Times New Roman"/>
                <w:sz w:val="10"/>
                <w:szCs w:val="10"/>
                <w:color w:val="auto"/>
              </w:rPr>
              <w:t xml:space="preserve">10.80 </w:t>
            </w:r>
            <w:r>
              <w:rPr>
                <w:rFonts w:ascii="Times New Roman" w:cs="Times New Roman" w:eastAsia="Times New Roman" w:hAnsi="Times New Roman"/>
                <w:sz w:val="19"/>
                <w:szCs w:val="19"/>
                <w:color w:val="auto"/>
                <w:vertAlign w:val="subscript"/>
              </w:rPr>
              <w:t>%</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SOFR+575</w:t>
            </w: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3,893</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3,794</w:t>
            </w:r>
          </w:p>
        </w:tc>
        <w:tc>
          <w:tcPr>
            <w:tcW w:w="220" w:type="dxa"/>
            <w:vAlign w:val="bottom"/>
            <w:shd w:val="clear" w:color="auto" w:fill="CCECFF"/>
          </w:tcPr>
          <w:p>
            <w:pPr>
              <w:spacing w:after="0"/>
              <w:rPr>
                <w:sz w:val="15"/>
                <w:szCs w:val="15"/>
                <w:color w:val="auto"/>
              </w:rPr>
            </w:pP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3,834</w:t>
            </w:r>
          </w:p>
        </w:tc>
        <w:tc>
          <w:tcPr>
            <w:tcW w:w="0" w:type="dxa"/>
            <w:vAlign w:val="bottom"/>
          </w:tcPr>
          <w:p>
            <w:pPr>
              <w:spacing w:after="0"/>
              <w:rPr>
                <w:sz w:val="1"/>
                <w:szCs w:val="1"/>
                <w:color w:val="auto"/>
              </w:rPr>
            </w:pPr>
          </w:p>
        </w:tc>
      </w:tr>
      <w:tr>
        <w:trPr>
          <w:trHeight w:val="12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Ox Two, LLC (New Issue)</w:t>
            </w:r>
          </w:p>
        </w:tc>
        <w:tc>
          <w:tcPr>
            <w:tcW w:w="1000" w:type="dxa"/>
            <w:vAlign w:val="bottom"/>
          </w:tcPr>
          <w:p>
            <w:pPr>
              <w:jc w:val="center"/>
              <w:ind w:left="212"/>
              <w:spacing w:after="0"/>
              <w:rPr>
                <w:sz w:val="20"/>
                <w:szCs w:val="20"/>
                <w:color w:val="auto"/>
              </w:rPr>
            </w:pPr>
            <w:r>
              <w:rPr>
                <w:rFonts w:ascii="Times New Roman" w:cs="Times New Roman" w:eastAsia="Times New Roman" w:hAnsi="Times New Roman"/>
                <w:sz w:val="10"/>
                <w:szCs w:val="10"/>
                <w:color w:val="auto"/>
                <w:w w:val="93"/>
              </w:rPr>
              <w:t>5/18/2026</w:t>
            </w:r>
          </w:p>
        </w:tc>
        <w:tc>
          <w:tcPr>
            <w:tcW w:w="23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9"/>
              </w:rPr>
              <w:t>Distribution</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12.90 %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SOFR+725</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4,378</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4,343</w:t>
            </w:r>
          </w:p>
        </w:tc>
        <w:tc>
          <w:tcPr>
            <w:tcW w:w="220" w:type="dxa"/>
            <w:vAlign w:val="bottom"/>
          </w:tcPr>
          <w:p>
            <w:pPr>
              <w:spacing w:after="0"/>
              <w:rPr>
                <w:sz w:val="10"/>
                <w:szCs w:val="10"/>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4,301</w:t>
            </w:r>
          </w:p>
        </w:tc>
        <w:tc>
          <w:tcPr>
            <w:tcW w:w="0" w:type="dxa"/>
            <w:vAlign w:val="bottom"/>
          </w:tcPr>
          <w:p>
            <w:pPr>
              <w:spacing w:after="0"/>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Pequod Merger Sub, Inc.</w:t>
            </w:r>
          </w:p>
        </w:tc>
        <w:tc>
          <w:tcPr>
            <w:tcW w:w="1000" w:type="dxa"/>
            <w:vAlign w:val="bottom"/>
            <w:shd w:val="clear" w:color="auto" w:fill="CCECFF"/>
          </w:tcPr>
          <w:p>
            <w:pPr>
              <w:jc w:val="center"/>
              <w:ind w:left="212"/>
              <w:spacing w:after="0"/>
              <w:rPr>
                <w:sz w:val="20"/>
                <w:szCs w:val="20"/>
                <w:color w:val="auto"/>
              </w:rPr>
            </w:pPr>
            <w:r>
              <w:rPr>
                <w:rFonts w:ascii="Times New Roman" w:cs="Times New Roman" w:eastAsia="Times New Roman" w:hAnsi="Times New Roman"/>
                <w:sz w:val="10"/>
                <w:szCs w:val="10"/>
                <w:color w:val="auto"/>
                <w:w w:val="93"/>
              </w:rPr>
              <w:t>12/2/2026</w:t>
            </w:r>
          </w:p>
        </w:tc>
        <w:tc>
          <w:tcPr>
            <w:tcW w:w="23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Banking, Finance, Insurance &amp; Real Estate</w:t>
            </w:r>
          </w:p>
        </w:tc>
        <w:tc>
          <w:tcPr>
            <w:tcW w:w="9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11.79 %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SOFR+640</w:t>
            </w:r>
          </w:p>
        </w:tc>
        <w:tc>
          <w:tcPr>
            <w:tcW w:w="5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11,474</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11,267</w:t>
            </w:r>
          </w:p>
        </w:tc>
        <w:tc>
          <w:tcPr>
            <w:tcW w:w="22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5" w:right="680" w:bottom="1440" w:gutter="0" w:footer="0" w:header="0"/>
        </w:sectPr>
      </w:pPr>
    </w:p>
    <w:bookmarkStart w:id="148" w:name="page149"/>
    <w:bookmarkEnd w:id="148"/>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w:t>
      </w:r>
    </w:p>
    <w:p>
      <w:pPr>
        <w:jc w:val="center"/>
        <w:ind w:right="100"/>
        <w:spacing w:after="0" w:line="234" w:lineRule="auto"/>
        <w:rPr>
          <w:sz w:val="20"/>
          <w:szCs w:val="20"/>
          <w:color w:val="auto"/>
        </w:rPr>
      </w:pPr>
      <w:r>
        <w:rPr>
          <w:rFonts w:ascii="Times New Roman" w:cs="Times New Roman" w:eastAsia="Times New Roman" w:hAnsi="Times New Roman"/>
          <w:sz w:val="16"/>
          <w:szCs w:val="16"/>
          <w:b w:val="1"/>
          <w:bCs w:val="1"/>
          <w:color w:val="auto"/>
        </w:rPr>
        <w:t>September 30, 2023</w:t>
      </w:r>
    </w:p>
    <w:p>
      <w:pPr>
        <w:spacing w:after="0" w:line="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2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92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90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920" w:type="dxa"/>
            <w:vAlign w:val="bottom"/>
          </w:tcPr>
          <w:p>
            <w:pPr>
              <w:jc w:val="center"/>
              <w:ind w:right="9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64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Par</w:t>
            </w:r>
          </w:p>
        </w:tc>
        <w:tc>
          <w:tcPr>
            <w:tcW w:w="80" w:type="dxa"/>
            <w:vAlign w:val="bottom"/>
          </w:tcPr>
          <w:p>
            <w:pPr>
              <w:spacing w:after="0"/>
              <w:rPr>
                <w:sz w:val="10"/>
                <w:szCs w:val="10"/>
                <w:color w:val="auto"/>
              </w:rPr>
            </w:pP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280"/>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90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3"/>
              </w:rPr>
              <w:t>11/9/2027</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Retail</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12.42 %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SOFR+700</w:t>
            </w: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7,930</w:t>
            </w:r>
          </w:p>
        </w:tc>
        <w:tc>
          <w:tcPr>
            <w:tcW w:w="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7,818</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7,137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PlayPower, Inc.</w:t>
            </w:r>
          </w:p>
        </w:tc>
        <w:tc>
          <w:tcPr>
            <w:tcW w:w="90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5"/>
              </w:rPr>
              <w:t>5/8/2026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1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10.92 %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SOFR+565</w:t>
            </w:r>
          </w:p>
        </w:tc>
        <w:tc>
          <w:tcPr>
            <w:tcW w:w="6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2,551</w:t>
            </w:r>
          </w:p>
        </w:tc>
        <w:tc>
          <w:tcPr>
            <w:tcW w:w="80" w:type="dxa"/>
            <w:vAlign w:val="bottom"/>
            <w:shd w:val="clear" w:color="auto" w:fill="CCECFF"/>
          </w:tcPr>
          <w:p>
            <w:pPr>
              <w:spacing w:after="0"/>
              <w:rPr>
                <w:sz w:val="10"/>
                <w:szCs w:val="10"/>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2,481</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2,436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6"/>
              </w:rPr>
              <w:t>11/19/2026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11.74 %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SOFR+635</w:t>
            </w: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3,314</w:t>
            </w:r>
          </w:p>
        </w:tc>
        <w:tc>
          <w:tcPr>
            <w:tcW w:w="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3,267</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3,264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Radius Aerospace, Inc.</w:t>
            </w:r>
          </w:p>
        </w:tc>
        <w:tc>
          <w:tcPr>
            <w:tcW w:w="90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3"/>
              </w:rPr>
              <w:t>3/31/2025</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1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11.29 %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SOFR+575</w:t>
            </w:r>
          </w:p>
        </w:tc>
        <w:tc>
          <w:tcPr>
            <w:tcW w:w="6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12,703</w:t>
            </w:r>
          </w:p>
        </w:tc>
        <w:tc>
          <w:tcPr>
            <w:tcW w:w="80" w:type="dxa"/>
            <w:vAlign w:val="bottom"/>
            <w:shd w:val="clear" w:color="auto" w:fill="CCECFF"/>
          </w:tcPr>
          <w:p>
            <w:pPr>
              <w:spacing w:after="0"/>
              <w:rPr>
                <w:sz w:val="10"/>
                <w:szCs w:val="10"/>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12,641</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12,576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6"/>
              </w:rPr>
              <w:t>12/18/2025</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11.22 %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SOFR+575</w:t>
            </w: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5,603</w:t>
            </w:r>
          </w:p>
        </w:tc>
        <w:tc>
          <w:tcPr>
            <w:tcW w:w="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5,603</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5,603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90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3"/>
              </w:rPr>
              <w:t>4/28/2028</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11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11.54 %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SOFR+615</w:t>
            </w:r>
          </w:p>
        </w:tc>
        <w:tc>
          <w:tcPr>
            <w:tcW w:w="6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5,000</w:t>
            </w: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4,937</w:t>
            </w:r>
          </w:p>
        </w:tc>
        <w:tc>
          <w:tcPr>
            <w:tcW w:w="3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4,800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90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3"/>
              </w:rPr>
              <w:t>1/29/2026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12.54 %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SOFR+700</w:t>
            </w: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9,750</w:t>
            </w:r>
          </w:p>
        </w:tc>
        <w:tc>
          <w:tcPr>
            <w:tcW w:w="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9,655</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9,458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Research Now Group, LLC and Dynata, LLC</w:t>
            </w:r>
          </w:p>
        </w:tc>
        <w:tc>
          <w:tcPr>
            <w:tcW w:w="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6"/>
              </w:rPr>
              <w:t>12/20/2024</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11.13 %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SOFR+576</w:t>
            </w:r>
          </w:p>
        </w:tc>
        <w:tc>
          <w:tcPr>
            <w:tcW w:w="6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14,389</w:t>
            </w:r>
          </w:p>
        </w:tc>
        <w:tc>
          <w:tcPr>
            <w:tcW w:w="80" w:type="dxa"/>
            <w:vAlign w:val="bottom"/>
            <w:shd w:val="clear" w:color="auto" w:fill="CCECFF"/>
          </w:tcPr>
          <w:p>
            <w:pPr>
              <w:spacing w:after="0"/>
              <w:rPr>
                <w:sz w:val="10"/>
                <w:szCs w:val="10"/>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14,332</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12,591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Riverpoint Medical, LLC</w:t>
            </w:r>
          </w:p>
        </w:tc>
        <w:tc>
          <w:tcPr>
            <w:tcW w:w="90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3"/>
              </w:rPr>
              <w:t>6/20/2025</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10.54 %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SOFR+515</w:t>
            </w: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3,176</w:t>
            </w:r>
          </w:p>
        </w:tc>
        <w:tc>
          <w:tcPr>
            <w:tcW w:w="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3,162</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Riverside Assessments, LLC</w:t>
            </w:r>
          </w:p>
        </w:tc>
        <w:tc>
          <w:tcPr>
            <w:tcW w:w="90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3"/>
              </w:rPr>
              <w:t>3/10/2025</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11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11.29 %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SOFR+575</w:t>
            </w:r>
          </w:p>
        </w:tc>
        <w:tc>
          <w:tcPr>
            <w:tcW w:w="6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10,895</w:t>
            </w:r>
          </w:p>
        </w:tc>
        <w:tc>
          <w:tcPr>
            <w:tcW w:w="80" w:type="dxa"/>
            <w:vAlign w:val="bottom"/>
            <w:shd w:val="clear" w:color="auto" w:fill="CCECFF"/>
          </w:tcPr>
          <w:p>
            <w:pPr>
              <w:spacing w:after="0"/>
              <w:rPr>
                <w:sz w:val="10"/>
                <w:szCs w:val="10"/>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10,834</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10,786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90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3"/>
              </w:rPr>
              <w:t>6/16/2029</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11.52 %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SOFR+625</w:t>
            </w: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3,749</w:t>
            </w:r>
          </w:p>
        </w:tc>
        <w:tc>
          <w:tcPr>
            <w:tcW w:w="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3,678</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3,692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90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5"/>
              </w:rPr>
              <w:t>1/3/2025</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11.59 %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SOFR+600</w:t>
            </w:r>
          </w:p>
        </w:tc>
        <w:tc>
          <w:tcPr>
            <w:tcW w:w="6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6,859</w:t>
            </w:r>
          </w:p>
        </w:tc>
        <w:tc>
          <w:tcPr>
            <w:tcW w:w="80" w:type="dxa"/>
            <w:vAlign w:val="bottom"/>
            <w:shd w:val="clear" w:color="auto" w:fill="CCECFF"/>
          </w:tcPr>
          <w:p>
            <w:pPr>
              <w:spacing w:after="0"/>
              <w:rPr>
                <w:sz w:val="10"/>
                <w:szCs w:val="10"/>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6,815</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6,825</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6"/>
              </w:rPr>
              <w:t>12/20/2024</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12.92 %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SOFR+750</w:t>
            </w: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4,872</w:t>
            </w:r>
          </w:p>
        </w:tc>
        <w:tc>
          <w:tcPr>
            <w:tcW w:w="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4,872</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4,823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90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3"/>
              </w:rPr>
              <w:t>6/13/2029</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1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11.54 %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SOFR+605</w:t>
            </w:r>
          </w:p>
        </w:tc>
        <w:tc>
          <w:tcPr>
            <w:tcW w:w="6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14,850</w:t>
            </w:r>
          </w:p>
        </w:tc>
        <w:tc>
          <w:tcPr>
            <w:tcW w:w="80" w:type="dxa"/>
            <w:vAlign w:val="bottom"/>
            <w:shd w:val="clear" w:color="auto" w:fill="CCECFF"/>
          </w:tcPr>
          <w:p>
            <w:pPr>
              <w:spacing w:after="0"/>
              <w:rPr>
                <w:sz w:val="11"/>
                <w:szCs w:val="11"/>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14,633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14,405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Signature Systems Holding Company</w:t>
            </w:r>
          </w:p>
        </w:tc>
        <w:tc>
          <w:tcPr>
            <w:tcW w:w="90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5"/>
              </w:rPr>
              <w:t>5/3/2024</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12.04 %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SOFR+650</w:t>
            </w: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11,201</w:t>
            </w:r>
          </w:p>
        </w:tc>
        <w:tc>
          <w:tcPr>
            <w:tcW w:w="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11,173</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11,201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Skopima Consilio Parent, LLC</w:t>
            </w:r>
          </w:p>
        </w:tc>
        <w:tc>
          <w:tcPr>
            <w:tcW w:w="90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3"/>
              </w:rPr>
              <w:t>5/17/2028</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9.93 %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SOFR+450</w:t>
            </w:r>
          </w:p>
        </w:tc>
        <w:tc>
          <w:tcPr>
            <w:tcW w:w="6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1,300</w:t>
            </w:r>
          </w:p>
        </w:tc>
        <w:tc>
          <w:tcPr>
            <w:tcW w:w="80" w:type="dxa"/>
            <w:vAlign w:val="bottom"/>
            <w:shd w:val="clear" w:color="auto" w:fill="CCECFF"/>
          </w:tcPr>
          <w:p>
            <w:pPr>
              <w:spacing w:after="0"/>
              <w:rPr>
                <w:sz w:val="10"/>
                <w:szCs w:val="10"/>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1,274</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1,272</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90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3"/>
              </w:rPr>
              <w:t>7/17/2025</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Communications</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12.37 %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SOFR+715</w:t>
            </w: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9,239</w:t>
            </w:r>
          </w:p>
        </w:tc>
        <w:tc>
          <w:tcPr>
            <w:tcW w:w="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9,206</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9,202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90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5"/>
              </w:rPr>
              <w:t>3/1/2028</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11.04 %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SOFR+565</w:t>
            </w:r>
          </w:p>
        </w:tc>
        <w:tc>
          <w:tcPr>
            <w:tcW w:w="6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9,607</w:t>
            </w:r>
          </w:p>
        </w:tc>
        <w:tc>
          <w:tcPr>
            <w:tcW w:w="80" w:type="dxa"/>
            <w:vAlign w:val="bottom"/>
            <w:shd w:val="clear" w:color="auto" w:fill="CCECFF"/>
          </w:tcPr>
          <w:p>
            <w:pPr>
              <w:spacing w:after="0"/>
              <w:rPr>
                <w:sz w:val="10"/>
                <w:szCs w:val="10"/>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9,352</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9,396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STV Group Incorporated</w:t>
            </w:r>
          </w:p>
        </w:tc>
        <w:tc>
          <w:tcPr>
            <w:tcW w:w="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6"/>
              </w:rPr>
              <w:t>12/11/2026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10.67 %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SOFR+535</w:t>
            </w: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12,099</w:t>
            </w:r>
          </w:p>
        </w:tc>
        <w:tc>
          <w:tcPr>
            <w:tcW w:w="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12,045</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11,857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6"/>
              </w:rPr>
              <w:t>11/24/2028</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10.43 %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SOFR+475</w:t>
            </w:r>
          </w:p>
        </w:tc>
        <w:tc>
          <w:tcPr>
            <w:tcW w:w="6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3,572</w:t>
            </w:r>
          </w:p>
        </w:tc>
        <w:tc>
          <w:tcPr>
            <w:tcW w:w="80" w:type="dxa"/>
            <w:vAlign w:val="bottom"/>
            <w:shd w:val="clear" w:color="auto" w:fill="CCECFF"/>
          </w:tcPr>
          <w:p>
            <w:pPr>
              <w:spacing w:after="0"/>
              <w:rPr>
                <w:sz w:val="10"/>
                <w:szCs w:val="10"/>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3,389</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3,559</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(f/k/a Management Consulting &amp; Research,</w:t>
            </w:r>
          </w:p>
        </w:tc>
        <w:tc>
          <w:tcPr>
            <w:tcW w:w="9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LLC)</w:t>
            </w:r>
          </w:p>
        </w:tc>
        <w:tc>
          <w:tcPr>
            <w:tcW w:w="90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3"/>
              </w:rPr>
              <w:t>8/16/2027</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11.49 %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SOFR+600</w:t>
            </w: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15,966</w:t>
            </w:r>
          </w:p>
        </w:tc>
        <w:tc>
          <w:tcPr>
            <w:tcW w:w="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15,695</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15,790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6"/>
              </w:rPr>
              <w:t>11/24/2028</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10.75 %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SOFR+515</w:t>
            </w:r>
          </w:p>
        </w:tc>
        <w:tc>
          <w:tcPr>
            <w:tcW w:w="6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2,688</w:t>
            </w:r>
          </w:p>
        </w:tc>
        <w:tc>
          <w:tcPr>
            <w:tcW w:w="80" w:type="dxa"/>
            <w:vAlign w:val="bottom"/>
            <w:shd w:val="clear" w:color="auto" w:fill="CCECFF"/>
          </w:tcPr>
          <w:p>
            <w:pPr>
              <w:spacing w:after="0"/>
              <w:rPr>
                <w:sz w:val="10"/>
                <w:szCs w:val="10"/>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2,584</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2,627</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Teneo Holdings LLC</w:t>
            </w:r>
          </w:p>
        </w:tc>
        <w:tc>
          <w:tcPr>
            <w:tcW w:w="90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3"/>
              </w:rPr>
              <w:t>7/18/2025</w:t>
            </w: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10.67 %</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auto"/>
              </w:rPr>
              <w:t>SOFR+535</w:t>
            </w:r>
          </w:p>
        </w:tc>
        <w:tc>
          <w:tcPr>
            <w:tcW w:w="64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auto"/>
              </w:rPr>
              <w:t>2,936</w:t>
            </w:r>
          </w:p>
        </w:tc>
        <w:tc>
          <w:tcPr>
            <w:tcW w:w="8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2,927</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2,931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24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208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Aegis Technologies Group, LLC</w:t>
            </w:r>
          </w:p>
        </w:tc>
        <w:tc>
          <w:tcPr>
            <w:tcW w:w="900" w:type="dxa"/>
            <w:vAlign w:val="bottom"/>
            <w:shd w:val="clear" w:color="auto" w:fill="CCECFF"/>
          </w:tcPr>
          <w:p>
            <w:pPr>
              <w:jc w:val="center"/>
              <w:ind w:right="92"/>
              <w:spacing w:after="0"/>
              <w:rPr>
                <w:sz w:val="20"/>
                <w:szCs w:val="20"/>
                <w:color w:val="auto"/>
              </w:rPr>
            </w:pPr>
            <w:r>
              <w:rPr>
                <w:rFonts w:ascii="Times New Roman" w:cs="Times New Roman" w:eastAsia="Times New Roman" w:hAnsi="Times New Roman"/>
                <w:sz w:val="10"/>
                <w:szCs w:val="10"/>
                <w:color w:val="auto"/>
                <w:w w:val="96"/>
              </w:rPr>
              <w:t>10/31/2025</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1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12.04 %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SOFR+665</w:t>
            </w:r>
          </w:p>
        </w:tc>
        <w:tc>
          <w:tcPr>
            <w:tcW w:w="6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11,095</w:t>
            </w:r>
          </w:p>
        </w:tc>
        <w:tc>
          <w:tcPr>
            <w:tcW w:w="80" w:type="dxa"/>
            <w:vAlign w:val="bottom"/>
            <w:shd w:val="clear" w:color="auto" w:fill="CCECFF"/>
          </w:tcPr>
          <w:p>
            <w:pPr>
              <w:spacing w:after="0"/>
              <w:rPr>
                <w:sz w:val="10"/>
                <w:szCs w:val="10"/>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11,008</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10,929</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90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3"/>
              </w:rPr>
              <w:t>7/27/2026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12.79 %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SOFR+740</w:t>
            </w: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7,855</w:t>
            </w:r>
          </w:p>
        </w:tc>
        <w:tc>
          <w:tcPr>
            <w:tcW w:w="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7,872</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7,823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90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3"/>
              </w:rPr>
              <w:t>8/31/2027</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11.70 %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SOFR+635</w:t>
            </w:r>
          </w:p>
        </w:tc>
        <w:tc>
          <w:tcPr>
            <w:tcW w:w="6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7,690</w:t>
            </w:r>
          </w:p>
        </w:tc>
        <w:tc>
          <w:tcPr>
            <w:tcW w:w="80" w:type="dxa"/>
            <w:vAlign w:val="bottom"/>
            <w:shd w:val="clear" w:color="auto" w:fill="CCECFF"/>
          </w:tcPr>
          <w:p>
            <w:pPr>
              <w:spacing w:after="0"/>
              <w:rPr>
                <w:sz w:val="10"/>
                <w:szCs w:val="10"/>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7,596</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7,628</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TPC Canada Parent, Inc. and TPC US Parent, LLC</w:t>
            </w:r>
          </w:p>
        </w:tc>
        <w:tc>
          <w:tcPr>
            <w:tcW w:w="900" w:type="dxa"/>
            <w:vAlign w:val="bottom"/>
          </w:tcPr>
          <w:p>
            <w:pPr>
              <w:jc w:val="center"/>
              <w:ind w:right="92"/>
              <w:spacing w:after="0"/>
              <w:rPr>
                <w:sz w:val="20"/>
                <w:szCs w:val="20"/>
                <w:color w:val="auto"/>
              </w:rPr>
            </w:pPr>
            <w:r>
              <w:rPr>
                <w:rFonts w:ascii="Times New Roman" w:cs="Times New Roman" w:eastAsia="Times New Roman" w:hAnsi="Times New Roman"/>
                <w:sz w:val="10"/>
                <w:szCs w:val="10"/>
                <w:color w:val="auto"/>
                <w:w w:val="96"/>
              </w:rPr>
              <w:t>11/24/2025</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Food</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10.68 %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SOFR+550</w:t>
            </w: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5,479</w:t>
            </w:r>
          </w:p>
        </w:tc>
        <w:tc>
          <w:tcPr>
            <w:tcW w:w="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5,378</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5,479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90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5"/>
              </w:rPr>
              <w:t>6/6/2025</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11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11.80 %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SOFR+625</w:t>
            </w:r>
          </w:p>
        </w:tc>
        <w:tc>
          <w:tcPr>
            <w:tcW w:w="6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7,177</w:t>
            </w:r>
          </w:p>
        </w:tc>
        <w:tc>
          <w:tcPr>
            <w:tcW w:w="80" w:type="dxa"/>
            <w:vAlign w:val="bottom"/>
            <w:shd w:val="clear" w:color="auto" w:fill="CCECFF"/>
          </w:tcPr>
          <w:p>
            <w:pPr>
              <w:spacing w:after="0"/>
              <w:rPr>
                <w:sz w:val="10"/>
                <w:szCs w:val="10"/>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7,161</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7,177</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90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5"/>
              </w:rPr>
              <w:t>4/3/2028</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10.90 %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SOFR+550</w:t>
            </w: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11,393</w:t>
            </w:r>
          </w:p>
        </w:tc>
        <w:tc>
          <w:tcPr>
            <w:tcW w:w="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11,285</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10,391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90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3"/>
              </w:rPr>
              <w:t>6/15/2026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1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11.79 %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SOFR+625</w:t>
            </w:r>
          </w:p>
        </w:tc>
        <w:tc>
          <w:tcPr>
            <w:tcW w:w="6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3,860</w:t>
            </w:r>
          </w:p>
        </w:tc>
        <w:tc>
          <w:tcPr>
            <w:tcW w:w="80" w:type="dxa"/>
            <w:vAlign w:val="bottom"/>
            <w:shd w:val="clear" w:color="auto" w:fill="CCECFF"/>
          </w:tcPr>
          <w:p>
            <w:pPr>
              <w:spacing w:after="0"/>
              <w:rPr>
                <w:sz w:val="10"/>
                <w:szCs w:val="10"/>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3,792</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3,780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90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3"/>
              </w:rPr>
              <w:t>2/27/2026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10.54 %</w:t>
            </w:r>
          </w:p>
        </w:tc>
        <w:tc>
          <w:tcPr>
            <w:tcW w:w="92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SOFR+515</w:t>
            </w: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11,386</w:t>
            </w:r>
          </w:p>
        </w:tc>
        <w:tc>
          <w:tcPr>
            <w:tcW w:w="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11,323</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11,272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90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5"/>
              </w:rPr>
              <w:t>3/1/2024</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12.67 %</w:t>
            </w:r>
          </w:p>
        </w:tc>
        <w:tc>
          <w:tcPr>
            <w:tcW w:w="9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SOFR+735</w:t>
            </w:r>
          </w:p>
        </w:tc>
        <w:tc>
          <w:tcPr>
            <w:tcW w:w="6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19,682</w:t>
            </w:r>
          </w:p>
        </w:tc>
        <w:tc>
          <w:tcPr>
            <w:tcW w:w="80" w:type="dxa"/>
            <w:vAlign w:val="bottom"/>
            <w:shd w:val="clear" w:color="auto" w:fill="CCECFF"/>
          </w:tcPr>
          <w:p>
            <w:pPr>
              <w:spacing w:after="0"/>
              <w:rPr>
                <w:sz w:val="10"/>
                <w:szCs w:val="10"/>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19,581</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19,042</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900" w:type="dxa"/>
            <w:vAlign w:val="bottom"/>
            <w:shd w:val="clear" w:color="auto" w:fill="CCECFF"/>
          </w:tcPr>
          <w:p>
            <w:pPr>
              <w:spacing w:after="0"/>
              <w:rPr>
                <w:sz w:val="10"/>
                <w:szCs w:val="10"/>
                <w:color w:val="auto"/>
              </w:rPr>
            </w:pPr>
          </w:p>
        </w:tc>
        <w:tc>
          <w:tcPr>
            <w:tcW w:w="2080" w:type="dxa"/>
            <w:vAlign w:val="bottom"/>
            <w:shd w:val="clear" w:color="auto" w:fill="CCECFF"/>
          </w:tcPr>
          <w:p>
            <w:pPr>
              <w:spacing w:after="0"/>
              <w:rPr>
                <w:sz w:val="10"/>
                <w:szCs w:val="10"/>
                <w:color w:val="auto"/>
              </w:rPr>
            </w:pPr>
          </w:p>
        </w:tc>
        <w:tc>
          <w:tcPr>
            <w:tcW w:w="114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98"/>
              </w:rPr>
              <w:t>810,737</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804,187</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- 783.7%</w:t>
            </w:r>
          </w:p>
        </w:tc>
        <w:tc>
          <w:tcPr>
            <w:tcW w:w="9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- 57.6%</w:t>
            </w:r>
          </w:p>
        </w:tc>
        <w:tc>
          <w:tcPr>
            <w:tcW w:w="900" w:type="dxa"/>
            <w:vAlign w:val="bottom"/>
            <w:shd w:val="clear" w:color="auto" w:fill="CCECFF"/>
          </w:tcPr>
          <w:p>
            <w:pPr>
              <w:spacing w:after="0"/>
              <w:rPr>
                <w:sz w:val="10"/>
                <w:szCs w:val="10"/>
                <w:color w:val="auto"/>
              </w:rPr>
            </w:pPr>
          </w:p>
        </w:tc>
        <w:tc>
          <w:tcPr>
            <w:tcW w:w="2080" w:type="dxa"/>
            <w:vAlign w:val="bottom"/>
            <w:shd w:val="clear" w:color="auto" w:fill="CCECFF"/>
          </w:tcPr>
          <w:p>
            <w:pPr>
              <w:spacing w:after="0"/>
              <w:rPr>
                <w:sz w:val="10"/>
                <w:szCs w:val="10"/>
                <w:color w:val="auto"/>
              </w:rPr>
            </w:pPr>
          </w:p>
        </w:tc>
        <w:tc>
          <w:tcPr>
            <w:tcW w:w="114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3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9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900" w:type="dxa"/>
            <w:vAlign w:val="bottom"/>
            <w:shd w:val="clear" w:color="auto" w:fill="CCECFF"/>
          </w:tcPr>
          <w:p>
            <w:pPr>
              <w:spacing w:after="0"/>
              <w:rPr>
                <w:sz w:val="10"/>
                <w:szCs w:val="10"/>
                <w:color w:val="auto"/>
              </w:rPr>
            </w:pPr>
          </w:p>
        </w:tc>
        <w:tc>
          <w:tcPr>
            <w:tcW w:w="2080" w:type="dxa"/>
            <w:vAlign w:val="bottom"/>
            <w:shd w:val="clear" w:color="auto" w:fill="CCECFF"/>
          </w:tcPr>
          <w:p>
            <w:pPr>
              <w:spacing w:after="0"/>
              <w:rPr>
                <w:sz w:val="10"/>
                <w:szCs w:val="10"/>
                <w:color w:val="auto"/>
              </w:rPr>
            </w:pPr>
          </w:p>
        </w:tc>
        <w:tc>
          <w:tcPr>
            <w:tcW w:w="114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Total Investments and Cash Equivalents - 841.3%</w:t>
            </w:r>
          </w:p>
        </w:tc>
        <w:tc>
          <w:tcPr>
            <w:tcW w:w="9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8"/>
              </w:rPr>
              <w:t>869,833</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863,283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240" w:type="dxa"/>
            <w:vAlign w:val="bottom"/>
            <w:shd w:val="clear" w:color="auto" w:fill="CCECFF"/>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rPr>
              <w:t>Liabilities in Excess of Other Assets — (741.3)%</w:t>
            </w:r>
          </w:p>
        </w:tc>
        <w:tc>
          <w:tcPr>
            <w:tcW w:w="900" w:type="dxa"/>
            <w:vAlign w:val="bottom"/>
            <w:shd w:val="clear" w:color="auto" w:fill="CCECFF"/>
          </w:tcPr>
          <w:p>
            <w:pPr>
              <w:spacing w:after="0"/>
              <w:rPr>
                <w:sz w:val="8"/>
                <w:szCs w:val="8"/>
                <w:color w:val="auto"/>
              </w:rPr>
            </w:pPr>
          </w:p>
        </w:tc>
        <w:tc>
          <w:tcPr>
            <w:tcW w:w="2080" w:type="dxa"/>
            <w:vAlign w:val="bottom"/>
            <w:shd w:val="clear" w:color="auto" w:fill="CCECFF"/>
          </w:tcPr>
          <w:p>
            <w:pPr>
              <w:spacing w:after="0"/>
              <w:rPr>
                <w:sz w:val="8"/>
                <w:szCs w:val="8"/>
                <w:color w:val="auto"/>
              </w:rPr>
            </w:pPr>
          </w:p>
        </w:tc>
        <w:tc>
          <w:tcPr>
            <w:tcW w:w="1140" w:type="dxa"/>
            <w:vAlign w:val="bottom"/>
            <w:shd w:val="clear" w:color="auto" w:fill="CCECFF"/>
          </w:tcPr>
          <w:p>
            <w:pPr>
              <w:spacing w:after="0"/>
              <w:rPr>
                <w:sz w:val="8"/>
                <w:szCs w:val="8"/>
                <w:color w:val="auto"/>
              </w:rPr>
            </w:pPr>
          </w:p>
        </w:tc>
        <w:tc>
          <w:tcPr>
            <w:tcW w:w="92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6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880" w:type="dxa"/>
            <w:vAlign w:val="bottom"/>
            <w:gridSpan w:val="2"/>
            <w:shd w:val="clear" w:color="auto" w:fill="CCECFF"/>
          </w:tcPr>
          <w:p>
            <w:pPr>
              <w:jc w:val="right"/>
              <w:ind w:right="60"/>
              <w:spacing w:after="0" w:line="96" w:lineRule="exact"/>
              <w:rPr>
                <w:sz w:val="20"/>
                <w:szCs w:val="20"/>
                <w:color w:val="auto"/>
              </w:rPr>
            </w:pPr>
            <w:r>
              <w:rPr>
                <w:rFonts w:ascii="Times New Roman" w:cs="Times New Roman" w:eastAsia="Times New Roman" w:hAnsi="Times New Roman"/>
                <w:sz w:val="10"/>
                <w:szCs w:val="10"/>
                <w:color w:val="auto"/>
              </w:rPr>
              <w:t>(760,665 )</w:t>
            </w:r>
          </w:p>
        </w:tc>
        <w:tc>
          <w:tcPr>
            <w:tcW w:w="0" w:type="dxa"/>
            <w:vAlign w:val="bottom"/>
          </w:tcPr>
          <w:p>
            <w:pPr>
              <w:spacing w:after="0"/>
              <w:rPr>
                <w:sz w:val="1"/>
                <w:szCs w:val="1"/>
                <w:color w:val="auto"/>
              </w:rPr>
            </w:pPr>
          </w:p>
        </w:tc>
      </w:tr>
      <w:tr>
        <w:trPr>
          <w:trHeight w:val="120"/>
        </w:trPr>
        <w:tc>
          <w:tcPr>
            <w:tcW w:w="3240" w:type="dxa"/>
            <w:vAlign w:val="bottom"/>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Members' Equity—100.0%</w:t>
            </w:r>
          </w:p>
        </w:tc>
        <w:tc>
          <w:tcPr>
            <w:tcW w:w="9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102,618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20" w:right="200" w:hanging="2"/>
        <w:spacing w:after="0" w:line="252" w:lineRule="auto"/>
        <w:tabs>
          <w:tab w:leader="none" w:pos="156" w:val="left"/>
        </w:tabs>
        <w:numPr>
          <w:ilvl w:val="0"/>
          <w:numId w:val="1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floating rate instruments that accrue interest at a predetermined spread relative to an index, typically the applicable Secured Overnight Financing Rate ("S" or "SOFR") or Prime rate (“P” or "Prime"). The spread may change based on the type of rate used. The terms in the Schedule of Investments disclose the actual interest rate in effect as of the reporting period. SOFR loans are typically indexed to a 30-day, 60-day, 90-day or 180-day SOFR rate (1M S, 2M S, 3M S, or 6M S, respectively), at the borrower’s option. All securities are subject to the SOFR or Prime rate floor where a spread is provided, unless noted. The spread provided includes PIK interest and other fee rates, if any.</w:t>
      </w:r>
    </w:p>
    <w:p>
      <w:pPr>
        <w:spacing w:after="0" w:line="1" w:lineRule="exact"/>
        <w:rPr>
          <w:rFonts w:ascii="Times New Roman" w:cs="Times New Roman" w:eastAsia="Times New Roman" w:hAnsi="Times New Roman"/>
          <w:sz w:val="10"/>
          <w:szCs w:val="10"/>
          <w:color w:val="auto"/>
        </w:rPr>
      </w:pPr>
    </w:p>
    <w:p>
      <w:pPr>
        <w:ind w:left="160" w:hanging="142"/>
        <w:spacing w:after="0"/>
        <w:tabs>
          <w:tab w:leader="none" w:pos="160" w:val="left"/>
        </w:tabs>
        <w:numPr>
          <w:ilvl w:val="0"/>
          <w:numId w:val="1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Valued based on PSLF's accounting policy .</w:t>
      </w:r>
    </w:p>
    <w:p>
      <w:pPr>
        <w:spacing w:after="0" w:line="5" w:lineRule="exact"/>
        <w:rPr>
          <w:rFonts w:ascii="Times New Roman" w:cs="Times New Roman" w:eastAsia="Times New Roman" w:hAnsi="Times New Roman"/>
          <w:sz w:val="10"/>
          <w:szCs w:val="10"/>
          <w:color w:val="auto"/>
        </w:rPr>
      </w:pPr>
    </w:p>
    <w:p>
      <w:pPr>
        <w:ind w:left="160" w:hanging="142"/>
        <w:spacing w:after="0"/>
        <w:tabs>
          <w:tab w:leader="none" w:pos="160" w:val="left"/>
        </w:tabs>
        <w:numPr>
          <w:ilvl w:val="0"/>
          <w:numId w:val="1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the purchase of a security with a delayed settlement or a revolving line of credit that is currenlty an unfunded investment. This security does not earn a basis point spread above an index while it is unfunded.</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5" w:right="680" w:bottom="1440" w:gutter="0" w:footer="0" w:header="0"/>
        </w:sectPr>
      </w:pPr>
    </w:p>
    <w:bookmarkStart w:id="149" w:name="page150"/>
    <w:bookmarkEnd w:id="149"/>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w:t>
      </w:r>
    </w:p>
    <w:p>
      <w:pPr>
        <w:jc w:val="center"/>
        <w:ind w:right="100"/>
        <w:spacing w:after="0" w:line="234" w:lineRule="auto"/>
        <w:rPr>
          <w:sz w:val="20"/>
          <w:szCs w:val="20"/>
          <w:color w:val="auto"/>
        </w:rPr>
      </w:pPr>
      <w:r>
        <w:rPr>
          <w:rFonts w:ascii="Times New Roman" w:cs="Times New Roman" w:eastAsia="Times New Roman" w:hAnsi="Times New Roman"/>
          <w:sz w:val="16"/>
          <w:szCs w:val="16"/>
          <w:b w:val="1"/>
          <w:bCs w:val="1"/>
          <w:color w:val="auto"/>
        </w:rPr>
        <w:t>September 30, 2022</w:t>
      </w:r>
    </w:p>
    <w:p>
      <w:pPr>
        <w:spacing w:after="0" w:line="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In thousands)</w:t>
      </w:r>
    </w:p>
    <w:tbl>
      <w:tblPr>
        <w:tblLayout w:type="fixed"/>
        <w:tblInd w:w="0" w:type="dxa"/>
        <w:tblCellMar>
          <w:top w:w="0" w:type="dxa"/>
          <w:left w:w="0" w:type="dxa"/>
          <w:bottom w:w="0" w:type="dxa"/>
          <w:right w:w="0" w:type="dxa"/>
        </w:tblCellMar>
      </w:tblPr>
      <w:tr>
        <w:trPr>
          <w:trHeight w:val="110"/>
        </w:trPr>
        <w:tc>
          <w:tcPr>
            <w:tcW w:w="3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80" w:type="dxa"/>
            <w:vAlign w:val="bottom"/>
          </w:tcPr>
          <w:p>
            <w:pPr>
              <w:jc w:val="center"/>
              <w:ind w:right="52"/>
              <w:spacing w:after="0" w:line="110" w:lineRule="exact"/>
              <w:rPr>
                <w:sz w:val="20"/>
                <w:szCs w:val="20"/>
                <w:color w:val="auto"/>
              </w:rPr>
            </w:pPr>
            <w:r>
              <w:rPr>
                <w:rFonts w:ascii="Times New Roman" w:cs="Times New Roman" w:eastAsia="Times New Roman" w:hAnsi="Times New Roman"/>
                <w:sz w:val="10"/>
                <w:szCs w:val="10"/>
                <w:b w:val="1"/>
                <w:bCs w:val="1"/>
                <w:color w:val="auto"/>
                <w:w w:val="96"/>
              </w:rPr>
              <w:t>Basis Point</w:t>
            </w: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120"/>
        </w:trPr>
        <w:tc>
          <w:tcPr>
            <w:tcW w:w="3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940" w:type="dxa"/>
            <w:vAlign w:val="bottom"/>
          </w:tcPr>
          <w:p>
            <w:pPr>
              <w:jc w:val="center"/>
              <w:ind w:left="152"/>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00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80" w:type="dxa"/>
            <w:vAlign w:val="bottom"/>
          </w:tcPr>
          <w:p>
            <w:pPr>
              <w:jc w:val="center"/>
              <w:ind w:right="52"/>
              <w:spacing w:after="0" w:line="120"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44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Par</w:t>
            </w:r>
          </w:p>
        </w:tc>
        <w:tc>
          <w:tcPr>
            <w:tcW w:w="260" w:type="dxa"/>
            <w:vAlign w:val="bottom"/>
          </w:tcPr>
          <w:p>
            <w:pPr>
              <w:spacing w:after="0"/>
              <w:rPr>
                <w:sz w:val="10"/>
                <w:szCs w:val="10"/>
                <w:color w:val="auto"/>
              </w:rPr>
            </w:pPr>
          </w:p>
        </w:tc>
        <w:tc>
          <w:tcPr>
            <w:tcW w:w="62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60" w:type="dxa"/>
            <w:vAlign w:val="bottom"/>
          </w:tcPr>
          <w:p>
            <w:pPr>
              <w:spacing w:after="0"/>
              <w:rPr>
                <w:sz w:val="10"/>
                <w:szCs w:val="10"/>
                <w:color w:val="auto"/>
              </w:rPr>
            </w:pPr>
          </w:p>
        </w:tc>
        <w:tc>
          <w:tcPr>
            <w:tcW w:w="700" w:type="dxa"/>
            <w:vAlign w:val="bottom"/>
          </w:tcPr>
          <w:p>
            <w:pPr>
              <w:jc w:val="right"/>
              <w:ind w:right="112"/>
              <w:spacing w:after="0" w:line="120" w:lineRule="exact"/>
              <w:rPr>
                <w:sz w:val="20"/>
                <w:szCs w:val="20"/>
                <w:color w:val="auto"/>
              </w:rPr>
            </w:pPr>
            <w:r>
              <w:rPr>
                <w:rFonts w:ascii="Times New Roman" w:cs="Times New Roman" w:eastAsia="Times New Roman" w:hAnsi="Times New Roman"/>
                <w:sz w:val="10"/>
                <w:szCs w:val="10"/>
                <w:b w:val="1"/>
                <w:bCs w:val="1"/>
                <w:color w:val="auto"/>
                <w:w w:val="90"/>
              </w:rPr>
              <w:t xml:space="preserve">Fair Value </w:t>
            </w:r>
            <w:r>
              <w:rPr>
                <w:rFonts w:ascii="Times New Roman" w:cs="Times New Roman" w:eastAsia="Times New Roman" w:hAnsi="Times New Roman"/>
                <w:sz w:val="12"/>
                <w:szCs w:val="12"/>
                <w:b w:val="1"/>
                <w:bCs w:val="1"/>
                <w:color w:val="auto"/>
                <w:w w:val="90"/>
                <w:vertAlign w:val="superscript"/>
              </w:rPr>
              <w:t>(2)</w:t>
            </w:r>
          </w:p>
        </w:tc>
      </w:tr>
      <w:tr>
        <w:trPr>
          <w:trHeight w:val="122"/>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- 864.4%</w:t>
            </w:r>
          </w:p>
        </w:tc>
        <w:tc>
          <w:tcPr>
            <w:tcW w:w="9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1"/>
        </w:trPr>
        <w:tc>
          <w:tcPr>
            <w:tcW w:w="31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4,93</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94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5"/>
              </w:rPr>
              <w:t>05/06/26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9.67 %</w:t>
            </w:r>
          </w:p>
        </w:tc>
        <w:tc>
          <w:tcPr>
            <w:tcW w:w="88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3M L+600</w:t>
            </w: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w:t>
            </w:r>
          </w:p>
        </w:tc>
        <w:tc>
          <w:tcPr>
            <w:tcW w:w="2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4,938</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4,900</w:t>
            </w:r>
          </w:p>
        </w:tc>
      </w:tr>
      <w:tr>
        <w:trPr>
          <w:trHeight w:val="121"/>
        </w:trPr>
        <w:tc>
          <w:tcPr>
            <w:tcW w:w="3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9,97</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94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5"/>
              </w:rPr>
              <w:t>11/30/26</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Containers, Packaging and Glass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8.69 %</w:t>
            </w:r>
          </w:p>
        </w:tc>
        <w:tc>
          <w:tcPr>
            <w:tcW w:w="8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3M L+800</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w:t>
            </w:r>
          </w:p>
        </w:tc>
        <w:tc>
          <w:tcPr>
            <w:tcW w:w="2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9,785</w:t>
            </w:r>
          </w:p>
        </w:tc>
        <w:tc>
          <w:tcPr>
            <w:tcW w:w="160" w:type="dxa"/>
            <w:vAlign w:val="bottom"/>
          </w:tcPr>
          <w:p>
            <w:pPr>
              <w:spacing w:after="0"/>
              <w:rPr>
                <w:sz w:val="10"/>
                <w:szCs w:val="10"/>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9,576</w:t>
            </w: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Altamira Technologies, LLC</w:t>
            </w:r>
          </w:p>
        </w:tc>
        <w:tc>
          <w:tcPr>
            <w:tcW w:w="94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5"/>
              </w:rPr>
              <w:t>07/24/25</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10.81 %</w:t>
            </w:r>
          </w:p>
        </w:tc>
        <w:tc>
          <w:tcPr>
            <w:tcW w:w="88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3M L+550</w:t>
            </w: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871</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864</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841</w:t>
            </w:r>
          </w:p>
        </w:tc>
      </w:tr>
      <w:tr>
        <w:trPr>
          <w:trHeight w:val="121"/>
        </w:trPr>
        <w:tc>
          <w:tcPr>
            <w:tcW w:w="3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19,9</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American Insulated Glass, LLC</w:t>
            </w:r>
          </w:p>
        </w:tc>
        <w:tc>
          <w:tcPr>
            <w:tcW w:w="94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5"/>
              </w:rPr>
              <w:t>12/21/23</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7.79 %</w:t>
            </w:r>
          </w:p>
        </w:tc>
        <w:tc>
          <w:tcPr>
            <w:tcW w:w="8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3M L+575</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06</w:t>
            </w:r>
          </w:p>
        </w:tc>
        <w:tc>
          <w:tcPr>
            <w:tcW w:w="2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19,868</w:t>
            </w:r>
          </w:p>
        </w:tc>
        <w:tc>
          <w:tcPr>
            <w:tcW w:w="160" w:type="dxa"/>
            <w:vAlign w:val="bottom"/>
          </w:tcPr>
          <w:p>
            <w:pPr>
              <w:spacing w:after="0"/>
              <w:rPr>
                <w:sz w:val="10"/>
                <w:szCs w:val="10"/>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19,906</w:t>
            </w:r>
          </w:p>
        </w:tc>
      </w:tr>
      <w:tr>
        <w:trPr>
          <w:trHeight w:val="121"/>
        </w:trPr>
        <w:tc>
          <w:tcPr>
            <w:tcW w:w="31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14,1</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Amsive Holding Corporation (f/k/a Vision Purchaser Corporation)</w:t>
            </w:r>
          </w:p>
        </w:tc>
        <w:tc>
          <w:tcPr>
            <w:tcW w:w="94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5"/>
              </w:rPr>
              <w:t>06/10/25</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9.95 %</w:t>
            </w:r>
          </w:p>
        </w:tc>
        <w:tc>
          <w:tcPr>
            <w:tcW w:w="88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1M L+550</w:t>
            </w: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04</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13,968</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13,892</w:t>
            </w:r>
          </w:p>
        </w:tc>
      </w:tr>
      <w:tr>
        <w:trPr>
          <w:trHeight w:val="121"/>
        </w:trPr>
        <w:tc>
          <w:tcPr>
            <w:tcW w:w="3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15,1</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94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5"/>
              </w:rPr>
              <w:t>05/23/24</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9.17 %</w:t>
            </w:r>
          </w:p>
        </w:tc>
        <w:tc>
          <w:tcPr>
            <w:tcW w:w="8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3M L+550</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68</w:t>
            </w:r>
          </w:p>
        </w:tc>
        <w:tc>
          <w:tcPr>
            <w:tcW w:w="2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15,084</w:t>
            </w:r>
          </w:p>
        </w:tc>
        <w:tc>
          <w:tcPr>
            <w:tcW w:w="160" w:type="dxa"/>
            <w:vAlign w:val="bottom"/>
          </w:tcPr>
          <w:p>
            <w:pPr>
              <w:spacing w:after="0"/>
              <w:rPr>
                <w:sz w:val="10"/>
                <w:szCs w:val="10"/>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15,168</w:t>
            </w:r>
          </w:p>
        </w:tc>
      </w:tr>
      <w:tr>
        <w:trPr>
          <w:trHeight w:val="121"/>
        </w:trPr>
        <w:tc>
          <w:tcPr>
            <w:tcW w:w="31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9,94</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Any Hour Services</w:t>
            </w:r>
          </w:p>
        </w:tc>
        <w:tc>
          <w:tcPr>
            <w:tcW w:w="94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5"/>
              </w:rPr>
              <w:t>07/21/27</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7.98 %</w:t>
            </w:r>
          </w:p>
        </w:tc>
        <w:tc>
          <w:tcPr>
            <w:tcW w:w="88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3M L+575</w:t>
            </w: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9,934</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9,743</w:t>
            </w:r>
          </w:p>
        </w:tc>
      </w:tr>
      <w:tr>
        <w:trPr>
          <w:trHeight w:val="121"/>
        </w:trPr>
        <w:tc>
          <w:tcPr>
            <w:tcW w:w="3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6,56</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w:t>
            </w:r>
          </w:p>
        </w:tc>
        <w:tc>
          <w:tcPr>
            <w:tcW w:w="94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5"/>
              </w:rPr>
              <w:t>07/31/25</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6.25 %</w:t>
            </w:r>
          </w:p>
        </w:tc>
        <w:tc>
          <w:tcPr>
            <w:tcW w:w="8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3M L+575</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w:t>
            </w:r>
          </w:p>
        </w:tc>
        <w:tc>
          <w:tcPr>
            <w:tcW w:w="2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6,502</w:t>
            </w:r>
          </w:p>
        </w:tc>
        <w:tc>
          <w:tcPr>
            <w:tcW w:w="160" w:type="dxa"/>
            <w:vAlign w:val="bottom"/>
          </w:tcPr>
          <w:p>
            <w:pPr>
              <w:spacing w:after="0"/>
              <w:rPr>
                <w:sz w:val="10"/>
                <w:szCs w:val="10"/>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6,536</w:t>
            </w:r>
          </w:p>
        </w:tc>
      </w:tr>
      <w:tr>
        <w:trPr>
          <w:trHeight w:val="120"/>
        </w:trPr>
        <w:tc>
          <w:tcPr>
            <w:tcW w:w="31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3,32</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 Term Loan B</w:t>
            </w:r>
          </w:p>
        </w:tc>
        <w:tc>
          <w:tcPr>
            <w:tcW w:w="94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5"/>
              </w:rPr>
              <w:t>07/31/25</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6.55 %</w:t>
            </w:r>
          </w:p>
        </w:tc>
        <w:tc>
          <w:tcPr>
            <w:tcW w:w="88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3M L+550</w:t>
            </w: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3,298</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3,307</w:t>
            </w:r>
          </w:p>
        </w:tc>
      </w:tr>
      <w:tr>
        <w:trPr>
          <w:trHeight w:val="121"/>
        </w:trPr>
        <w:tc>
          <w:tcPr>
            <w:tcW w:w="3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7,60</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 - Term Loan C</w:t>
            </w:r>
          </w:p>
        </w:tc>
        <w:tc>
          <w:tcPr>
            <w:tcW w:w="94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5"/>
              </w:rPr>
              <w:t>07/31/25</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6.50 %</w:t>
            </w:r>
          </w:p>
        </w:tc>
        <w:tc>
          <w:tcPr>
            <w:tcW w:w="8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3M L+600</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w:t>
            </w:r>
          </w:p>
        </w:tc>
        <w:tc>
          <w:tcPr>
            <w:tcW w:w="2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7,608</w:t>
            </w:r>
          </w:p>
        </w:tc>
        <w:tc>
          <w:tcPr>
            <w:tcW w:w="160" w:type="dxa"/>
            <w:vAlign w:val="bottom"/>
          </w:tcPr>
          <w:p>
            <w:pPr>
              <w:spacing w:after="0"/>
              <w:rPr>
                <w:sz w:val="10"/>
                <w:szCs w:val="10"/>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7,569</w:t>
            </w:r>
          </w:p>
        </w:tc>
      </w:tr>
      <w:tr>
        <w:trPr>
          <w:trHeight w:val="121"/>
        </w:trPr>
        <w:tc>
          <w:tcPr>
            <w:tcW w:w="31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8,82</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94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5"/>
              </w:rPr>
              <w:t>12/29/26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9.42 %</w:t>
            </w:r>
          </w:p>
        </w:tc>
        <w:tc>
          <w:tcPr>
            <w:tcW w:w="88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3M L+500</w:t>
            </w: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8,725</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8,602</w:t>
            </w:r>
          </w:p>
        </w:tc>
      </w:tr>
      <w:tr>
        <w:trPr>
          <w:trHeight w:val="121"/>
        </w:trPr>
        <w:tc>
          <w:tcPr>
            <w:tcW w:w="3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11,9</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94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5"/>
              </w:rPr>
              <w:t>03/07/28</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8.99 %</w:t>
            </w:r>
          </w:p>
        </w:tc>
        <w:tc>
          <w:tcPr>
            <w:tcW w:w="8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3M L+575</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40</w:t>
            </w:r>
          </w:p>
        </w:tc>
        <w:tc>
          <w:tcPr>
            <w:tcW w:w="2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11,721</w:t>
            </w:r>
          </w:p>
        </w:tc>
        <w:tc>
          <w:tcPr>
            <w:tcW w:w="160" w:type="dxa"/>
            <w:vAlign w:val="bottom"/>
          </w:tcPr>
          <w:p>
            <w:pPr>
              <w:spacing w:after="0"/>
              <w:rPr>
                <w:sz w:val="10"/>
                <w:szCs w:val="10"/>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11,701</w:t>
            </w:r>
          </w:p>
        </w:tc>
      </w:tr>
      <w:tr>
        <w:trPr>
          <w:trHeight w:val="121"/>
        </w:trPr>
        <w:tc>
          <w:tcPr>
            <w:tcW w:w="31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15,0</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94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5"/>
              </w:rPr>
              <w:t>07/01/29</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7.56 %</w:t>
            </w:r>
          </w:p>
        </w:tc>
        <w:tc>
          <w:tcPr>
            <w:tcW w:w="88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1M L+525</w:t>
            </w: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00</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14,700</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14,700</w:t>
            </w:r>
          </w:p>
        </w:tc>
      </w:tr>
      <w:tr>
        <w:trPr>
          <w:trHeight w:val="121"/>
        </w:trPr>
        <w:tc>
          <w:tcPr>
            <w:tcW w:w="3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17,9</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94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5"/>
              </w:rPr>
              <w:t>09/17/24</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8.57 %</w:t>
            </w:r>
          </w:p>
        </w:tc>
        <w:tc>
          <w:tcPr>
            <w:tcW w:w="8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3M L+600</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93</w:t>
            </w:r>
          </w:p>
        </w:tc>
        <w:tc>
          <w:tcPr>
            <w:tcW w:w="2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17,772</w:t>
            </w:r>
          </w:p>
        </w:tc>
        <w:tc>
          <w:tcPr>
            <w:tcW w:w="160" w:type="dxa"/>
            <w:vAlign w:val="bottom"/>
          </w:tcPr>
          <w:p>
            <w:pPr>
              <w:spacing w:after="0"/>
              <w:rPr>
                <w:sz w:val="10"/>
                <w:szCs w:val="10"/>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17,596</w:t>
            </w:r>
          </w:p>
        </w:tc>
      </w:tr>
      <w:tr>
        <w:trPr>
          <w:trHeight w:val="121"/>
        </w:trPr>
        <w:tc>
          <w:tcPr>
            <w:tcW w:w="31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9,93</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94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5"/>
              </w:rPr>
              <w:t>12/02/22</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7.39 %</w:t>
            </w:r>
          </w:p>
        </w:tc>
        <w:tc>
          <w:tcPr>
            <w:tcW w:w="88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3M L+600</w:t>
            </w: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9,937</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9,937</w:t>
            </w:r>
          </w:p>
        </w:tc>
      </w:tr>
      <w:tr>
        <w:trPr>
          <w:trHeight w:val="121"/>
        </w:trPr>
        <w:tc>
          <w:tcPr>
            <w:tcW w:w="3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17,4</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94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5"/>
              </w:rPr>
              <w:t>05/13/28</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9.55 %</w:t>
            </w:r>
          </w:p>
        </w:tc>
        <w:tc>
          <w:tcPr>
            <w:tcW w:w="8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3M L+600</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56</w:t>
            </w:r>
          </w:p>
        </w:tc>
        <w:tc>
          <w:tcPr>
            <w:tcW w:w="2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17,131</w:t>
            </w:r>
          </w:p>
        </w:tc>
        <w:tc>
          <w:tcPr>
            <w:tcW w:w="160" w:type="dxa"/>
            <w:vAlign w:val="bottom"/>
          </w:tcPr>
          <w:p>
            <w:pPr>
              <w:spacing w:after="0"/>
              <w:rPr>
                <w:sz w:val="10"/>
                <w:szCs w:val="10"/>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17,194</w:t>
            </w:r>
          </w:p>
        </w:tc>
      </w:tr>
      <w:tr>
        <w:trPr>
          <w:trHeight w:val="121"/>
        </w:trPr>
        <w:tc>
          <w:tcPr>
            <w:tcW w:w="31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2,98</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94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5"/>
              </w:rPr>
              <w:t>08/20/26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9.08 %</w:t>
            </w:r>
          </w:p>
        </w:tc>
        <w:tc>
          <w:tcPr>
            <w:tcW w:w="88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3M L+575</w:t>
            </w: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2,958</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2,940</w:t>
            </w:r>
          </w:p>
        </w:tc>
      </w:tr>
      <w:tr>
        <w:trPr>
          <w:trHeight w:val="121"/>
        </w:trPr>
        <w:tc>
          <w:tcPr>
            <w:tcW w:w="3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9,04</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94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5"/>
              </w:rPr>
              <w:t>07/13/27</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8.42 %</w:t>
            </w:r>
          </w:p>
        </w:tc>
        <w:tc>
          <w:tcPr>
            <w:tcW w:w="8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1M L+550</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w:t>
            </w:r>
          </w:p>
        </w:tc>
        <w:tc>
          <w:tcPr>
            <w:tcW w:w="2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9,029</w:t>
            </w:r>
          </w:p>
        </w:tc>
        <w:tc>
          <w:tcPr>
            <w:tcW w:w="160" w:type="dxa"/>
            <w:vAlign w:val="bottom"/>
          </w:tcPr>
          <w:p>
            <w:pPr>
              <w:spacing w:after="0"/>
              <w:rPr>
                <w:sz w:val="10"/>
                <w:szCs w:val="10"/>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8,819</w:t>
            </w:r>
          </w:p>
        </w:tc>
      </w:tr>
      <w:tr>
        <w:trPr>
          <w:trHeight w:val="121"/>
        </w:trPr>
        <w:tc>
          <w:tcPr>
            <w:tcW w:w="31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6,43</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94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5"/>
              </w:rPr>
              <w:t>08/31/27</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9.42 %</w:t>
            </w:r>
          </w:p>
        </w:tc>
        <w:tc>
          <w:tcPr>
            <w:tcW w:w="88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3M L+475</w:t>
            </w: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6,427</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6,339</w:t>
            </w:r>
          </w:p>
        </w:tc>
      </w:tr>
      <w:tr>
        <w:trPr>
          <w:trHeight w:val="121"/>
        </w:trPr>
        <w:tc>
          <w:tcPr>
            <w:tcW w:w="3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2,77</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44"/>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94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5"/>
              </w:rPr>
              <w:t>12/21/28</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8.37 %</w:t>
            </w:r>
          </w:p>
        </w:tc>
        <w:tc>
          <w:tcPr>
            <w:tcW w:w="8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3M L+575</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w:t>
            </w:r>
          </w:p>
        </w:tc>
        <w:tc>
          <w:tcPr>
            <w:tcW w:w="26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2,526</w:t>
            </w:r>
          </w:p>
        </w:tc>
        <w:tc>
          <w:tcPr>
            <w:tcW w:w="1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2,489</w:t>
            </w:r>
          </w:p>
        </w:tc>
      </w:tr>
      <w:tr>
        <w:trPr>
          <w:trHeight w:val="121"/>
        </w:trPr>
        <w:tc>
          <w:tcPr>
            <w:tcW w:w="31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15,1</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94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5"/>
              </w:rPr>
              <w:t>11/03/25</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8.87 %</w:t>
            </w:r>
          </w:p>
        </w:tc>
        <w:tc>
          <w:tcPr>
            <w:tcW w:w="88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3M L+600</w:t>
            </w: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42</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15,063</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14,658</w:t>
            </w:r>
          </w:p>
        </w:tc>
      </w:tr>
      <w:tr>
        <w:trPr>
          <w:trHeight w:val="121"/>
        </w:trPr>
        <w:tc>
          <w:tcPr>
            <w:tcW w:w="3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8,13</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Duraco Specialty Tapes LLC</w:t>
            </w:r>
          </w:p>
        </w:tc>
        <w:tc>
          <w:tcPr>
            <w:tcW w:w="94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5"/>
              </w:rPr>
              <w:t>06/30/24</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Manufacturing / Basic Industries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8.62 %</w:t>
            </w:r>
          </w:p>
        </w:tc>
        <w:tc>
          <w:tcPr>
            <w:tcW w:w="8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3M L+575</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w:t>
            </w:r>
          </w:p>
        </w:tc>
        <w:tc>
          <w:tcPr>
            <w:tcW w:w="2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8,008</w:t>
            </w:r>
          </w:p>
        </w:tc>
        <w:tc>
          <w:tcPr>
            <w:tcW w:w="160" w:type="dxa"/>
            <w:vAlign w:val="bottom"/>
          </w:tcPr>
          <w:p>
            <w:pPr>
              <w:spacing w:after="0"/>
              <w:rPr>
                <w:sz w:val="10"/>
                <w:szCs w:val="10"/>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7,944</w:t>
            </w:r>
          </w:p>
        </w:tc>
      </w:tr>
      <w:tr>
        <w:trPr>
          <w:trHeight w:val="121"/>
        </w:trPr>
        <w:tc>
          <w:tcPr>
            <w:tcW w:w="31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4,55</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ECL Entertainment, LLC</w:t>
            </w:r>
          </w:p>
        </w:tc>
        <w:tc>
          <w:tcPr>
            <w:tcW w:w="94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5"/>
              </w:rPr>
              <w:t>05/01/28</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Hotels, Motels, Inns and Gaming</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10.62 %</w:t>
            </w:r>
          </w:p>
        </w:tc>
        <w:tc>
          <w:tcPr>
            <w:tcW w:w="88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3M L+500</w:t>
            </w: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4,558</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4,489</w:t>
            </w:r>
          </w:p>
        </w:tc>
      </w:tr>
      <w:tr>
        <w:trPr>
          <w:trHeight w:val="120"/>
        </w:trPr>
        <w:tc>
          <w:tcPr>
            <w:tcW w:w="3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2,82</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ECM Industries, LLC</w:t>
            </w:r>
          </w:p>
        </w:tc>
        <w:tc>
          <w:tcPr>
            <w:tcW w:w="94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5"/>
              </w:rPr>
              <w:t>12/23/25</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6.32 %</w:t>
            </w:r>
          </w:p>
        </w:tc>
        <w:tc>
          <w:tcPr>
            <w:tcW w:w="8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3M L+600</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w:t>
            </w:r>
          </w:p>
        </w:tc>
        <w:tc>
          <w:tcPr>
            <w:tcW w:w="2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2,761</w:t>
            </w:r>
          </w:p>
        </w:tc>
        <w:tc>
          <w:tcPr>
            <w:tcW w:w="160" w:type="dxa"/>
            <w:vAlign w:val="bottom"/>
          </w:tcPr>
          <w:p>
            <w:pPr>
              <w:spacing w:after="0"/>
              <w:rPr>
                <w:sz w:val="10"/>
                <w:szCs w:val="10"/>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2,689</w:t>
            </w:r>
          </w:p>
        </w:tc>
      </w:tr>
      <w:tr>
        <w:trPr>
          <w:trHeight w:val="121"/>
        </w:trPr>
        <w:tc>
          <w:tcPr>
            <w:tcW w:w="31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9,95</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94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5"/>
              </w:rPr>
              <w:t>03/15/27</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8.87 %</w:t>
            </w:r>
          </w:p>
        </w:tc>
        <w:tc>
          <w:tcPr>
            <w:tcW w:w="88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1M L+575</w:t>
            </w: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0</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9,817</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9,726</w:t>
            </w: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Fairbanks Morse Defense</w:t>
            </w:r>
          </w:p>
        </w:tc>
        <w:tc>
          <w:tcPr>
            <w:tcW w:w="94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5"/>
              </w:rPr>
              <w:t>06/17/28</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7.63 %</w:t>
            </w:r>
          </w:p>
        </w:tc>
        <w:tc>
          <w:tcPr>
            <w:tcW w:w="8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6M L+475</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800</w:t>
            </w:r>
          </w:p>
        </w:tc>
        <w:tc>
          <w:tcPr>
            <w:tcW w:w="2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754</w:t>
            </w:r>
          </w:p>
        </w:tc>
        <w:tc>
          <w:tcPr>
            <w:tcW w:w="160" w:type="dxa"/>
            <w:vAlign w:val="bottom"/>
          </w:tcPr>
          <w:p>
            <w:pPr>
              <w:spacing w:after="0"/>
              <w:rPr>
                <w:sz w:val="10"/>
                <w:szCs w:val="10"/>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740</w:t>
            </w:r>
          </w:p>
        </w:tc>
      </w:tr>
      <w:tr>
        <w:trPr>
          <w:trHeight w:val="121"/>
        </w:trPr>
        <w:tc>
          <w:tcPr>
            <w:tcW w:w="31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7,34</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94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5"/>
              </w:rPr>
              <w:t>03/16/26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Banking, Finance, Insurance &amp; Real Estate</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8.74 %</w:t>
            </w:r>
          </w:p>
        </w:tc>
        <w:tc>
          <w:tcPr>
            <w:tcW w:w="88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3M L+600</w:t>
            </w: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7,313</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7,013</w:t>
            </w:r>
          </w:p>
        </w:tc>
      </w:tr>
      <w:tr>
        <w:trPr>
          <w:trHeight w:val="120"/>
        </w:trPr>
        <w:tc>
          <w:tcPr>
            <w:tcW w:w="3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1,97</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94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5"/>
              </w:rPr>
              <w:t>08/10/27</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8.00 %</w:t>
            </w:r>
          </w:p>
        </w:tc>
        <w:tc>
          <w:tcPr>
            <w:tcW w:w="8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3M L+550</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w:t>
            </w:r>
          </w:p>
        </w:tc>
        <w:tc>
          <w:tcPr>
            <w:tcW w:w="2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1,939</w:t>
            </w:r>
          </w:p>
        </w:tc>
        <w:tc>
          <w:tcPr>
            <w:tcW w:w="160" w:type="dxa"/>
            <w:vAlign w:val="bottom"/>
          </w:tcPr>
          <w:p>
            <w:pPr>
              <w:spacing w:after="0"/>
              <w:rPr>
                <w:sz w:val="10"/>
                <w:szCs w:val="10"/>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1,895</w:t>
            </w:r>
          </w:p>
        </w:tc>
      </w:tr>
      <w:tr>
        <w:trPr>
          <w:trHeight w:val="121"/>
        </w:trPr>
        <w:tc>
          <w:tcPr>
            <w:tcW w:w="31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6,83</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94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5"/>
              </w:rPr>
              <w:t>12/31/26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8.67 %</w:t>
            </w:r>
          </w:p>
        </w:tc>
        <w:tc>
          <w:tcPr>
            <w:tcW w:w="88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1M L+575</w:t>
            </w: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6,835</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6,733</w:t>
            </w:r>
          </w:p>
        </w:tc>
      </w:tr>
      <w:tr>
        <w:trPr>
          <w:trHeight w:val="121"/>
        </w:trPr>
        <w:tc>
          <w:tcPr>
            <w:tcW w:w="3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19,9</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Holdco Sands Intermediate, LLC</w:t>
            </w:r>
          </w:p>
        </w:tc>
        <w:tc>
          <w:tcPr>
            <w:tcW w:w="94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5"/>
              </w:rPr>
              <w:t>11/23/28</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10.17 %</w:t>
            </w:r>
          </w:p>
        </w:tc>
        <w:tc>
          <w:tcPr>
            <w:tcW w:w="8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1M L+800</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w:t>
            </w:r>
          </w:p>
        </w:tc>
        <w:tc>
          <w:tcPr>
            <w:tcW w:w="2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19,535</w:t>
            </w:r>
          </w:p>
        </w:tc>
        <w:tc>
          <w:tcPr>
            <w:tcW w:w="160" w:type="dxa"/>
            <w:vAlign w:val="bottom"/>
          </w:tcPr>
          <w:p>
            <w:pPr>
              <w:spacing w:after="0"/>
              <w:rPr>
                <w:sz w:val="10"/>
                <w:szCs w:val="10"/>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19,516</w:t>
            </w:r>
          </w:p>
        </w:tc>
      </w:tr>
      <w:tr>
        <w:trPr>
          <w:trHeight w:val="121"/>
        </w:trPr>
        <w:tc>
          <w:tcPr>
            <w:tcW w:w="31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15,2</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94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5"/>
              </w:rPr>
              <w:t>12/17/26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9.67 %</w:t>
            </w:r>
          </w:p>
        </w:tc>
        <w:tc>
          <w:tcPr>
            <w:tcW w:w="88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3M L+600</w:t>
            </w: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55</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15,045</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14,721</w:t>
            </w:r>
          </w:p>
        </w:tc>
      </w:tr>
      <w:tr>
        <w:trPr>
          <w:trHeight w:val="121"/>
        </w:trPr>
        <w:tc>
          <w:tcPr>
            <w:tcW w:w="3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14,4</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94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5"/>
              </w:rPr>
              <w:t>12/10/24</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6.00 %</w:t>
            </w:r>
          </w:p>
        </w:tc>
        <w:tc>
          <w:tcPr>
            <w:tcW w:w="8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3M L+700</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38</w:t>
            </w:r>
          </w:p>
        </w:tc>
        <w:tc>
          <w:tcPr>
            <w:tcW w:w="2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14,303</w:t>
            </w:r>
          </w:p>
        </w:tc>
        <w:tc>
          <w:tcPr>
            <w:tcW w:w="160" w:type="dxa"/>
            <w:vAlign w:val="bottom"/>
          </w:tcPr>
          <w:p>
            <w:pPr>
              <w:spacing w:after="0"/>
              <w:rPr>
                <w:sz w:val="10"/>
                <w:szCs w:val="10"/>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14,257</w:t>
            </w:r>
          </w:p>
        </w:tc>
      </w:tr>
      <w:tr>
        <w:trPr>
          <w:trHeight w:val="121"/>
        </w:trPr>
        <w:tc>
          <w:tcPr>
            <w:tcW w:w="31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2,33</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Icon Partners III, LP</w:t>
            </w:r>
          </w:p>
        </w:tc>
        <w:tc>
          <w:tcPr>
            <w:tcW w:w="94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5"/>
              </w:rPr>
              <w:t>05/11/28</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6.87 %</w:t>
            </w:r>
          </w:p>
        </w:tc>
        <w:tc>
          <w:tcPr>
            <w:tcW w:w="88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3M L+475</w:t>
            </w: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2,001</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1,705</w:t>
            </w:r>
          </w:p>
        </w:tc>
      </w:tr>
      <w:tr>
        <w:trPr>
          <w:trHeight w:val="121"/>
        </w:trPr>
        <w:tc>
          <w:tcPr>
            <w:tcW w:w="3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17,4</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IDC Infusion Services, Inc.</w:t>
            </w:r>
          </w:p>
        </w:tc>
        <w:tc>
          <w:tcPr>
            <w:tcW w:w="94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5"/>
              </w:rPr>
              <w:t>12/30/26</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10.20 %</w:t>
            </w:r>
          </w:p>
        </w:tc>
        <w:tc>
          <w:tcPr>
            <w:tcW w:w="8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3M L+750</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00</w:t>
            </w:r>
          </w:p>
        </w:tc>
        <w:tc>
          <w:tcPr>
            <w:tcW w:w="2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17,154</w:t>
            </w:r>
          </w:p>
        </w:tc>
        <w:tc>
          <w:tcPr>
            <w:tcW w:w="160" w:type="dxa"/>
            <w:vAlign w:val="bottom"/>
          </w:tcPr>
          <w:p>
            <w:pPr>
              <w:spacing w:after="0"/>
              <w:rPr>
                <w:sz w:val="10"/>
                <w:szCs w:val="10"/>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16,617</w:t>
            </w:r>
          </w:p>
        </w:tc>
      </w:tr>
      <w:tr>
        <w:trPr>
          <w:trHeight w:val="120"/>
        </w:trPr>
        <w:tc>
          <w:tcPr>
            <w:tcW w:w="31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4,47</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IG Investments Holdings, LLC</w:t>
            </w:r>
          </w:p>
        </w:tc>
        <w:tc>
          <w:tcPr>
            <w:tcW w:w="94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5"/>
              </w:rPr>
              <w:t>09/22/28</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9.45 %</w:t>
            </w:r>
          </w:p>
        </w:tc>
        <w:tc>
          <w:tcPr>
            <w:tcW w:w="88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1M L+575</w:t>
            </w: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4,388</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4,428</w:t>
            </w:r>
          </w:p>
        </w:tc>
      </w:tr>
      <w:tr>
        <w:trPr>
          <w:trHeight w:val="121"/>
        </w:trPr>
        <w:tc>
          <w:tcPr>
            <w:tcW w:w="3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5,63</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94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5"/>
              </w:rPr>
              <w:t>11/15/27</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6.91 %</w:t>
            </w:r>
          </w:p>
        </w:tc>
        <w:tc>
          <w:tcPr>
            <w:tcW w:w="8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3M L+625</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w:t>
            </w:r>
          </w:p>
        </w:tc>
        <w:tc>
          <w:tcPr>
            <w:tcW w:w="2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5,534</w:t>
            </w:r>
          </w:p>
        </w:tc>
        <w:tc>
          <w:tcPr>
            <w:tcW w:w="160" w:type="dxa"/>
            <w:vAlign w:val="bottom"/>
          </w:tcPr>
          <w:p>
            <w:pPr>
              <w:spacing w:after="0"/>
              <w:rPr>
                <w:sz w:val="10"/>
                <w:szCs w:val="10"/>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5,495</w:t>
            </w:r>
          </w:p>
        </w:tc>
      </w:tr>
      <w:tr>
        <w:trPr>
          <w:trHeight w:val="121"/>
        </w:trPr>
        <w:tc>
          <w:tcPr>
            <w:tcW w:w="31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20,0</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Inception Fertility Ventures, LLC</w:t>
            </w:r>
          </w:p>
        </w:tc>
        <w:tc>
          <w:tcPr>
            <w:tcW w:w="94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5"/>
              </w:rPr>
              <w:t>12/07/23</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9.96 %</w:t>
            </w:r>
          </w:p>
        </w:tc>
        <w:tc>
          <w:tcPr>
            <w:tcW w:w="88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3M L+550</w:t>
            </w: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00</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19,545</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19,800</w:t>
            </w:r>
          </w:p>
        </w:tc>
      </w:tr>
      <w:tr>
        <w:trPr>
          <w:trHeight w:val="121"/>
        </w:trPr>
        <w:tc>
          <w:tcPr>
            <w:tcW w:w="3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6,42</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Infolinks Media Buyco, LLC</w:t>
            </w:r>
          </w:p>
        </w:tc>
        <w:tc>
          <w:tcPr>
            <w:tcW w:w="94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5"/>
              </w:rPr>
              <w:t>11/01/26</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9.42 %</w:t>
            </w:r>
          </w:p>
        </w:tc>
        <w:tc>
          <w:tcPr>
            <w:tcW w:w="8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1M L+550</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w:t>
            </w:r>
          </w:p>
        </w:tc>
        <w:tc>
          <w:tcPr>
            <w:tcW w:w="2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6,428</w:t>
            </w:r>
          </w:p>
        </w:tc>
        <w:tc>
          <w:tcPr>
            <w:tcW w:w="160" w:type="dxa"/>
            <w:vAlign w:val="bottom"/>
          </w:tcPr>
          <w:p>
            <w:pPr>
              <w:spacing w:after="0"/>
              <w:rPr>
                <w:sz w:val="10"/>
                <w:szCs w:val="10"/>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6,428</w:t>
            </w:r>
          </w:p>
        </w:tc>
      </w:tr>
      <w:tr>
        <w:trPr>
          <w:trHeight w:val="120"/>
        </w:trPr>
        <w:tc>
          <w:tcPr>
            <w:tcW w:w="31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19,9</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Integrity Marketing Acquisition, LLC</w:t>
            </w:r>
          </w:p>
        </w:tc>
        <w:tc>
          <w:tcPr>
            <w:tcW w:w="94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5"/>
              </w:rPr>
              <w:t>08/27/25</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9.21 %</w:t>
            </w:r>
          </w:p>
        </w:tc>
        <w:tc>
          <w:tcPr>
            <w:tcW w:w="88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3M L+575</w:t>
            </w: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54</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19,866</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19,754</w:t>
            </w:r>
          </w:p>
        </w:tc>
      </w:tr>
      <w:tr>
        <w:trPr>
          <w:trHeight w:val="121"/>
        </w:trPr>
        <w:tc>
          <w:tcPr>
            <w:tcW w:w="3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14,4</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K2 Pure Solutions NoCal, L.P.</w:t>
            </w:r>
          </w:p>
        </w:tc>
        <w:tc>
          <w:tcPr>
            <w:tcW w:w="94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5"/>
              </w:rPr>
              <w:t>12/20/23</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11.12 %</w:t>
            </w:r>
          </w:p>
        </w:tc>
        <w:tc>
          <w:tcPr>
            <w:tcW w:w="8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3M L+550</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38</w:t>
            </w:r>
          </w:p>
        </w:tc>
        <w:tc>
          <w:tcPr>
            <w:tcW w:w="2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14,316</w:t>
            </w:r>
          </w:p>
        </w:tc>
        <w:tc>
          <w:tcPr>
            <w:tcW w:w="160" w:type="dxa"/>
            <w:vAlign w:val="bottom"/>
          </w:tcPr>
          <w:p>
            <w:pPr>
              <w:spacing w:after="0"/>
              <w:rPr>
                <w:sz w:val="10"/>
                <w:szCs w:val="10"/>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14,438</w:t>
            </w:r>
          </w:p>
        </w:tc>
      </w:tr>
      <w:tr>
        <w:trPr>
          <w:trHeight w:val="121"/>
        </w:trPr>
        <w:tc>
          <w:tcPr>
            <w:tcW w:w="31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2,13</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94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5"/>
              </w:rPr>
              <w:t>10/31/24</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Leisure, Amusement, Motion Pictures, Entertainment</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9.95 %</w:t>
            </w:r>
          </w:p>
        </w:tc>
        <w:tc>
          <w:tcPr>
            <w:tcW w:w="88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3M L+500</w:t>
            </w: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2,129</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2,088</w:t>
            </w:r>
          </w:p>
        </w:tc>
      </w:tr>
      <w:tr>
        <w:trPr>
          <w:trHeight w:val="121"/>
        </w:trPr>
        <w:tc>
          <w:tcPr>
            <w:tcW w:w="3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19,9</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94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5"/>
              </w:rPr>
              <w:t>02/18/27</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11.17 %</w:t>
            </w:r>
          </w:p>
        </w:tc>
        <w:tc>
          <w:tcPr>
            <w:tcW w:w="8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1M L+650</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w:t>
            </w:r>
          </w:p>
        </w:tc>
        <w:tc>
          <w:tcPr>
            <w:tcW w:w="2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19,708</w:t>
            </w:r>
          </w:p>
        </w:tc>
        <w:tc>
          <w:tcPr>
            <w:tcW w:w="160" w:type="dxa"/>
            <w:vAlign w:val="bottom"/>
          </w:tcPr>
          <w:p>
            <w:pPr>
              <w:spacing w:after="0"/>
              <w:rPr>
                <w:sz w:val="10"/>
                <w:szCs w:val="10"/>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19,526</w:t>
            </w:r>
          </w:p>
        </w:tc>
      </w:tr>
      <w:tr>
        <w:trPr>
          <w:trHeight w:val="121"/>
        </w:trPr>
        <w:tc>
          <w:tcPr>
            <w:tcW w:w="31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12,3</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94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5"/>
              </w:rPr>
              <w:t>02/03/26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8.87 %</w:t>
            </w:r>
          </w:p>
        </w:tc>
        <w:tc>
          <w:tcPr>
            <w:tcW w:w="88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3M L+475</w:t>
            </w: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45</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12,119</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11,944</w:t>
            </w:r>
          </w:p>
        </w:tc>
      </w:tr>
      <w:tr>
        <w:trPr>
          <w:trHeight w:val="121"/>
        </w:trPr>
        <w:tc>
          <w:tcPr>
            <w:tcW w:w="3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5,57</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94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5"/>
              </w:rPr>
              <w:t>04/01/27</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9.17 %</w:t>
            </w:r>
          </w:p>
        </w:tc>
        <w:tc>
          <w:tcPr>
            <w:tcW w:w="8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3M L+550</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0</w:t>
            </w:r>
          </w:p>
        </w:tc>
        <w:tc>
          <w:tcPr>
            <w:tcW w:w="2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5,128</w:t>
            </w:r>
          </w:p>
        </w:tc>
        <w:tc>
          <w:tcPr>
            <w:tcW w:w="160" w:type="dxa"/>
            <w:vAlign w:val="bottom"/>
          </w:tcPr>
          <w:p>
            <w:pPr>
              <w:spacing w:after="0"/>
              <w:rPr>
                <w:sz w:val="10"/>
                <w:szCs w:val="10"/>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5,069</w:t>
            </w:r>
          </w:p>
        </w:tc>
      </w:tr>
      <w:tr>
        <w:trPr>
          <w:trHeight w:val="121"/>
        </w:trPr>
        <w:tc>
          <w:tcPr>
            <w:tcW w:w="31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3,14</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Magenta Buyer, LLC</w:t>
            </w:r>
          </w:p>
        </w:tc>
        <w:tc>
          <w:tcPr>
            <w:tcW w:w="94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5"/>
              </w:rPr>
              <w:t>07/31/28</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7.87 %</w:t>
            </w:r>
          </w:p>
        </w:tc>
        <w:tc>
          <w:tcPr>
            <w:tcW w:w="88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3M L+500</w:t>
            </w: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0</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2,946</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2,826</w:t>
            </w:r>
          </w:p>
        </w:tc>
      </w:tr>
      <w:tr>
        <w:trPr>
          <w:trHeight w:val="121"/>
        </w:trPr>
        <w:tc>
          <w:tcPr>
            <w:tcW w:w="3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7,92</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w:t>
            </w:r>
          </w:p>
        </w:tc>
        <w:tc>
          <w:tcPr>
            <w:tcW w:w="94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5"/>
              </w:rPr>
              <w:t>05/14/26</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8.62 %</w:t>
            </w:r>
          </w:p>
        </w:tc>
        <w:tc>
          <w:tcPr>
            <w:tcW w:w="8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1M L+565</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0</w:t>
            </w:r>
          </w:p>
        </w:tc>
        <w:tc>
          <w:tcPr>
            <w:tcW w:w="2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7,861</w:t>
            </w:r>
          </w:p>
        </w:tc>
        <w:tc>
          <w:tcPr>
            <w:tcW w:w="160" w:type="dxa"/>
            <w:vAlign w:val="bottom"/>
          </w:tcPr>
          <w:p>
            <w:pPr>
              <w:spacing w:after="0"/>
              <w:rPr>
                <w:sz w:val="10"/>
                <w:szCs w:val="10"/>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7,880</w:t>
            </w:r>
          </w:p>
        </w:tc>
      </w:tr>
      <w:tr>
        <w:trPr>
          <w:trHeight w:val="121"/>
        </w:trPr>
        <w:tc>
          <w:tcPr>
            <w:tcW w:w="31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7,40</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94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5"/>
              </w:rPr>
              <w:t>04/16/27</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8.56 %</w:t>
            </w:r>
          </w:p>
        </w:tc>
        <w:tc>
          <w:tcPr>
            <w:tcW w:w="88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3M L+575</w:t>
            </w: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7,326</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7,332</w:t>
            </w:r>
          </w:p>
        </w:tc>
      </w:tr>
      <w:tr>
        <w:trPr>
          <w:trHeight w:val="121"/>
        </w:trPr>
        <w:tc>
          <w:tcPr>
            <w:tcW w:w="3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2,98</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94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5"/>
              </w:rPr>
              <w:t>12/10/27</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9.17 %</w:t>
            </w:r>
          </w:p>
        </w:tc>
        <w:tc>
          <w:tcPr>
            <w:tcW w:w="8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3M L+575</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w:t>
            </w:r>
          </w:p>
        </w:tc>
        <w:tc>
          <w:tcPr>
            <w:tcW w:w="2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2,926</w:t>
            </w:r>
          </w:p>
        </w:tc>
        <w:tc>
          <w:tcPr>
            <w:tcW w:w="160" w:type="dxa"/>
            <w:vAlign w:val="bottom"/>
          </w:tcPr>
          <w:p>
            <w:pPr>
              <w:spacing w:after="0"/>
              <w:rPr>
                <w:sz w:val="10"/>
                <w:szCs w:val="10"/>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2,953</w:t>
            </w:r>
          </w:p>
        </w:tc>
      </w:tr>
      <w:tr>
        <w:trPr>
          <w:trHeight w:val="121"/>
        </w:trPr>
        <w:tc>
          <w:tcPr>
            <w:tcW w:w="31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4,16</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94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5"/>
              </w:rPr>
              <w:t>09/28/27</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7.25 %</w:t>
            </w:r>
          </w:p>
        </w:tc>
        <w:tc>
          <w:tcPr>
            <w:tcW w:w="88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3M L+550</w:t>
            </w: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4,102</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3,923</w:t>
            </w:r>
          </w:p>
        </w:tc>
      </w:tr>
      <w:tr>
        <w:trPr>
          <w:trHeight w:val="121"/>
        </w:trPr>
        <w:tc>
          <w:tcPr>
            <w:tcW w:w="3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7,50</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NBH Group LLC</w:t>
            </w:r>
          </w:p>
        </w:tc>
        <w:tc>
          <w:tcPr>
            <w:tcW w:w="94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5"/>
              </w:rPr>
              <w:t>08/19/26</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7.80 %</w:t>
            </w:r>
          </w:p>
        </w:tc>
        <w:tc>
          <w:tcPr>
            <w:tcW w:w="8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3M L+575</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w:t>
            </w:r>
          </w:p>
        </w:tc>
        <w:tc>
          <w:tcPr>
            <w:tcW w:w="2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7,426</w:t>
            </w:r>
          </w:p>
        </w:tc>
        <w:tc>
          <w:tcPr>
            <w:tcW w:w="160" w:type="dxa"/>
            <w:vAlign w:val="bottom"/>
          </w:tcPr>
          <w:p>
            <w:pPr>
              <w:spacing w:after="0"/>
              <w:rPr>
                <w:sz w:val="10"/>
                <w:szCs w:val="10"/>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7,505</w:t>
            </w:r>
          </w:p>
        </w:tc>
      </w:tr>
      <w:tr>
        <w:trPr>
          <w:trHeight w:val="121"/>
        </w:trPr>
        <w:tc>
          <w:tcPr>
            <w:tcW w:w="31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5,25</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OIS Management Services, LLC</w:t>
            </w:r>
          </w:p>
        </w:tc>
        <w:tc>
          <w:tcPr>
            <w:tcW w:w="94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5"/>
              </w:rPr>
              <w:t>07/09/26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9.45 %</w:t>
            </w:r>
          </w:p>
        </w:tc>
        <w:tc>
          <w:tcPr>
            <w:tcW w:w="88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3M L+600</w:t>
            </w: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5,210</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5,257</w:t>
            </w:r>
          </w:p>
        </w:tc>
      </w:tr>
      <w:tr>
        <w:trPr>
          <w:trHeight w:val="121"/>
        </w:trPr>
        <w:tc>
          <w:tcPr>
            <w:tcW w:w="3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3,99</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94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5"/>
              </w:rPr>
              <w:t>02/04/28</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8.41 %</w:t>
            </w:r>
          </w:p>
        </w:tc>
        <w:tc>
          <w:tcPr>
            <w:tcW w:w="8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3M L+550</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0</w:t>
            </w:r>
          </w:p>
        </w:tc>
        <w:tc>
          <w:tcPr>
            <w:tcW w:w="2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3,874</w:t>
            </w:r>
          </w:p>
        </w:tc>
        <w:tc>
          <w:tcPr>
            <w:tcW w:w="160" w:type="dxa"/>
            <w:vAlign w:val="bottom"/>
          </w:tcPr>
          <w:p>
            <w:pPr>
              <w:spacing w:after="0"/>
              <w:rPr>
                <w:sz w:val="10"/>
                <w:szCs w:val="10"/>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3,890</w:t>
            </w:r>
          </w:p>
        </w:tc>
      </w:tr>
      <w:tr>
        <w:trPr>
          <w:trHeight w:val="121"/>
        </w:trPr>
        <w:tc>
          <w:tcPr>
            <w:tcW w:w="31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4,96</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Ox Two, LLC (New Issue)</w:t>
            </w:r>
          </w:p>
        </w:tc>
        <w:tc>
          <w:tcPr>
            <w:tcW w:w="94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5"/>
              </w:rPr>
              <w:t>05/18/26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8.32 %</w:t>
            </w:r>
          </w:p>
        </w:tc>
        <w:tc>
          <w:tcPr>
            <w:tcW w:w="88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1M L+650</w:t>
            </w: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4,911</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4,863</w:t>
            </w:r>
          </w:p>
        </w:tc>
      </w:tr>
      <w:tr>
        <w:trPr>
          <w:trHeight w:val="121"/>
        </w:trPr>
        <w:tc>
          <w:tcPr>
            <w:tcW w:w="3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8,63</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94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5"/>
              </w:rPr>
              <w:t>11/09/27</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Retail</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9.62 %</w:t>
            </w:r>
          </w:p>
        </w:tc>
        <w:tc>
          <w:tcPr>
            <w:tcW w:w="8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1M L+575</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w:t>
            </w:r>
          </w:p>
        </w:tc>
        <w:tc>
          <w:tcPr>
            <w:tcW w:w="2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8,489</w:t>
            </w:r>
          </w:p>
        </w:tc>
        <w:tc>
          <w:tcPr>
            <w:tcW w:w="160" w:type="dxa"/>
            <w:vAlign w:val="bottom"/>
          </w:tcPr>
          <w:p>
            <w:pPr>
              <w:spacing w:after="0"/>
              <w:rPr>
                <w:sz w:val="10"/>
                <w:szCs w:val="10"/>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8,419</w:t>
            </w:r>
          </w:p>
        </w:tc>
      </w:tr>
      <w:tr>
        <w:trPr>
          <w:trHeight w:val="121"/>
        </w:trPr>
        <w:tc>
          <w:tcPr>
            <w:tcW w:w="31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2,58</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r>
      <w:tr>
        <w:trPr>
          <w:trHeight w:val="120"/>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PlayPower, Inc.</w:t>
            </w:r>
          </w:p>
        </w:tc>
        <w:tc>
          <w:tcPr>
            <w:tcW w:w="94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5"/>
              </w:rPr>
              <w:t>05/08/26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9.17 %</w:t>
            </w:r>
          </w:p>
        </w:tc>
        <w:tc>
          <w:tcPr>
            <w:tcW w:w="88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1M L+525</w:t>
            </w: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0</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2,487</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2,309</w:t>
            </w:r>
          </w:p>
        </w:tc>
      </w:tr>
      <w:tr>
        <w:trPr>
          <w:trHeight w:val="121"/>
        </w:trPr>
        <w:tc>
          <w:tcPr>
            <w:tcW w:w="3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3,40</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94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5"/>
              </w:rPr>
              <w:t>11/19/26</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9.92 %</w:t>
            </w:r>
          </w:p>
        </w:tc>
        <w:tc>
          <w:tcPr>
            <w:tcW w:w="8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1M L+600</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w:t>
            </w:r>
          </w:p>
        </w:tc>
        <w:tc>
          <w:tcPr>
            <w:tcW w:w="2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3,342</w:t>
            </w:r>
          </w:p>
        </w:tc>
        <w:tc>
          <w:tcPr>
            <w:tcW w:w="160" w:type="dxa"/>
            <w:vAlign w:val="bottom"/>
          </w:tcPr>
          <w:p>
            <w:pPr>
              <w:spacing w:after="0"/>
              <w:rPr>
                <w:sz w:val="10"/>
                <w:szCs w:val="10"/>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3,335</w:t>
            </w:r>
          </w:p>
        </w:tc>
      </w:tr>
      <w:tr>
        <w:trPr>
          <w:trHeight w:val="120"/>
        </w:trPr>
        <w:tc>
          <w:tcPr>
            <w:tcW w:w="312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Quantic Electronics, LLC - Unfunded Term Loan </w:t>
            </w:r>
            <w:r>
              <w:rPr>
                <w:rFonts w:ascii="Times New Roman" w:cs="Times New Roman" w:eastAsia="Times New Roman" w:hAnsi="Times New Roman"/>
                <w:sz w:val="12"/>
                <w:szCs w:val="12"/>
                <w:color w:val="auto"/>
                <w:vertAlign w:val="superscript"/>
              </w:rPr>
              <w:t>(3)</w:t>
            </w:r>
          </w:p>
        </w:tc>
        <w:tc>
          <w:tcPr>
            <w:tcW w:w="940" w:type="dxa"/>
            <w:vAlign w:val="bottom"/>
            <w:shd w:val="clear" w:color="auto" w:fill="CCECFF"/>
          </w:tcPr>
          <w:p>
            <w:pPr>
              <w:jc w:val="center"/>
              <w:ind w:left="152"/>
              <w:spacing w:after="0"/>
              <w:rPr>
                <w:sz w:val="20"/>
                <w:szCs w:val="20"/>
                <w:color w:val="auto"/>
              </w:rPr>
            </w:pPr>
            <w:r>
              <w:rPr>
                <w:rFonts w:ascii="Times New Roman" w:cs="Times New Roman" w:eastAsia="Times New Roman" w:hAnsi="Times New Roman"/>
                <w:sz w:val="10"/>
                <w:szCs w:val="10"/>
                <w:color w:val="auto"/>
                <w:w w:val="95"/>
              </w:rPr>
              <w:t>11/19/26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143</w:t>
            </w:r>
          </w:p>
        </w:tc>
        <w:tc>
          <w:tcPr>
            <w:tcW w:w="260" w:type="dxa"/>
            <w:vAlign w:val="bottom"/>
            <w:shd w:val="clear" w:color="auto" w:fill="CCECFF"/>
          </w:tcPr>
          <w:p>
            <w:pPr>
              <w:spacing w:after="0"/>
              <w:rPr>
                <w:sz w:val="10"/>
                <w:szCs w:val="10"/>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12,7</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4"/>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Radius Aerospace, Inc.</w:t>
            </w:r>
          </w:p>
        </w:tc>
        <w:tc>
          <w:tcPr>
            <w:tcW w:w="940" w:type="dxa"/>
            <w:vAlign w:val="bottom"/>
          </w:tcPr>
          <w:p>
            <w:pPr>
              <w:jc w:val="center"/>
              <w:ind w:left="152"/>
              <w:spacing w:after="0"/>
              <w:rPr>
                <w:sz w:val="20"/>
                <w:szCs w:val="20"/>
                <w:color w:val="auto"/>
              </w:rPr>
            </w:pPr>
            <w:r>
              <w:rPr>
                <w:rFonts w:ascii="Times New Roman" w:cs="Times New Roman" w:eastAsia="Times New Roman" w:hAnsi="Times New Roman"/>
                <w:sz w:val="10"/>
                <w:szCs w:val="10"/>
                <w:color w:val="auto"/>
                <w:w w:val="95"/>
              </w:rPr>
              <w:t>03/31/25</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9.46 %</w:t>
            </w:r>
          </w:p>
        </w:tc>
        <w:tc>
          <w:tcPr>
            <w:tcW w:w="8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3M L+600</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57</w:t>
            </w:r>
          </w:p>
        </w:tc>
        <w:tc>
          <w:tcPr>
            <w:tcW w:w="260" w:type="dxa"/>
            <w:vAlign w:val="bottom"/>
          </w:tcPr>
          <w:p>
            <w:pPr>
              <w:spacing w:after="0"/>
              <w:rPr>
                <w:sz w:val="10"/>
                <w:szCs w:val="10"/>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12,657</w:t>
            </w:r>
          </w:p>
        </w:tc>
        <w:tc>
          <w:tcPr>
            <w:tcW w:w="160" w:type="dxa"/>
            <w:vAlign w:val="bottom"/>
          </w:tcPr>
          <w:p>
            <w:pPr>
              <w:spacing w:after="0"/>
              <w:rPr>
                <w:sz w:val="10"/>
                <w:szCs w:val="10"/>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12,566</w:t>
            </w:r>
          </w:p>
        </w:tc>
      </w:tr>
    </w:tbl>
    <w:p>
      <w:pPr>
        <w:sectPr>
          <w:pgSz w:w="11900" w:h="16840" w:orient="portrait"/>
          <w:cols w:equalWidth="0" w:num="1">
            <w:col w:w="10560"/>
          </w:cols>
          <w:pgMar w:left="660" w:top="1335" w:right="680" w:bottom="133" w:gutter="0" w:footer="0" w:header="0"/>
        </w:sectPr>
      </w:pPr>
    </w:p>
    <w:bookmarkStart w:id="150" w:name="page151"/>
    <w:bookmarkEnd w:id="1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640" w:type="dxa"/>
            <w:vAlign w:val="bottom"/>
            <w:shd w:val="clear" w:color="auto" w:fill="CCECFF"/>
          </w:tcPr>
          <w:p>
            <w:pPr>
              <w:spacing w:after="0"/>
              <w:rPr>
                <w:sz w:val="10"/>
                <w:szCs w:val="10"/>
                <w:color w:val="auto"/>
              </w:rPr>
            </w:pPr>
          </w:p>
        </w:tc>
        <w:tc>
          <w:tcPr>
            <w:tcW w:w="1560" w:type="dxa"/>
            <w:vAlign w:val="bottom"/>
            <w:shd w:val="clear" w:color="auto" w:fill="CCECFF"/>
          </w:tcPr>
          <w:p>
            <w:pPr>
              <w:spacing w:after="0"/>
              <w:rPr>
                <w:sz w:val="10"/>
                <w:szCs w:val="10"/>
                <w:color w:val="auto"/>
              </w:rPr>
            </w:pPr>
          </w:p>
        </w:tc>
        <w:tc>
          <w:tcPr>
            <w:tcW w:w="232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252"/>
              <w:spacing w:after="0"/>
              <w:rPr>
                <w:sz w:val="20"/>
                <w:szCs w:val="20"/>
                <w:color w:val="auto"/>
              </w:rPr>
            </w:pPr>
            <w:r>
              <w:rPr>
                <w:rFonts w:ascii="Times New Roman" w:cs="Times New Roman" w:eastAsia="Times New Roman" w:hAnsi="Times New Roman"/>
                <w:sz w:val="10"/>
                <w:szCs w:val="10"/>
                <w:color w:val="auto"/>
              </w:rPr>
              <w:t>5,18</w:t>
            </w:r>
          </w:p>
        </w:tc>
        <w:tc>
          <w:tcPr>
            <w:tcW w:w="8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r>
      <w:tr>
        <w:trPr>
          <w:trHeight w:val="120"/>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1560" w:type="dxa"/>
            <w:vAlign w:val="bottom"/>
            <w:shd w:val="clear" w:color="auto" w:fill="CCECFF"/>
          </w:tcPr>
          <w:p>
            <w:pPr>
              <w:jc w:val="right"/>
              <w:ind w:right="292"/>
              <w:spacing w:after="0"/>
              <w:rPr>
                <w:sz w:val="20"/>
                <w:szCs w:val="20"/>
                <w:color w:val="auto"/>
              </w:rPr>
            </w:pPr>
            <w:r>
              <w:rPr>
                <w:rFonts w:ascii="Times New Roman" w:cs="Times New Roman" w:eastAsia="Times New Roman" w:hAnsi="Times New Roman"/>
                <w:sz w:val="10"/>
                <w:szCs w:val="10"/>
                <w:color w:val="auto"/>
              </w:rPr>
              <w:t>12/18/25</w:t>
            </w:r>
          </w:p>
        </w:tc>
        <w:tc>
          <w:tcPr>
            <w:tcW w:w="2320" w:type="dxa"/>
            <w:vAlign w:val="bottom"/>
            <w:shd w:val="clear" w:color="auto" w:fill="CCECFF"/>
          </w:tcPr>
          <w:p>
            <w:pPr>
              <w:jc w:val="center"/>
              <w:ind w:right="15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7.75 %</w:t>
            </w:r>
          </w:p>
        </w:tc>
        <w:tc>
          <w:tcPr>
            <w:tcW w:w="80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1M L+450</w:t>
            </w:r>
          </w:p>
        </w:tc>
        <w:tc>
          <w:tcPr>
            <w:tcW w:w="600" w:type="dxa"/>
            <w:vAlign w:val="bottom"/>
            <w:shd w:val="clear" w:color="auto" w:fill="CCECFF"/>
          </w:tcPr>
          <w:p>
            <w:pPr>
              <w:jc w:val="right"/>
              <w:ind w:right="252"/>
              <w:spacing w:after="0"/>
              <w:rPr>
                <w:sz w:val="20"/>
                <w:szCs w:val="20"/>
                <w:color w:val="auto"/>
              </w:rPr>
            </w:pPr>
            <w:r>
              <w:rPr>
                <w:rFonts w:ascii="Times New Roman" w:cs="Times New Roman" w:eastAsia="Times New Roman" w:hAnsi="Times New Roman"/>
                <w:sz w:val="10"/>
                <w:szCs w:val="10"/>
                <w:color w:val="auto"/>
              </w:rPr>
              <w:t>0</w:t>
            </w:r>
          </w:p>
        </w:tc>
        <w:tc>
          <w:tcPr>
            <w:tcW w:w="880" w:type="dxa"/>
            <w:vAlign w:val="bottom"/>
            <w:shd w:val="clear" w:color="auto" w:fill="CCECFF"/>
          </w:tcPr>
          <w:p>
            <w:pPr>
              <w:jc w:val="right"/>
              <w:ind w:right="252"/>
              <w:spacing w:after="0"/>
              <w:rPr>
                <w:sz w:val="20"/>
                <w:szCs w:val="20"/>
                <w:color w:val="auto"/>
              </w:rPr>
            </w:pPr>
            <w:r>
              <w:rPr>
                <w:rFonts w:ascii="Times New Roman" w:cs="Times New Roman" w:eastAsia="Times New Roman" w:hAnsi="Times New Roman"/>
                <w:sz w:val="10"/>
                <w:szCs w:val="10"/>
                <w:color w:val="auto"/>
              </w:rPr>
              <w:t>5,180</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5,180</w:t>
            </w:r>
          </w:p>
        </w:tc>
      </w:tr>
      <w:tr>
        <w:trPr>
          <w:trHeight w:val="121"/>
        </w:trPr>
        <w:tc>
          <w:tcPr>
            <w:tcW w:w="26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rPr>
              <w:t>4,97</w:t>
            </w: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2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156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02/28/28</w:t>
            </w:r>
          </w:p>
        </w:tc>
        <w:tc>
          <w:tcPr>
            <w:tcW w:w="2320" w:type="dxa"/>
            <w:vAlign w:val="bottom"/>
          </w:tcPr>
          <w:p>
            <w:pPr>
              <w:jc w:val="center"/>
              <w:ind w:right="152"/>
              <w:spacing w:after="0"/>
              <w:rPr>
                <w:sz w:val="20"/>
                <w:szCs w:val="20"/>
                <w:color w:val="auto"/>
              </w:rPr>
            </w:pPr>
            <w:r>
              <w:rPr>
                <w:rFonts w:ascii="Times New Roman" w:cs="Times New Roman" w:eastAsia="Times New Roman" w:hAnsi="Times New Roman"/>
                <w:sz w:val="10"/>
                <w:szCs w:val="10"/>
                <w:color w:val="auto"/>
                <w:w w:val="95"/>
              </w:rPr>
              <w:t>Transportation</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9.13 %</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SOFR+600</w:t>
            </w:r>
          </w:p>
        </w:tc>
        <w:tc>
          <w:tcPr>
            <w:tcW w:w="60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rPr>
              <w:t>5</w:t>
            </w: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rPr>
              <w:t>4,904</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4,751</w:t>
            </w:r>
          </w:p>
        </w:tc>
      </w:tr>
      <w:tr>
        <w:trPr>
          <w:trHeight w:val="121"/>
        </w:trPr>
        <w:tc>
          <w:tcPr>
            <w:tcW w:w="2640" w:type="dxa"/>
            <w:vAlign w:val="bottom"/>
            <w:shd w:val="clear" w:color="auto" w:fill="CCECFF"/>
          </w:tcPr>
          <w:p>
            <w:pPr>
              <w:spacing w:after="0"/>
              <w:rPr>
                <w:sz w:val="10"/>
                <w:szCs w:val="10"/>
                <w:color w:val="auto"/>
              </w:rPr>
            </w:pPr>
          </w:p>
        </w:tc>
        <w:tc>
          <w:tcPr>
            <w:tcW w:w="1560" w:type="dxa"/>
            <w:vAlign w:val="bottom"/>
            <w:shd w:val="clear" w:color="auto" w:fill="CCECFF"/>
          </w:tcPr>
          <w:p>
            <w:pPr>
              <w:spacing w:after="0"/>
              <w:rPr>
                <w:sz w:val="10"/>
                <w:szCs w:val="10"/>
                <w:color w:val="auto"/>
              </w:rPr>
            </w:pPr>
          </w:p>
        </w:tc>
        <w:tc>
          <w:tcPr>
            <w:tcW w:w="232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252"/>
              <w:spacing w:after="0"/>
              <w:rPr>
                <w:sz w:val="20"/>
                <w:szCs w:val="20"/>
                <w:color w:val="auto"/>
              </w:rPr>
            </w:pPr>
            <w:r>
              <w:rPr>
                <w:rFonts w:ascii="Times New Roman" w:cs="Times New Roman" w:eastAsia="Times New Roman" w:hAnsi="Times New Roman"/>
                <w:sz w:val="10"/>
                <w:szCs w:val="10"/>
                <w:color w:val="auto"/>
              </w:rPr>
              <w:t>9,85</w:t>
            </w:r>
          </w:p>
        </w:tc>
        <w:tc>
          <w:tcPr>
            <w:tcW w:w="8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r>
      <w:tr>
        <w:trPr>
          <w:trHeight w:val="120"/>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1560" w:type="dxa"/>
            <w:vAlign w:val="bottom"/>
            <w:shd w:val="clear" w:color="auto" w:fill="CCECFF"/>
          </w:tcPr>
          <w:p>
            <w:pPr>
              <w:jc w:val="right"/>
              <w:ind w:right="292"/>
              <w:spacing w:after="0"/>
              <w:rPr>
                <w:sz w:val="20"/>
                <w:szCs w:val="20"/>
                <w:color w:val="auto"/>
              </w:rPr>
            </w:pPr>
            <w:r>
              <w:rPr>
                <w:rFonts w:ascii="Times New Roman" w:cs="Times New Roman" w:eastAsia="Times New Roman" w:hAnsi="Times New Roman"/>
                <w:sz w:val="10"/>
                <w:szCs w:val="10"/>
                <w:color w:val="auto"/>
              </w:rPr>
              <w:t>01/29/26</w:t>
            </w:r>
          </w:p>
        </w:tc>
        <w:tc>
          <w:tcPr>
            <w:tcW w:w="2320" w:type="dxa"/>
            <w:vAlign w:val="bottom"/>
            <w:shd w:val="clear" w:color="auto" w:fill="CCECFF"/>
          </w:tcPr>
          <w:p>
            <w:pPr>
              <w:jc w:val="center"/>
              <w:ind w:right="15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9.92 %</w:t>
            </w:r>
          </w:p>
        </w:tc>
        <w:tc>
          <w:tcPr>
            <w:tcW w:w="80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L+700</w:t>
            </w:r>
          </w:p>
        </w:tc>
        <w:tc>
          <w:tcPr>
            <w:tcW w:w="600" w:type="dxa"/>
            <w:vAlign w:val="bottom"/>
            <w:shd w:val="clear" w:color="auto" w:fill="CCECFF"/>
          </w:tcPr>
          <w:p>
            <w:pPr>
              <w:jc w:val="right"/>
              <w:ind w:right="252"/>
              <w:spacing w:after="0"/>
              <w:rPr>
                <w:sz w:val="20"/>
                <w:szCs w:val="20"/>
                <w:color w:val="auto"/>
              </w:rPr>
            </w:pPr>
            <w:r>
              <w:rPr>
                <w:rFonts w:ascii="Times New Roman" w:cs="Times New Roman" w:eastAsia="Times New Roman" w:hAnsi="Times New Roman"/>
                <w:sz w:val="10"/>
                <w:szCs w:val="10"/>
                <w:color w:val="auto"/>
              </w:rPr>
              <w:t>0</w:t>
            </w:r>
          </w:p>
        </w:tc>
        <w:tc>
          <w:tcPr>
            <w:tcW w:w="880" w:type="dxa"/>
            <w:vAlign w:val="bottom"/>
            <w:shd w:val="clear" w:color="auto" w:fill="CCECFF"/>
          </w:tcPr>
          <w:p>
            <w:pPr>
              <w:jc w:val="right"/>
              <w:ind w:right="252"/>
              <w:spacing w:after="0"/>
              <w:rPr>
                <w:sz w:val="20"/>
                <w:szCs w:val="20"/>
                <w:color w:val="auto"/>
              </w:rPr>
            </w:pPr>
            <w:r>
              <w:rPr>
                <w:rFonts w:ascii="Times New Roman" w:cs="Times New Roman" w:eastAsia="Times New Roman" w:hAnsi="Times New Roman"/>
                <w:sz w:val="10"/>
                <w:szCs w:val="10"/>
                <w:color w:val="auto"/>
              </w:rPr>
              <w:t>9,718</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9,505</w:t>
            </w:r>
          </w:p>
        </w:tc>
      </w:tr>
      <w:tr>
        <w:trPr>
          <w:trHeight w:val="121"/>
        </w:trPr>
        <w:tc>
          <w:tcPr>
            <w:tcW w:w="26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rPr>
              <w:t>14,5</w:t>
            </w: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2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Research Now Group, LLC and Dynata, LLC</w:t>
            </w:r>
          </w:p>
        </w:tc>
        <w:tc>
          <w:tcPr>
            <w:tcW w:w="156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12/20/24</w:t>
            </w:r>
          </w:p>
        </w:tc>
        <w:tc>
          <w:tcPr>
            <w:tcW w:w="23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8.84 %</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1M L+550</w:t>
            </w:r>
          </w:p>
        </w:tc>
        <w:tc>
          <w:tcPr>
            <w:tcW w:w="60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rPr>
              <w:t>42</w:t>
            </w: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rPr>
              <w:t>14,440</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13,070</w:t>
            </w:r>
          </w:p>
        </w:tc>
      </w:tr>
      <w:tr>
        <w:trPr>
          <w:trHeight w:val="121"/>
        </w:trPr>
        <w:tc>
          <w:tcPr>
            <w:tcW w:w="2640" w:type="dxa"/>
            <w:vAlign w:val="bottom"/>
            <w:shd w:val="clear" w:color="auto" w:fill="CCECFF"/>
          </w:tcPr>
          <w:p>
            <w:pPr>
              <w:spacing w:after="0"/>
              <w:rPr>
                <w:sz w:val="10"/>
                <w:szCs w:val="10"/>
                <w:color w:val="auto"/>
              </w:rPr>
            </w:pPr>
          </w:p>
        </w:tc>
        <w:tc>
          <w:tcPr>
            <w:tcW w:w="1560" w:type="dxa"/>
            <w:vAlign w:val="bottom"/>
            <w:shd w:val="clear" w:color="auto" w:fill="CCECFF"/>
          </w:tcPr>
          <w:p>
            <w:pPr>
              <w:spacing w:after="0"/>
              <w:rPr>
                <w:sz w:val="10"/>
                <w:szCs w:val="10"/>
                <w:color w:val="auto"/>
              </w:rPr>
            </w:pPr>
          </w:p>
        </w:tc>
        <w:tc>
          <w:tcPr>
            <w:tcW w:w="232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252"/>
              <w:spacing w:after="0"/>
              <w:rPr>
                <w:sz w:val="20"/>
                <w:szCs w:val="20"/>
                <w:color w:val="auto"/>
              </w:rPr>
            </w:pPr>
            <w:r>
              <w:rPr>
                <w:rFonts w:ascii="Times New Roman" w:cs="Times New Roman" w:eastAsia="Times New Roman" w:hAnsi="Times New Roman"/>
                <w:sz w:val="10"/>
                <w:szCs w:val="10"/>
                <w:color w:val="auto"/>
              </w:rPr>
              <w:t>3,19</w:t>
            </w:r>
          </w:p>
        </w:tc>
        <w:tc>
          <w:tcPr>
            <w:tcW w:w="8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r>
      <w:tr>
        <w:trPr>
          <w:trHeight w:val="120"/>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Riverpoint Medical, LLC</w:t>
            </w:r>
          </w:p>
        </w:tc>
        <w:tc>
          <w:tcPr>
            <w:tcW w:w="1560" w:type="dxa"/>
            <w:vAlign w:val="bottom"/>
            <w:shd w:val="clear" w:color="auto" w:fill="CCECFF"/>
          </w:tcPr>
          <w:p>
            <w:pPr>
              <w:jc w:val="right"/>
              <w:ind w:right="292"/>
              <w:spacing w:after="0"/>
              <w:rPr>
                <w:sz w:val="20"/>
                <w:szCs w:val="20"/>
                <w:color w:val="auto"/>
              </w:rPr>
            </w:pPr>
            <w:r>
              <w:rPr>
                <w:rFonts w:ascii="Times New Roman" w:cs="Times New Roman" w:eastAsia="Times New Roman" w:hAnsi="Times New Roman"/>
                <w:sz w:val="10"/>
                <w:szCs w:val="10"/>
                <w:color w:val="auto"/>
              </w:rPr>
              <w:t>06/20/25</w:t>
            </w:r>
          </w:p>
        </w:tc>
        <w:tc>
          <w:tcPr>
            <w:tcW w:w="2320" w:type="dxa"/>
            <w:vAlign w:val="bottom"/>
            <w:shd w:val="clear" w:color="auto" w:fill="CCECFF"/>
          </w:tcPr>
          <w:p>
            <w:pPr>
              <w:jc w:val="center"/>
              <w:ind w:right="152"/>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7.74 %</w:t>
            </w:r>
          </w:p>
        </w:tc>
        <w:tc>
          <w:tcPr>
            <w:tcW w:w="80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L+525</w:t>
            </w:r>
          </w:p>
        </w:tc>
        <w:tc>
          <w:tcPr>
            <w:tcW w:w="600" w:type="dxa"/>
            <w:vAlign w:val="bottom"/>
            <w:shd w:val="clear" w:color="auto" w:fill="CCECFF"/>
          </w:tcPr>
          <w:p>
            <w:pPr>
              <w:jc w:val="right"/>
              <w:ind w:right="252"/>
              <w:spacing w:after="0"/>
              <w:rPr>
                <w:sz w:val="20"/>
                <w:szCs w:val="20"/>
                <w:color w:val="auto"/>
              </w:rPr>
            </w:pPr>
            <w:r>
              <w:rPr>
                <w:rFonts w:ascii="Times New Roman" w:cs="Times New Roman" w:eastAsia="Times New Roman" w:hAnsi="Times New Roman"/>
                <w:sz w:val="10"/>
                <w:szCs w:val="10"/>
                <w:color w:val="auto"/>
              </w:rPr>
              <w:t>2</w:t>
            </w:r>
          </w:p>
        </w:tc>
        <w:tc>
          <w:tcPr>
            <w:tcW w:w="880" w:type="dxa"/>
            <w:vAlign w:val="bottom"/>
            <w:shd w:val="clear" w:color="auto" w:fill="CCECFF"/>
          </w:tcPr>
          <w:p>
            <w:pPr>
              <w:jc w:val="right"/>
              <w:ind w:right="252"/>
              <w:spacing w:after="0"/>
              <w:rPr>
                <w:sz w:val="20"/>
                <w:szCs w:val="20"/>
                <w:color w:val="auto"/>
              </w:rPr>
            </w:pPr>
            <w:r>
              <w:rPr>
                <w:rFonts w:ascii="Times New Roman" w:cs="Times New Roman" w:eastAsia="Times New Roman" w:hAnsi="Times New Roman"/>
                <w:sz w:val="10"/>
                <w:szCs w:val="10"/>
                <w:color w:val="auto"/>
              </w:rPr>
              <w:t>3,172</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3,112</w:t>
            </w:r>
          </w:p>
        </w:tc>
      </w:tr>
      <w:tr>
        <w:trPr>
          <w:trHeight w:val="121"/>
        </w:trPr>
        <w:tc>
          <w:tcPr>
            <w:tcW w:w="26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rPr>
              <w:t>9,94</w:t>
            </w: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2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Riverside Assessments, LLC</w:t>
            </w:r>
          </w:p>
        </w:tc>
        <w:tc>
          <w:tcPr>
            <w:tcW w:w="156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03/10/25</w:t>
            </w:r>
          </w:p>
        </w:tc>
        <w:tc>
          <w:tcPr>
            <w:tcW w:w="23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3"/>
              </w:rPr>
              <w:t>Education</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9.95 %</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1M L+575</w:t>
            </w:r>
          </w:p>
        </w:tc>
        <w:tc>
          <w:tcPr>
            <w:tcW w:w="60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rPr>
              <w:t>9</w:t>
            </w: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rPr>
              <w:t>9,872</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9,750</w:t>
            </w:r>
          </w:p>
        </w:tc>
      </w:tr>
      <w:tr>
        <w:trPr>
          <w:trHeight w:val="121"/>
        </w:trPr>
        <w:tc>
          <w:tcPr>
            <w:tcW w:w="2640" w:type="dxa"/>
            <w:vAlign w:val="bottom"/>
            <w:shd w:val="clear" w:color="auto" w:fill="CCECFF"/>
          </w:tcPr>
          <w:p>
            <w:pPr>
              <w:spacing w:after="0"/>
              <w:rPr>
                <w:sz w:val="10"/>
                <w:szCs w:val="10"/>
                <w:color w:val="auto"/>
              </w:rPr>
            </w:pPr>
          </w:p>
        </w:tc>
        <w:tc>
          <w:tcPr>
            <w:tcW w:w="1560" w:type="dxa"/>
            <w:vAlign w:val="bottom"/>
            <w:shd w:val="clear" w:color="auto" w:fill="CCECFF"/>
          </w:tcPr>
          <w:p>
            <w:pPr>
              <w:spacing w:after="0"/>
              <w:rPr>
                <w:sz w:val="10"/>
                <w:szCs w:val="10"/>
                <w:color w:val="auto"/>
              </w:rPr>
            </w:pPr>
          </w:p>
        </w:tc>
        <w:tc>
          <w:tcPr>
            <w:tcW w:w="232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252"/>
              <w:spacing w:after="0"/>
              <w:rPr>
                <w:sz w:val="20"/>
                <w:szCs w:val="20"/>
                <w:color w:val="auto"/>
              </w:rPr>
            </w:pPr>
            <w:r>
              <w:rPr>
                <w:rFonts w:ascii="Times New Roman" w:cs="Times New Roman" w:eastAsia="Times New Roman" w:hAnsi="Times New Roman"/>
                <w:sz w:val="10"/>
                <w:szCs w:val="10"/>
                <w:color w:val="auto"/>
              </w:rPr>
              <w:t>6,85</w:t>
            </w:r>
          </w:p>
        </w:tc>
        <w:tc>
          <w:tcPr>
            <w:tcW w:w="8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r>
      <w:tr>
        <w:trPr>
          <w:trHeight w:val="120"/>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1560" w:type="dxa"/>
            <w:vAlign w:val="bottom"/>
            <w:shd w:val="clear" w:color="auto" w:fill="CCECFF"/>
          </w:tcPr>
          <w:p>
            <w:pPr>
              <w:jc w:val="right"/>
              <w:ind w:right="292"/>
              <w:spacing w:after="0"/>
              <w:rPr>
                <w:sz w:val="20"/>
                <w:szCs w:val="20"/>
                <w:color w:val="auto"/>
              </w:rPr>
            </w:pPr>
            <w:r>
              <w:rPr>
                <w:rFonts w:ascii="Times New Roman" w:cs="Times New Roman" w:eastAsia="Times New Roman" w:hAnsi="Times New Roman"/>
                <w:sz w:val="10"/>
                <w:szCs w:val="10"/>
                <w:color w:val="auto"/>
              </w:rPr>
              <w:t>01/03/25</w:t>
            </w:r>
          </w:p>
        </w:tc>
        <w:tc>
          <w:tcPr>
            <w:tcW w:w="232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9.67 %</w:t>
            </w:r>
          </w:p>
        </w:tc>
        <w:tc>
          <w:tcPr>
            <w:tcW w:w="80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L+625</w:t>
            </w:r>
          </w:p>
        </w:tc>
        <w:tc>
          <w:tcPr>
            <w:tcW w:w="600" w:type="dxa"/>
            <w:vAlign w:val="bottom"/>
            <w:shd w:val="clear" w:color="auto" w:fill="CCECFF"/>
          </w:tcPr>
          <w:p>
            <w:pPr>
              <w:jc w:val="right"/>
              <w:ind w:right="252"/>
              <w:spacing w:after="0"/>
              <w:rPr>
                <w:sz w:val="20"/>
                <w:szCs w:val="20"/>
                <w:color w:val="auto"/>
              </w:rPr>
            </w:pPr>
            <w:r>
              <w:rPr>
                <w:rFonts w:ascii="Times New Roman" w:cs="Times New Roman" w:eastAsia="Times New Roman" w:hAnsi="Times New Roman"/>
                <w:sz w:val="10"/>
                <w:szCs w:val="10"/>
                <w:color w:val="auto"/>
              </w:rPr>
              <w:t>9</w:t>
            </w:r>
          </w:p>
        </w:tc>
        <w:tc>
          <w:tcPr>
            <w:tcW w:w="880" w:type="dxa"/>
            <w:vAlign w:val="bottom"/>
            <w:shd w:val="clear" w:color="auto" w:fill="CCECFF"/>
          </w:tcPr>
          <w:p>
            <w:pPr>
              <w:jc w:val="right"/>
              <w:ind w:right="252"/>
              <w:spacing w:after="0"/>
              <w:rPr>
                <w:sz w:val="20"/>
                <w:szCs w:val="20"/>
                <w:color w:val="auto"/>
              </w:rPr>
            </w:pPr>
            <w:r>
              <w:rPr>
                <w:rFonts w:ascii="Times New Roman" w:cs="Times New Roman" w:eastAsia="Times New Roman" w:hAnsi="Times New Roman"/>
                <w:sz w:val="10"/>
                <w:szCs w:val="10"/>
                <w:color w:val="auto"/>
              </w:rPr>
              <w:t>6,779</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6,791</w:t>
            </w:r>
          </w:p>
        </w:tc>
      </w:tr>
      <w:tr>
        <w:trPr>
          <w:trHeight w:val="121"/>
        </w:trPr>
        <w:tc>
          <w:tcPr>
            <w:tcW w:w="26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rPr>
              <w:t>5,08</w:t>
            </w: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2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156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12/20/24</w:t>
            </w:r>
          </w:p>
        </w:tc>
        <w:tc>
          <w:tcPr>
            <w:tcW w:w="2320" w:type="dxa"/>
            <w:vAlign w:val="bottom"/>
          </w:tcPr>
          <w:p>
            <w:pPr>
              <w:jc w:val="center"/>
              <w:ind w:right="152"/>
              <w:spacing w:after="0"/>
              <w:rPr>
                <w:sz w:val="20"/>
                <w:szCs w:val="20"/>
                <w:color w:val="auto"/>
              </w:rPr>
            </w:pPr>
            <w:r>
              <w:rPr>
                <w:rFonts w:ascii="Times New Roman" w:cs="Times New Roman" w:eastAsia="Times New Roman" w:hAnsi="Times New Roman"/>
                <w:sz w:val="10"/>
                <w:szCs w:val="10"/>
                <w:color w:val="auto"/>
                <w:w w:val="97"/>
              </w:rPr>
              <w:t>Electronics</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7.15 %</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L+550</w:t>
            </w:r>
          </w:p>
        </w:tc>
        <w:tc>
          <w:tcPr>
            <w:tcW w:w="60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rPr>
              <w:t>2</w:t>
            </w: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rPr>
              <w:t>5,082</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5,031</w:t>
            </w:r>
          </w:p>
        </w:tc>
      </w:tr>
      <w:tr>
        <w:trPr>
          <w:trHeight w:val="121"/>
        </w:trPr>
        <w:tc>
          <w:tcPr>
            <w:tcW w:w="2640" w:type="dxa"/>
            <w:vAlign w:val="bottom"/>
            <w:shd w:val="clear" w:color="auto" w:fill="CCECFF"/>
          </w:tcPr>
          <w:p>
            <w:pPr>
              <w:spacing w:after="0"/>
              <w:rPr>
                <w:sz w:val="10"/>
                <w:szCs w:val="10"/>
                <w:color w:val="auto"/>
              </w:rPr>
            </w:pPr>
          </w:p>
        </w:tc>
        <w:tc>
          <w:tcPr>
            <w:tcW w:w="1560" w:type="dxa"/>
            <w:vAlign w:val="bottom"/>
            <w:shd w:val="clear" w:color="auto" w:fill="CCECFF"/>
          </w:tcPr>
          <w:p>
            <w:pPr>
              <w:spacing w:after="0"/>
              <w:rPr>
                <w:sz w:val="10"/>
                <w:szCs w:val="10"/>
                <w:color w:val="auto"/>
              </w:rPr>
            </w:pPr>
          </w:p>
        </w:tc>
        <w:tc>
          <w:tcPr>
            <w:tcW w:w="232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252"/>
              <w:spacing w:after="0"/>
              <w:rPr>
                <w:sz w:val="20"/>
                <w:szCs w:val="20"/>
                <w:color w:val="auto"/>
              </w:rPr>
            </w:pPr>
            <w:r>
              <w:rPr>
                <w:rFonts w:ascii="Times New Roman" w:cs="Times New Roman" w:eastAsia="Times New Roman" w:hAnsi="Times New Roman"/>
                <w:sz w:val="10"/>
                <w:szCs w:val="10"/>
                <w:color w:val="auto"/>
              </w:rPr>
              <w:t>15,0</w:t>
            </w:r>
          </w:p>
        </w:tc>
        <w:tc>
          <w:tcPr>
            <w:tcW w:w="8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r>
      <w:tr>
        <w:trPr>
          <w:trHeight w:val="136"/>
        </w:trPr>
        <w:tc>
          <w:tcPr>
            <w:tcW w:w="26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1560" w:type="dxa"/>
            <w:vAlign w:val="bottom"/>
            <w:tcBorders>
              <w:bottom w:val="single" w:sz="8" w:color="CCECFF"/>
            </w:tcBorders>
            <w:shd w:val="clear" w:color="auto" w:fill="CCECFF"/>
          </w:tcPr>
          <w:p>
            <w:pPr>
              <w:jc w:val="right"/>
              <w:ind w:right="292"/>
              <w:spacing w:after="0"/>
              <w:rPr>
                <w:sz w:val="20"/>
                <w:szCs w:val="20"/>
                <w:color w:val="auto"/>
              </w:rPr>
            </w:pPr>
            <w:r>
              <w:rPr>
                <w:rFonts w:ascii="Times New Roman" w:cs="Times New Roman" w:eastAsia="Times New Roman" w:hAnsi="Times New Roman"/>
                <w:sz w:val="10"/>
                <w:szCs w:val="10"/>
                <w:color w:val="auto"/>
              </w:rPr>
              <w:t>06/13/29</w:t>
            </w:r>
          </w:p>
        </w:tc>
        <w:tc>
          <w:tcPr>
            <w:tcW w:w="2320" w:type="dxa"/>
            <w:vAlign w:val="bottom"/>
            <w:tcBorders>
              <w:bottom w:val="single" w:sz="8" w:color="CCECFF"/>
            </w:tcBorders>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80" w:type="dxa"/>
            <w:vAlign w:val="bottom"/>
            <w:tcBorders>
              <w:bottom w:val="single" w:sz="8" w:color="CCECFF"/>
            </w:tcBorders>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7.90 %</w:t>
            </w:r>
          </w:p>
        </w:tc>
        <w:tc>
          <w:tcPr>
            <w:tcW w:w="800" w:type="dxa"/>
            <w:vAlign w:val="bottom"/>
            <w:tcBorders>
              <w:bottom w:val="single" w:sz="8" w:color="CCECFF"/>
            </w:tcBorders>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L+575</w:t>
            </w:r>
          </w:p>
        </w:tc>
        <w:tc>
          <w:tcPr>
            <w:tcW w:w="600" w:type="dxa"/>
            <w:vAlign w:val="bottom"/>
            <w:tcBorders>
              <w:bottom w:val="single" w:sz="8" w:color="CCECFF"/>
            </w:tcBorders>
            <w:shd w:val="clear" w:color="auto" w:fill="CCECFF"/>
          </w:tcPr>
          <w:p>
            <w:pPr>
              <w:jc w:val="right"/>
              <w:ind w:right="252"/>
              <w:spacing w:after="0"/>
              <w:rPr>
                <w:sz w:val="20"/>
                <w:szCs w:val="20"/>
                <w:color w:val="auto"/>
              </w:rPr>
            </w:pPr>
            <w:r>
              <w:rPr>
                <w:rFonts w:ascii="Times New Roman" w:cs="Times New Roman" w:eastAsia="Times New Roman" w:hAnsi="Times New Roman"/>
                <w:sz w:val="10"/>
                <w:szCs w:val="10"/>
                <w:color w:val="auto"/>
              </w:rPr>
              <w:t>00</w:t>
            </w:r>
          </w:p>
        </w:tc>
        <w:tc>
          <w:tcPr>
            <w:tcW w:w="880" w:type="dxa"/>
            <w:vAlign w:val="bottom"/>
            <w:tcBorders>
              <w:bottom w:val="single" w:sz="8" w:color="CCECFF"/>
            </w:tcBorders>
            <w:shd w:val="clear" w:color="auto" w:fill="CCECFF"/>
          </w:tcPr>
          <w:p>
            <w:pPr>
              <w:jc w:val="right"/>
              <w:ind w:right="252"/>
              <w:spacing w:after="0"/>
              <w:rPr>
                <w:sz w:val="20"/>
                <w:szCs w:val="20"/>
                <w:color w:val="auto"/>
              </w:rPr>
            </w:pPr>
            <w:r>
              <w:rPr>
                <w:rFonts w:ascii="Times New Roman" w:cs="Times New Roman" w:eastAsia="Times New Roman" w:hAnsi="Times New Roman"/>
                <w:sz w:val="10"/>
                <w:szCs w:val="10"/>
                <w:color w:val="auto"/>
              </w:rPr>
              <w:t>14,794</w:t>
            </w:r>
          </w:p>
        </w:tc>
        <w:tc>
          <w:tcPr>
            <w:tcW w:w="680" w:type="dxa"/>
            <w:vAlign w:val="bottom"/>
            <w:tcBorders>
              <w:bottom w:val="single" w:sz="8" w:color="CCECFF"/>
            </w:tcBorders>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14,775</w:t>
            </w:r>
          </w:p>
        </w:tc>
      </w:tr>
      <w:tr>
        <w:trPr>
          <w:trHeight w:val="120"/>
        </w:trPr>
        <w:tc>
          <w:tcPr>
            <w:tcW w:w="26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rPr>
              <w:t>11,9</w:t>
            </w: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20"/>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Signature Systems Holding Company</w:t>
            </w:r>
          </w:p>
        </w:tc>
        <w:tc>
          <w:tcPr>
            <w:tcW w:w="156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05/03/24</w:t>
            </w:r>
          </w:p>
        </w:tc>
        <w:tc>
          <w:tcPr>
            <w:tcW w:w="23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10.17 %</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1M L+450</w:t>
            </w:r>
          </w:p>
        </w:tc>
        <w:tc>
          <w:tcPr>
            <w:tcW w:w="60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rPr>
              <w:t>51</w:t>
            </w: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rPr>
              <w:t>11,879</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11,861</w:t>
            </w:r>
          </w:p>
        </w:tc>
      </w:tr>
      <w:tr>
        <w:trPr>
          <w:trHeight w:val="121"/>
        </w:trPr>
        <w:tc>
          <w:tcPr>
            <w:tcW w:w="2640" w:type="dxa"/>
            <w:vAlign w:val="bottom"/>
            <w:shd w:val="clear" w:color="auto" w:fill="CCECFF"/>
          </w:tcPr>
          <w:p>
            <w:pPr>
              <w:spacing w:after="0"/>
              <w:rPr>
                <w:sz w:val="10"/>
                <w:szCs w:val="10"/>
                <w:color w:val="auto"/>
              </w:rPr>
            </w:pPr>
          </w:p>
        </w:tc>
        <w:tc>
          <w:tcPr>
            <w:tcW w:w="1560" w:type="dxa"/>
            <w:vAlign w:val="bottom"/>
            <w:shd w:val="clear" w:color="auto" w:fill="CCECFF"/>
          </w:tcPr>
          <w:p>
            <w:pPr>
              <w:spacing w:after="0"/>
              <w:rPr>
                <w:sz w:val="10"/>
                <w:szCs w:val="10"/>
                <w:color w:val="auto"/>
              </w:rPr>
            </w:pPr>
          </w:p>
        </w:tc>
        <w:tc>
          <w:tcPr>
            <w:tcW w:w="232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252"/>
              <w:spacing w:after="0"/>
              <w:rPr>
                <w:sz w:val="20"/>
                <w:szCs w:val="20"/>
                <w:color w:val="auto"/>
              </w:rPr>
            </w:pPr>
            <w:r>
              <w:rPr>
                <w:rFonts w:ascii="Times New Roman" w:cs="Times New Roman" w:eastAsia="Times New Roman" w:hAnsi="Times New Roman"/>
                <w:sz w:val="10"/>
                <w:szCs w:val="10"/>
                <w:color w:val="auto"/>
              </w:rPr>
              <w:t>11,3</w:t>
            </w:r>
          </w:p>
        </w:tc>
        <w:tc>
          <w:tcPr>
            <w:tcW w:w="8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r>
      <w:tr>
        <w:trPr>
          <w:trHeight w:val="120"/>
        </w:trPr>
        <w:tc>
          <w:tcPr>
            <w:tcW w:w="2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1560" w:type="dxa"/>
            <w:vAlign w:val="bottom"/>
            <w:shd w:val="clear" w:color="auto" w:fill="CCECFF"/>
          </w:tcPr>
          <w:p>
            <w:pPr>
              <w:jc w:val="right"/>
              <w:ind w:right="292"/>
              <w:spacing w:after="0"/>
              <w:rPr>
                <w:sz w:val="20"/>
                <w:szCs w:val="20"/>
                <w:color w:val="auto"/>
              </w:rPr>
            </w:pPr>
            <w:r>
              <w:rPr>
                <w:rFonts w:ascii="Times New Roman" w:cs="Times New Roman" w:eastAsia="Times New Roman" w:hAnsi="Times New Roman"/>
                <w:sz w:val="10"/>
                <w:szCs w:val="10"/>
                <w:color w:val="auto"/>
              </w:rPr>
              <w:t>01/17/24</w:t>
            </w:r>
          </w:p>
        </w:tc>
        <w:tc>
          <w:tcPr>
            <w:tcW w:w="2320" w:type="dxa"/>
            <w:vAlign w:val="bottom"/>
            <w:shd w:val="clear" w:color="auto" w:fill="CCECFF"/>
          </w:tcPr>
          <w:p>
            <w:pPr>
              <w:jc w:val="center"/>
              <w:ind w:right="152"/>
              <w:spacing w:after="0"/>
              <w:rPr>
                <w:sz w:val="20"/>
                <w:szCs w:val="20"/>
                <w:color w:val="auto"/>
              </w:rPr>
            </w:pPr>
            <w:r>
              <w:rPr>
                <w:rFonts w:ascii="Times New Roman" w:cs="Times New Roman" w:eastAsia="Times New Roman" w:hAnsi="Times New Roman"/>
                <w:sz w:val="10"/>
                <w:szCs w:val="10"/>
                <w:color w:val="auto"/>
                <w:w w:val="93"/>
              </w:rPr>
              <w:t>Communications</w:t>
            </w:r>
          </w:p>
        </w:tc>
        <w:tc>
          <w:tcPr>
            <w:tcW w:w="10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8.87 %</w:t>
            </w:r>
          </w:p>
        </w:tc>
        <w:tc>
          <w:tcPr>
            <w:tcW w:w="80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6M L+675</w:t>
            </w:r>
          </w:p>
        </w:tc>
        <w:tc>
          <w:tcPr>
            <w:tcW w:w="600" w:type="dxa"/>
            <w:vAlign w:val="bottom"/>
            <w:shd w:val="clear" w:color="auto" w:fill="CCECFF"/>
          </w:tcPr>
          <w:p>
            <w:pPr>
              <w:jc w:val="right"/>
              <w:ind w:right="252"/>
              <w:spacing w:after="0"/>
              <w:rPr>
                <w:sz w:val="20"/>
                <w:szCs w:val="20"/>
                <w:color w:val="auto"/>
              </w:rPr>
            </w:pPr>
            <w:r>
              <w:rPr>
                <w:rFonts w:ascii="Times New Roman" w:cs="Times New Roman" w:eastAsia="Times New Roman" w:hAnsi="Times New Roman"/>
                <w:sz w:val="10"/>
                <w:szCs w:val="10"/>
                <w:color w:val="auto"/>
              </w:rPr>
              <w:t>86</w:t>
            </w:r>
          </w:p>
        </w:tc>
        <w:tc>
          <w:tcPr>
            <w:tcW w:w="880" w:type="dxa"/>
            <w:vAlign w:val="bottom"/>
            <w:shd w:val="clear" w:color="auto" w:fill="CCECFF"/>
          </w:tcPr>
          <w:p>
            <w:pPr>
              <w:jc w:val="right"/>
              <w:ind w:right="252"/>
              <w:spacing w:after="0"/>
              <w:rPr>
                <w:sz w:val="20"/>
                <w:szCs w:val="20"/>
                <w:color w:val="auto"/>
              </w:rPr>
            </w:pPr>
            <w:r>
              <w:rPr>
                <w:rFonts w:ascii="Times New Roman" w:cs="Times New Roman" w:eastAsia="Times New Roman" w:hAnsi="Times New Roman"/>
                <w:sz w:val="10"/>
                <w:szCs w:val="10"/>
                <w:color w:val="auto"/>
              </w:rPr>
              <w:t>11,352</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11,113</w:t>
            </w:r>
          </w:p>
        </w:tc>
      </w:tr>
      <w:tr>
        <w:trPr>
          <w:trHeight w:val="121"/>
        </w:trPr>
        <w:tc>
          <w:tcPr>
            <w:tcW w:w="26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rPr>
              <w:t>12,0</w:t>
            </w: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24"/>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STV Group Incorporated</w:t>
            </w:r>
          </w:p>
        </w:tc>
        <w:tc>
          <w:tcPr>
            <w:tcW w:w="156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rPr>
              <w:t>12/11/26</w:t>
            </w:r>
          </w:p>
        </w:tc>
        <w:tc>
          <w:tcPr>
            <w:tcW w:w="2320" w:type="dxa"/>
            <w:vAlign w:val="bottom"/>
          </w:tcPr>
          <w:p>
            <w:pPr>
              <w:jc w:val="center"/>
              <w:ind w:right="152"/>
              <w:spacing w:after="0"/>
              <w:rPr>
                <w:sz w:val="20"/>
                <w:szCs w:val="20"/>
                <w:color w:val="auto"/>
              </w:rPr>
            </w:pPr>
            <w:r>
              <w:rPr>
                <w:rFonts w:ascii="Times New Roman" w:cs="Times New Roman" w:eastAsia="Times New Roman" w:hAnsi="Times New Roman"/>
                <w:sz w:val="10"/>
                <w:szCs w:val="10"/>
                <w:color w:val="auto"/>
                <w:w w:val="95"/>
              </w:rPr>
              <w:t>Transportation</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8.37 %</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L+575</w:t>
            </w:r>
          </w:p>
        </w:tc>
        <w:tc>
          <w:tcPr>
            <w:tcW w:w="60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rPr>
              <w:t>99</w:t>
            </w: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rPr>
              <w:t>12,031</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11,978</w:t>
            </w:r>
          </w:p>
        </w:tc>
      </w:tr>
    </w:tbl>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0" w:right="680" w:bottom="1440" w:gutter="0" w:footer="0" w:header="0"/>
        </w:sectPr>
      </w:pPr>
    </w:p>
    <w:bookmarkStart w:id="151" w:name="page152"/>
    <w:bookmarkEnd w:id="151"/>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w:t>
      </w:r>
    </w:p>
    <w:p>
      <w:pPr>
        <w:jc w:val="center"/>
        <w:ind w:right="100"/>
        <w:spacing w:after="0" w:line="234" w:lineRule="auto"/>
        <w:rPr>
          <w:sz w:val="20"/>
          <w:szCs w:val="20"/>
          <w:color w:val="auto"/>
        </w:rPr>
      </w:pPr>
      <w:r>
        <w:rPr>
          <w:rFonts w:ascii="Times New Roman" w:cs="Times New Roman" w:eastAsia="Times New Roman" w:hAnsi="Times New Roman"/>
          <w:sz w:val="16"/>
          <w:szCs w:val="16"/>
          <w:b w:val="1"/>
          <w:bCs w:val="1"/>
          <w:color w:val="auto"/>
        </w:rPr>
        <w:t>September 30, 2022</w:t>
      </w:r>
    </w:p>
    <w:p>
      <w:pPr>
        <w:spacing w:after="0" w:line="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8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90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224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08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54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Par</w:t>
            </w:r>
          </w:p>
        </w:tc>
        <w:tc>
          <w:tcPr>
            <w:tcW w:w="160" w:type="dxa"/>
            <w:vAlign w:val="bottom"/>
          </w:tcPr>
          <w:p>
            <w:pPr>
              <w:spacing w:after="0"/>
              <w:rPr>
                <w:sz w:val="13"/>
                <w:szCs w:val="13"/>
                <w:color w:val="auto"/>
              </w:rPr>
            </w:pPr>
          </w:p>
        </w:tc>
        <w:tc>
          <w:tcPr>
            <w:tcW w:w="50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w w:val="90"/>
              </w:rPr>
              <w:t xml:space="preserve">Fair Value </w:t>
            </w:r>
            <w:r>
              <w:rPr>
                <w:rFonts w:ascii="Times New Roman" w:cs="Times New Roman" w:eastAsia="Times New Roman" w:hAnsi="Times New Roman"/>
                <w:sz w:val="12"/>
                <w:szCs w:val="12"/>
                <w:b w:val="1"/>
                <w:bCs w:val="1"/>
                <w:color w:val="auto"/>
                <w:w w:val="90"/>
                <w:vertAlign w:val="superscript"/>
              </w:rPr>
              <w:t>(2)</w:t>
            </w:r>
          </w:p>
        </w:tc>
        <w:tc>
          <w:tcPr>
            <w:tcW w:w="0" w:type="dxa"/>
            <w:vAlign w:val="bottom"/>
          </w:tcPr>
          <w:p>
            <w:pPr>
              <w:spacing w:after="0"/>
              <w:rPr>
                <w:sz w:val="1"/>
                <w:szCs w:val="1"/>
                <w:color w:val="auto"/>
              </w:rPr>
            </w:pPr>
          </w:p>
        </w:tc>
      </w:tr>
      <w:tr>
        <w:trPr>
          <w:trHeight w:val="82"/>
        </w:trPr>
        <w:tc>
          <w:tcPr>
            <w:tcW w:w="328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(f/k/a Management Consulting &amp; Research,</w:t>
            </w:r>
          </w:p>
        </w:tc>
        <w:tc>
          <w:tcPr>
            <w:tcW w:w="900" w:type="dxa"/>
            <w:vAlign w:val="bottom"/>
            <w:shd w:val="clear" w:color="auto" w:fill="CCECFF"/>
          </w:tcPr>
          <w:p>
            <w:pPr>
              <w:spacing w:after="0"/>
              <w:rPr>
                <w:sz w:val="10"/>
                <w:szCs w:val="10"/>
                <w:color w:val="auto"/>
              </w:rPr>
            </w:pPr>
          </w:p>
        </w:tc>
        <w:tc>
          <w:tcPr>
            <w:tcW w:w="224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16,1</w:t>
            </w:r>
          </w:p>
        </w:tc>
        <w:tc>
          <w:tcPr>
            <w:tcW w:w="16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LLC)</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3"/>
              </w:rPr>
              <w:t>8/16/2027</w:t>
            </w:r>
          </w:p>
        </w:tc>
        <w:tc>
          <w:tcPr>
            <w:tcW w:w="22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8.73 %</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SOFR+600</w:t>
            </w:r>
          </w:p>
        </w:tc>
        <w:tc>
          <w:tcPr>
            <w:tcW w:w="5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28</w:t>
            </w:r>
          </w:p>
        </w:tc>
        <w:tc>
          <w:tcPr>
            <w:tcW w:w="1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15,785</w:t>
            </w:r>
          </w:p>
        </w:tc>
        <w:tc>
          <w:tcPr>
            <w:tcW w:w="2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15,870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8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 xml:space="preserve">7.73 </w:t>
            </w:r>
            <w:r>
              <w:rPr>
                <w:rFonts w:ascii="Times New Roman" w:cs="Times New Roman" w:eastAsia="Times New Roman" w:hAnsi="Times New Roman"/>
                <w:sz w:val="19"/>
                <w:szCs w:val="19"/>
                <w:color w:val="auto"/>
                <w:vertAlign w:val="superscript"/>
              </w:rPr>
              <w:t>%</w:t>
            </w:r>
          </w:p>
        </w:tc>
        <w:tc>
          <w:tcPr>
            <w:tcW w:w="880" w:type="dxa"/>
            <w:vAlign w:val="bottom"/>
          </w:tcPr>
          <w:p>
            <w:pPr>
              <w:spacing w:after="0"/>
              <w:rPr>
                <w:sz w:val="10"/>
                <w:szCs w:val="10"/>
                <w:color w:val="auto"/>
              </w:rPr>
            </w:pPr>
          </w:p>
        </w:tc>
        <w:tc>
          <w:tcPr>
            <w:tcW w:w="5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3,47</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Teneo Holdings LLC</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3"/>
              </w:rPr>
              <w:t>7/18/2025</w:t>
            </w:r>
          </w:p>
        </w:tc>
        <w:tc>
          <w:tcPr>
            <w:tcW w:w="22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1080" w:type="dxa"/>
            <w:vAlign w:val="bottom"/>
            <w:vMerge w:val="continue"/>
          </w:tcPr>
          <w:p>
            <w:pPr>
              <w:spacing w:after="0"/>
              <w:rPr>
                <w:sz w:val="10"/>
                <w:szCs w:val="10"/>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L+525</w:t>
            </w:r>
          </w:p>
        </w:tc>
        <w:tc>
          <w:tcPr>
            <w:tcW w:w="5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w:t>
            </w: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3,435</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3,271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8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224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11,2</w:t>
            </w:r>
          </w:p>
        </w:tc>
        <w:tc>
          <w:tcPr>
            <w:tcW w:w="16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Aegis Technologies Group, LLC</w:t>
            </w:r>
          </w:p>
        </w:tc>
        <w:tc>
          <w:tcPr>
            <w:tcW w:w="90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10/31/2025</w:t>
            </w:r>
          </w:p>
        </w:tc>
        <w:tc>
          <w:tcPr>
            <w:tcW w:w="22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9.67 %</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L+600</w:t>
            </w:r>
          </w:p>
        </w:tc>
        <w:tc>
          <w:tcPr>
            <w:tcW w:w="5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08</w:t>
            </w:r>
          </w:p>
        </w:tc>
        <w:tc>
          <w:tcPr>
            <w:tcW w:w="16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11,102</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11,096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5,50</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3"/>
              </w:rPr>
              <w:t>7/27/2026</w:t>
            </w:r>
          </w:p>
        </w:tc>
        <w:tc>
          <w:tcPr>
            <w:tcW w:w="22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10.67 %</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L+650</w:t>
            </w:r>
          </w:p>
        </w:tc>
        <w:tc>
          <w:tcPr>
            <w:tcW w:w="5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w:t>
            </w: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5,549</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5,557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8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224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4,53</w:t>
            </w:r>
          </w:p>
        </w:tc>
        <w:tc>
          <w:tcPr>
            <w:tcW w:w="16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3"/>
              </w:rPr>
              <w:t>8/30/2027</w:t>
            </w:r>
          </w:p>
        </w:tc>
        <w:tc>
          <w:tcPr>
            <w:tcW w:w="22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8.62 %</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L+550</w:t>
            </w:r>
          </w:p>
        </w:tc>
        <w:tc>
          <w:tcPr>
            <w:tcW w:w="5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w:t>
            </w:r>
          </w:p>
        </w:tc>
        <w:tc>
          <w:tcPr>
            <w:tcW w:w="16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4,485</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4,509</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5,53</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TPC Canada Parent, Inc. and TPC US Parent, LLC</w:t>
            </w:r>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11/24/2025</w:t>
            </w:r>
          </w:p>
        </w:tc>
        <w:tc>
          <w:tcPr>
            <w:tcW w:w="22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Food</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7.78 %</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L+525</w:t>
            </w:r>
          </w:p>
        </w:tc>
        <w:tc>
          <w:tcPr>
            <w:tcW w:w="5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w:t>
            </w: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5,392</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5,370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8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224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17,3</w:t>
            </w:r>
          </w:p>
        </w:tc>
        <w:tc>
          <w:tcPr>
            <w:tcW w:w="16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TVC Enterprises, LLC</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3"/>
              </w:rPr>
              <w:t>3/26/2026</w:t>
            </w:r>
          </w:p>
        </w:tc>
        <w:tc>
          <w:tcPr>
            <w:tcW w:w="22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Transportation</w:t>
            </w:r>
          </w:p>
        </w:tc>
        <w:tc>
          <w:tcPr>
            <w:tcW w:w="10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8.87 %</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L+600</w:t>
            </w:r>
          </w:p>
        </w:tc>
        <w:tc>
          <w:tcPr>
            <w:tcW w:w="5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81</w:t>
            </w:r>
          </w:p>
        </w:tc>
        <w:tc>
          <w:tcPr>
            <w:tcW w:w="16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17,244</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16,946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7,94</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3"/>
              </w:rPr>
              <w:t>6/16/2025</w:t>
            </w:r>
          </w:p>
        </w:tc>
        <w:tc>
          <w:tcPr>
            <w:tcW w:w="22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Education</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8.76 %</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L+625</w:t>
            </w:r>
          </w:p>
        </w:tc>
        <w:tc>
          <w:tcPr>
            <w:tcW w:w="5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w:t>
            </w: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7,917</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8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224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12,0</w:t>
            </w:r>
          </w:p>
        </w:tc>
        <w:tc>
          <w:tcPr>
            <w:tcW w:w="16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4/3/2028</w:t>
            </w:r>
          </w:p>
        </w:tc>
        <w:tc>
          <w:tcPr>
            <w:tcW w:w="22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7.76 %</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L+550</w:t>
            </w:r>
          </w:p>
        </w:tc>
        <w:tc>
          <w:tcPr>
            <w:tcW w:w="5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64</w:t>
            </w:r>
          </w:p>
        </w:tc>
        <w:tc>
          <w:tcPr>
            <w:tcW w:w="16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11,938</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11,208</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4,67</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UBEO, LLC</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4/3/2024</w:t>
            </w:r>
          </w:p>
        </w:tc>
        <w:tc>
          <w:tcPr>
            <w:tcW w:w="22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Printing and Publishing</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8.17 %</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L+450</w:t>
            </w:r>
          </w:p>
        </w:tc>
        <w:tc>
          <w:tcPr>
            <w:tcW w:w="5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w:t>
            </w: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4,657</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4,604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224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9,97</w:t>
            </w:r>
          </w:p>
        </w:tc>
        <w:tc>
          <w:tcPr>
            <w:tcW w:w="16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Unique Indoor Comfort, LLC</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3"/>
              </w:rPr>
              <w:t>5/24/2027</w:t>
            </w:r>
          </w:p>
        </w:tc>
        <w:tc>
          <w:tcPr>
            <w:tcW w:w="22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Home and Office Furnishings, Housewares</w:t>
            </w:r>
          </w:p>
        </w:tc>
        <w:tc>
          <w:tcPr>
            <w:tcW w:w="10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8.95 %</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L+525</w:t>
            </w:r>
          </w:p>
        </w:tc>
        <w:tc>
          <w:tcPr>
            <w:tcW w:w="5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w:t>
            </w:r>
          </w:p>
        </w:tc>
        <w:tc>
          <w:tcPr>
            <w:tcW w:w="16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9,840</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9,755</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11,5</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3"/>
              </w:rPr>
              <w:t>2/27/2026</w:t>
            </w:r>
          </w:p>
        </w:tc>
        <w:tc>
          <w:tcPr>
            <w:tcW w:w="22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Electronics</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9.45 %</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SOFR+575</w:t>
            </w:r>
          </w:p>
        </w:tc>
        <w:tc>
          <w:tcPr>
            <w:tcW w:w="5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06</w:t>
            </w: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11,420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8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224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19,9</w:t>
            </w:r>
          </w:p>
        </w:tc>
        <w:tc>
          <w:tcPr>
            <w:tcW w:w="16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9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3/1/2024</w:t>
            </w:r>
          </w:p>
        </w:tc>
        <w:tc>
          <w:tcPr>
            <w:tcW w:w="22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10.24 %</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L+725</w:t>
            </w:r>
          </w:p>
        </w:tc>
        <w:tc>
          <w:tcPr>
            <w:tcW w:w="5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98</w:t>
            </w:r>
          </w:p>
        </w:tc>
        <w:tc>
          <w:tcPr>
            <w:tcW w:w="16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19,673</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19,499</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3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900" w:type="dxa"/>
            <w:vAlign w:val="bottom"/>
            <w:shd w:val="clear" w:color="auto" w:fill="CCECFF"/>
          </w:tcPr>
          <w:p>
            <w:pPr>
              <w:spacing w:after="0"/>
              <w:rPr>
                <w:sz w:val="10"/>
                <w:szCs w:val="10"/>
                <w:color w:val="auto"/>
              </w:rPr>
            </w:pPr>
          </w:p>
        </w:tc>
        <w:tc>
          <w:tcPr>
            <w:tcW w:w="224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738,219</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730,108</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- 864.4%</w:t>
            </w:r>
          </w:p>
        </w:tc>
        <w:tc>
          <w:tcPr>
            <w:tcW w:w="9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- 48.5%</w:t>
            </w:r>
          </w:p>
        </w:tc>
        <w:tc>
          <w:tcPr>
            <w:tcW w:w="900" w:type="dxa"/>
            <w:vAlign w:val="bottom"/>
            <w:shd w:val="clear" w:color="auto" w:fill="CCECFF"/>
          </w:tcPr>
          <w:p>
            <w:pPr>
              <w:spacing w:after="0"/>
              <w:rPr>
                <w:sz w:val="10"/>
                <w:szCs w:val="10"/>
                <w:color w:val="auto"/>
              </w:rPr>
            </w:pPr>
          </w:p>
        </w:tc>
        <w:tc>
          <w:tcPr>
            <w:tcW w:w="224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9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40,945</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40,945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900" w:type="dxa"/>
            <w:vAlign w:val="bottom"/>
            <w:shd w:val="clear" w:color="auto" w:fill="CCECFF"/>
          </w:tcPr>
          <w:p>
            <w:pPr>
              <w:spacing w:after="0"/>
              <w:rPr>
                <w:sz w:val="10"/>
                <w:szCs w:val="10"/>
                <w:color w:val="auto"/>
              </w:rPr>
            </w:pPr>
          </w:p>
        </w:tc>
        <w:tc>
          <w:tcPr>
            <w:tcW w:w="2240" w:type="dxa"/>
            <w:vAlign w:val="bottom"/>
            <w:shd w:val="clear" w:color="auto" w:fill="CCECFF"/>
          </w:tcPr>
          <w:p>
            <w:pPr>
              <w:spacing w:after="0"/>
              <w:rPr>
                <w:sz w:val="10"/>
                <w:szCs w:val="10"/>
                <w:color w:val="auto"/>
              </w:rPr>
            </w:pPr>
          </w:p>
        </w:tc>
        <w:tc>
          <w:tcPr>
            <w:tcW w:w="10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40,945</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40,945</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Total Investments and Cash Equivalents - 912.9%</w:t>
            </w:r>
          </w:p>
        </w:tc>
        <w:tc>
          <w:tcPr>
            <w:tcW w:w="9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779,164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771,053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280" w:type="dxa"/>
            <w:vAlign w:val="bottom"/>
            <w:shd w:val="clear" w:color="auto" w:fill="CCECFF"/>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rPr>
              <w:t>Liabilities in Excess of Other Assets — (812.9)%</w:t>
            </w:r>
          </w:p>
        </w:tc>
        <w:tc>
          <w:tcPr>
            <w:tcW w:w="900" w:type="dxa"/>
            <w:vAlign w:val="bottom"/>
            <w:shd w:val="clear" w:color="auto" w:fill="CCECFF"/>
          </w:tcPr>
          <w:p>
            <w:pPr>
              <w:spacing w:after="0"/>
              <w:rPr>
                <w:sz w:val="8"/>
                <w:szCs w:val="8"/>
                <w:color w:val="auto"/>
              </w:rPr>
            </w:pPr>
          </w:p>
        </w:tc>
        <w:tc>
          <w:tcPr>
            <w:tcW w:w="2240" w:type="dxa"/>
            <w:vAlign w:val="bottom"/>
            <w:shd w:val="clear" w:color="auto" w:fill="CCECFF"/>
          </w:tcPr>
          <w:p>
            <w:pPr>
              <w:spacing w:after="0"/>
              <w:rPr>
                <w:sz w:val="8"/>
                <w:szCs w:val="8"/>
                <w:color w:val="auto"/>
              </w:rPr>
            </w:pPr>
          </w:p>
        </w:tc>
        <w:tc>
          <w:tcPr>
            <w:tcW w:w="1080" w:type="dxa"/>
            <w:vAlign w:val="bottom"/>
            <w:shd w:val="clear" w:color="auto" w:fill="CCECFF"/>
          </w:tcPr>
          <w:p>
            <w:pPr>
              <w:spacing w:after="0"/>
              <w:rPr>
                <w:sz w:val="8"/>
                <w:szCs w:val="8"/>
                <w:color w:val="auto"/>
              </w:rPr>
            </w:pPr>
          </w:p>
        </w:tc>
        <w:tc>
          <w:tcPr>
            <w:tcW w:w="88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60" w:type="dxa"/>
            <w:vAlign w:val="bottom"/>
            <w:shd w:val="clear" w:color="auto" w:fill="CCECFF"/>
          </w:tcPr>
          <w:p>
            <w:pPr>
              <w:spacing w:after="0"/>
              <w:rPr>
                <w:sz w:val="8"/>
                <w:szCs w:val="8"/>
                <w:color w:val="auto"/>
              </w:rPr>
            </w:pPr>
          </w:p>
        </w:tc>
        <w:tc>
          <w:tcPr>
            <w:tcW w:w="700" w:type="dxa"/>
            <w:vAlign w:val="bottom"/>
            <w:gridSpan w:val="2"/>
            <w:shd w:val="clear" w:color="auto" w:fill="CCECFF"/>
          </w:tcPr>
          <w:p>
            <w:pPr>
              <w:jc w:val="right"/>
              <w:ind w:right="60"/>
              <w:spacing w:after="0" w:line="96" w:lineRule="exact"/>
              <w:rPr>
                <w:sz w:val="20"/>
                <w:szCs w:val="20"/>
                <w:color w:val="auto"/>
              </w:rPr>
            </w:pPr>
            <w:r>
              <w:rPr>
                <w:rFonts w:ascii="Times New Roman" w:cs="Times New Roman" w:eastAsia="Times New Roman" w:hAnsi="Times New Roman"/>
                <w:sz w:val="10"/>
                <w:szCs w:val="10"/>
                <w:color w:val="auto"/>
              </w:rPr>
              <w:t>(686,591 )</w:t>
            </w:r>
          </w:p>
        </w:tc>
        <w:tc>
          <w:tcPr>
            <w:tcW w:w="0" w:type="dxa"/>
            <w:vAlign w:val="bottom"/>
          </w:tcPr>
          <w:p>
            <w:pPr>
              <w:spacing w:after="0"/>
              <w:rPr>
                <w:sz w:val="1"/>
                <w:szCs w:val="1"/>
                <w:color w:val="auto"/>
              </w:rPr>
            </w:pPr>
          </w:p>
        </w:tc>
      </w:tr>
      <w:tr>
        <w:trPr>
          <w:trHeight w:val="120"/>
        </w:trPr>
        <w:tc>
          <w:tcPr>
            <w:tcW w:w="3280" w:type="dxa"/>
            <w:vAlign w:val="bottom"/>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Members' Equity—100.0%</w:t>
            </w:r>
          </w:p>
        </w:tc>
        <w:tc>
          <w:tcPr>
            <w:tcW w:w="9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84,462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160" w:hanging="142"/>
        <w:spacing w:after="0"/>
        <w:tabs>
          <w:tab w:leader="none" w:pos="160" w:val="left"/>
        </w:tabs>
        <w:numPr>
          <w:ilvl w:val="0"/>
          <w:numId w:val="2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floating rate instruments that accrue interest at a predetermined spread relative to an index, typically the applicable LIBOR, or “L” , Secured Overnight Financing</w:t>
      </w:r>
    </w:p>
    <w:p>
      <w:pPr>
        <w:spacing w:after="0" w:line="8" w:lineRule="exact"/>
        <w:rPr>
          <w:rFonts w:ascii="Times New Roman" w:cs="Times New Roman" w:eastAsia="Times New Roman" w:hAnsi="Times New Roman"/>
          <w:sz w:val="10"/>
          <w:szCs w:val="10"/>
          <w:color w:val="auto"/>
        </w:rPr>
      </w:pPr>
    </w:p>
    <w:p>
      <w:pPr>
        <w:ind w:left="100" w:right="3500" w:firstLine="48"/>
        <w:spacing w:after="0" w:line="313" w:lineRule="auto"/>
        <w:rPr>
          <w:rFonts w:ascii="Times New Roman" w:cs="Times New Roman" w:eastAsia="Times New Roman" w:hAnsi="Times New Roman"/>
          <w:sz w:val="10"/>
          <w:szCs w:val="10"/>
          <w:color w:val="auto"/>
        </w:rPr>
      </w:pPr>
      <w:r>
        <w:rPr>
          <w:rFonts w:ascii="Times New Roman" w:cs="Times New Roman" w:eastAsia="Times New Roman" w:hAnsi="Times New Roman"/>
          <w:sz w:val="8"/>
          <w:szCs w:val="8"/>
          <w:color w:val="auto"/>
        </w:rPr>
        <w:t>Rate or "SOFR"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160" w:hanging="142"/>
        <w:spacing w:after="0"/>
        <w:tabs>
          <w:tab w:leader="none" w:pos="160" w:val="left"/>
        </w:tabs>
        <w:numPr>
          <w:ilvl w:val="0"/>
          <w:numId w:val="2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Valued based on PSLF’s accounting policy.</w:t>
      </w:r>
    </w:p>
    <w:p>
      <w:pPr>
        <w:spacing w:after="0" w:line="5" w:lineRule="exact"/>
        <w:rPr>
          <w:rFonts w:ascii="Times New Roman" w:cs="Times New Roman" w:eastAsia="Times New Roman" w:hAnsi="Times New Roman"/>
          <w:sz w:val="10"/>
          <w:szCs w:val="10"/>
          <w:color w:val="auto"/>
        </w:rPr>
      </w:pPr>
    </w:p>
    <w:p>
      <w:pPr>
        <w:ind w:left="160" w:hanging="142"/>
        <w:spacing w:after="0"/>
        <w:tabs>
          <w:tab w:leader="none" w:pos="160" w:val="left"/>
        </w:tabs>
        <w:numPr>
          <w:ilvl w:val="0"/>
          <w:numId w:val="2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the purchase of a security with a delayed settlement or a revolving line of credit that is currenlty an unfunded investment. This security does not earn a basis point spread above an index while it is unfunded.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5" w:right="680" w:bottom="1440" w:gutter="0" w:footer="0" w:header="0"/>
        </w:sectPr>
      </w:pPr>
    </w:p>
    <w:bookmarkStart w:id="152" w:name="page153"/>
    <w:bookmarkEnd w:id="152"/>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SEPTEMBER 30, 2023</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 ORGANIZATION</w:t>
      </w:r>
    </w:p>
    <w:p>
      <w:pPr>
        <w:spacing w:after="0" w:line="165" w:lineRule="exact"/>
        <w:rPr>
          <w:sz w:val="20"/>
          <w:szCs w:val="20"/>
          <w:color w:val="auto"/>
        </w:rPr>
      </w:pPr>
    </w:p>
    <w:p>
      <w:pPr>
        <w:jc w:val="both"/>
        <w:ind w:right="180" w:firstLine="348"/>
        <w:spacing w:after="0" w:line="268" w:lineRule="auto"/>
        <w:rPr>
          <w:sz w:val="20"/>
          <w:szCs w:val="20"/>
          <w:color w:val="auto"/>
        </w:rPr>
      </w:pPr>
      <w:r>
        <w:rPr>
          <w:rFonts w:ascii="Times New Roman" w:cs="Times New Roman" w:eastAsia="Times New Roman" w:hAnsi="Times New Roman"/>
          <w:sz w:val="13"/>
          <w:szCs w:val="13"/>
          <w:color w:val="auto"/>
        </w:rPr>
        <w:t>PennantPark Senior Loan Fund, LLC, or PSLF, is organized as a Delaware limited liability company and commenced operations in July 2020. PSLF is a joint venture between PennantPark Investment Corporation ("PNNT") and Pantheon Ventures (UK), LLP ("Pantheon"). In this report, except where the context suggests otherwise, the terms “Company,” “we,” “our,” or “us” refer to PSLF and its consolidated subsidiary.</w:t>
      </w:r>
    </w:p>
    <w:p>
      <w:pPr>
        <w:spacing w:after="0" w:line="1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Company's investment objectives are to generate both current income and capital appreciation while seeking to preserve capital through debt and equity investments primarily made to 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middle-market companies in the form of first lien secured debt, second lien secured debt and subordinated debt and equity investments.</w:t>
      </w:r>
    </w:p>
    <w:p>
      <w:pPr>
        <w:spacing w:after="0" w:line="149"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3"/>
          <w:szCs w:val="13"/>
          <w:color w:val="auto"/>
        </w:rPr>
        <w:t>PNNT and Pantheon (individually a "Member" and collectively the "Members"), provide capital to PSLF in the form of notes and equity interests. On July 31, 2020, PNNT contributed its formerly wholly- owned subsidiary, PennantPark Investment Funding I, LLC (“Funding I”) to the Company in exchange for a 72% stake in PSLF. As of July 31, 2020, Funding I held $356.1 million of senior loans at fair value and had $240.0 million of debt outstanding (see Note 10). On July 31, 2020 Pantheon invested $35.0 million to acquire a 28% stake in PSLF of which $22.5 million was used to partially pay down Funding I's outstanding debt. Subsequent to the contribution of Funding I by PNNT, Funding I became a wholly-owned subsidiary of PSLF and its operations are consolidated with and into the operations of PSLF.</w:t>
      </w:r>
    </w:p>
    <w:p>
      <w:pPr>
        <w:spacing w:after="0" w:line="130" w:lineRule="exact"/>
        <w:rPr>
          <w:sz w:val="20"/>
          <w:szCs w:val="20"/>
          <w:color w:val="auto"/>
        </w:rPr>
      </w:pPr>
    </w:p>
    <w:p>
      <w:pPr>
        <w:jc w:val="both"/>
        <w:ind w:right="20" w:firstLine="420"/>
        <w:spacing w:after="0" w:line="268" w:lineRule="auto"/>
        <w:rPr>
          <w:sz w:val="20"/>
          <w:szCs w:val="20"/>
          <w:color w:val="auto"/>
        </w:rPr>
      </w:pPr>
      <w:r>
        <w:rPr>
          <w:rFonts w:ascii="Times New Roman" w:cs="Times New Roman" w:eastAsia="Times New Roman" w:hAnsi="Times New Roman"/>
          <w:sz w:val="13"/>
          <w:szCs w:val="13"/>
          <w:color w:val="auto"/>
        </w:rPr>
        <w:t>On October 31, 2020, PNNT and Pantheon contributed an additional $1.8 million and $27.5 million, respectively, to PSLF. PNNT’s and Pantheon’s additional investments came in at PSLF’s then current Members’ equity. As a result of the additional capital contribution, PNNT and Pantheon owned 60.5% and 39.5%, respectively, of the outstanding notes and equity interests of PSLF (see Note 6).</w:t>
      </w:r>
    </w:p>
    <w:p>
      <w:pPr>
        <w:spacing w:after="0" w:line="123" w:lineRule="exact"/>
        <w:rPr>
          <w:sz w:val="20"/>
          <w:szCs w:val="20"/>
          <w:color w:val="auto"/>
        </w:rPr>
      </w:pPr>
    </w:p>
    <w:p>
      <w:pPr>
        <w:jc w:val="both"/>
        <w:ind w:firstLine="348"/>
        <w:spacing w:after="0" w:line="286" w:lineRule="auto"/>
        <w:rPr>
          <w:sz w:val="20"/>
          <w:szCs w:val="20"/>
          <w:color w:val="auto"/>
        </w:rPr>
      </w:pPr>
      <w:r>
        <w:rPr>
          <w:rFonts w:ascii="Times New Roman" w:cs="Times New Roman" w:eastAsia="Times New Roman" w:hAnsi="Times New Roman"/>
          <w:sz w:val="13"/>
          <w:szCs w:val="13"/>
          <w:color w:val="auto"/>
        </w:rPr>
        <w:t>The administrative agent of the Company is PennantPark Investment Administration, LLC (the "Administrative Agent"). The Bank of New York Mellon Corporation (the "Sub-Administrator") provides certain services to the Company with respect to certain accounting matters and has the responsibility for the official books and records.</w:t>
      </w:r>
    </w:p>
    <w:p>
      <w:pPr>
        <w:spacing w:after="0" w:line="112" w:lineRule="exact"/>
        <w:rPr>
          <w:sz w:val="20"/>
          <w:szCs w:val="20"/>
          <w:color w:val="auto"/>
        </w:rPr>
      </w:pPr>
    </w:p>
    <w:p>
      <w:pPr>
        <w:ind w:right="40" w:firstLine="348"/>
        <w:spacing w:after="0" w:line="259" w:lineRule="auto"/>
        <w:rPr>
          <w:sz w:val="20"/>
          <w:szCs w:val="20"/>
          <w:color w:val="auto"/>
        </w:rPr>
      </w:pPr>
      <w:r>
        <w:rPr>
          <w:rFonts w:ascii="Times New Roman" w:cs="Times New Roman" w:eastAsia="Times New Roman" w:hAnsi="Times New Roman"/>
          <w:sz w:val="13"/>
          <w:szCs w:val="13"/>
          <w:color w:val="auto"/>
        </w:rPr>
        <w:t>PNNT and Pantheon each appointed two members to PSLF’s four-person member designees’ committee. All material decisions with respect to PSLF, including those involving its investment portfolio, require unanimous approval of a quorum of the member designees. Quorum is defined as (i) the presence of two members of the member designees’ committee; provided that at least one individual is present that was elected, designated or appointed by each member; (ii) the presence of three members of the member designees’ committee, provided that the individual that was elected, designated or appointed by the member with only one individual present shall be entitled to cast two votes on each matter; and (iii) the presence of four members of the member designees or investment committee shall constitute a quorum, provided that two individuals are present that were elected, designated or appointed by each member.</w:t>
      </w:r>
    </w:p>
    <w:p>
      <w:pPr>
        <w:spacing w:after="0" w:line="1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PennantPark CLO IV, LLC ("CLO IV") is a wholly-owned subsidiary and was formed in March 2022 for the purpose of executing a debt securitization (See Note 10).</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PennantPark CLO VII, LLC ("CLO VII") is a wholly-owned subsidiary and was formed in July 2023 for the purpose of executing a debt securitization (See Note 10).</w:t>
      </w:r>
    </w:p>
    <w:p>
      <w:pPr>
        <w:spacing w:after="0" w:line="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698500</wp:posOffset>
            </wp:positionV>
            <wp:extent cx="6732905" cy="406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131" w:right="720" w:bottom="1440" w:gutter="0" w:footer="0" w:header="0"/>
        </w:sectPr>
      </w:pPr>
    </w:p>
    <w:bookmarkStart w:id="153" w:name="page154"/>
    <w:bookmarkEnd w:id="153"/>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2023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 SIGNIFICANT ACCOUNTING POLICIES</w:t>
      </w:r>
    </w:p>
    <w:p>
      <w:pPr>
        <w:spacing w:after="0" w:line="165"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3"/>
          <w:szCs w:val="13"/>
          <w:color w:val="auto"/>
        </w:rPr>
        <w:t>PSLF is considered an investment company under U.S. generally accepted accounting principles ("GAAP") and follows the accounting and reporting guidance applicable to investment companies in the Financial Accounting Standards Board Accounting Standards Codification Topic 946. References to the Accounting Standards Codification, as amended ("ASC"), serves as a source of accounting literature. Subsequent events are evaluated and disclosed as appropriate for events occurring through the date the consolidated financial statements are issued. The preparation of our consolidated financial statements in conformity with GAAP requires the Company to make estimates and assumptions that affect the reported amount of our assets and liabilities at the date of the consolidated financial statements and the reported amounts of income and expenses during the reported periods. In the opinion of the Company,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have eliminated all intercompany balances and transactions.</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(a) Restatement of Previously Issued Financial Statement</w:t>
      </w:r>
    </w:p>
    <w:p>
      <w:pPr>
        <w:spacing w:after="0" w:line="167" w:lineRule="exact"/>
        <w:rPr>
          <w:sz w:val="20"/>
          <w:szCs w:val="20"/>
          <w:color w:val="auto"/>
        </w:rPr>
      </w:pPr>
    </w:p>
    <w:p>
      <w:pPr>
        <w:ind w:right="40" w:firstLine="297"/>
        <w:spacing w:after="0" w:line="256" w:lineRule="auto"/>
        <w:rPr>
          <w:sz w:val="20"/>
          <w:szCs w:val="20"/>
          <w:color w:val="auto"/>
        </w:rPr>
      </w:pPr>
      <w:r>
        <w:rPr>
          <w:rFonts w:ascii="Times New Roman" w:cs="Times New Roman" w:eastAsia="Times New Roman" w:hAnsi="Times New Roman"/>
          <w:sz w:val="13"/>
          <w:szCs w:val="13"/>
          <w:color w:val="auto"/>
        </w:rPr>
        <w:t>During the preparation of the financial statements as of and for the year ended September 30, 2023, Management identified an error in the classification and presentation of cash pertaining to the Company’s affiliate, PNNT, in the September 30, 2022 financial statements. The Company recorded cash activity and due from affiliate pertaining to their investments as an increase in the cash account instead of presenting the related cash and cash equivalents as an asset and another asset for due from affiliate. The impact of the error correction is reflected in a $2.0 million decrease to cash and offsetting increase to due from affiliates as of September 30, 2022 and a decrease in due from affiliates within operating activities on the consolidated statement of cash flows totaling $2.0 million for the year ended September 30, 2022. There was no impact from the error correction to total members' equity as reported on the consolidated statement of assets, liabilities and members' equity as of September 30, 2022. In addition, there was no impact from the error correction on net investment income or net increase (decrease) in members' equity resulting from operations in total as reported on the consolidated statement of operations for the year ended September 30, 2022. The corrections were reported in the year ended September 30, 2023.</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Our significant accounting policies consistently applied are as follows:</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(b) Investment Valuations</w:t>
      </w:r>
    </w:p>
    <w:p>
      <w:pPr>
        <w:spacing w:after="0" w:line="167"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member designees’ using a documented valuation policy, described herein, and a consistently applied valuation process. With respect to investments for which there is no readily available market value, the factors that the member designees’ may consider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4.</w:t>
      </w:r>
    </w:p>
    <w:p>
      <w:pPr>
        <w:spacing w:after="0" w:line="132" w:lineRule="exact"/>
        <w:rPr>
          <w:sz w:val="20"/>
          <w:szCs w:val="20"/>
          <w:color w:val="auto"/>
        </w:rPr>
      </w:pPr>
    </w:p>
    <w:p>
      <w:pPr>
        <w:ind w:right="420" w:firstLine="420"/>
        <w:spacing w:after="0" w:line="286" w:lineRule="auto"/>
        <w:rPr>
          <w:sz w:val="20"/>
          <w:szCs w:val="20"/>
          <w:color w:val="auto"/>
        </w:rPr>
      </w:pPr>
      <w:r>
        <w:rPr>
          <w:rFonts w:ascii="Times New Roman" w:cs="Times New Roman" w:eastAsia="Times New Roman" w:hAnsi="Times New Roman"/>
          <w:sz w:val="13"/>
          <w:szCs w:val="13"/>
          <w:color w:val="auto"/>
        </w:rPr>
        <w:t>Our portfolio generally consists of illiquid securities, including debt investments. With respect to investments for which market quotations are not readily available, or for which market quotations are deemed not reflective of the fair value, our member designees’ undertakes a multi-step valuation process each quarter, as described below:</w:t>
      </w:r>
    </w:p>
    <w:p>
      <w:pPr>
        <w:spacing w:after="0" w:line="112" w:lineRule="exact"/>
        <w:rPr>
          <w:sz w:val="20"/>
          <w:szCs w:val="20"/>
          <w:color w:val="auto"/>
        </w:rPr>
      </w:pPr>
    </w:p>
    <w:p>
      <w:pPr>
        <w:ind w:left="540" w:right="180"/>
        <w:spacing w:after="0" w:line="286" w:lineRule="auto"/>
        <w:rPr>
          <w:sz w:val="20"/>
          <w:szCs w:val="20"/>
          <w:color w:val="auto"/>
        </w:rPr>
      </w:pPr>
      <w:r>
        <w:rPr>
          <w:rFonts w:ascii="Times New Roman" w:cs="Times New Roman" w:eastAsia="Times New Roman" w:hAnsi="Times New Roman"/>
          <w:sz w:val="13"/>
          <w:szCs w:val="13"/>
          <w:color w:val="auto"/>
        </w:rPr>
        <w:t>(1)Our quarterly valuation process begins with each portfolio company or investment being initially valued by the investment professionals of PennantPark Investment Advisers, LLC, the investment adviser to PNNT, responsible for the portfolio investment;</w:t>
      </w:r>
    </w:p>
    <w:p>
      <w:pPr>
        <w:spacing w:after="0" w:line="11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(2)Preliminary valuation conclusions are then documented and discussed with the management of PennantPark Investment Advisers, LLC;</w:t>
      </w:r>
    </w:p>
    <w:p>
      <w:pPr>
        <w:spacing w:after="0" w:line="163" w:lineRule="exact"/>
        <w:rPr>
          <w:sz w:val="20"/>
          <w:szCs w:val="20"/>
          <w:color w:val="auto"/>
        </w:rPr>
      </w:pPr>
    </w:p>
    <w:p>
      <w:pPr>
        <w:ind w:left="540" w:right="60"/>
        <w:spacing w:after="0" w:line="268" w:lineRule="auto"/>
        <w:rPr>
          <w:sz w:val="20"/>
          <w:szCs w:val="20"/>
          <w:color w:val="auto"/>
        </w:rPr>
      </w:pPr>
      <w:r>
        <w:rPr>
          <w:rFonts w:ascii="Times New Roman" w:cs="Times New Roman" w:eastAsia="Times New Roman" w:hAnsi="Times New Roman"/>
          <w:sz w:val="13"/>
          <w:szCs w:val="13"/>
          <w:color w:val="auto"/>
        </w:rPr>
        <w:t>(3)Our member designees also engages independent valuation firms to conduct independent appraisals of our investments for which market quotations are not readily available or are readily available but deemed not reflective of the fair value of the investment. The independent valuation firms review PennantPark Investment Advisers, LLC’s preliminary valuations in light of their own independent assessment and also in light of any market quotations obtained from an independent pricing service, broker, dealer or market maker;</w:t>
      </w:r>
    </w:p>
    <w:p>
      <w:pPr>
        <w:spacing w:after="0" w:line="123" w:lineRule="exact"/>
        <w:rPr>
          <w:sz w:val="20"/>
          <w:szCs w:val="20"/>
          <w:color w:val="auto"/>
        </w:rPr>
      </w:pPr>
    </w:p>
    <w:p>
      <w:pPr>
        <w:ind w:left="540" w:right="160"/>
        <w:spacing w:after="0" w:line="268" w:lineRule="auto"/>
        <w:rPr>
          <w:sz w:val="20"/>
          <w:szCs w:val="20"/>
          <w:color w:val="auto"/>
        </w:rPr>
      </w:pPr>
      <w:r>
        <w:rPr>
          <w:rFonts w:ascii="Times New Roman" w:cs="Times New Roman" w:eastAsia="Times New Roman" w:hAnsi="Times New Roman"/>
          <w:sz w:val="13"/>
          <w:szCs w:val="13"/>
          <w:color w:val="auto"/>
        </w:rPr>
        <w:t>(4)Our member designees reviews the preliminary valuations of PennantPark Investment Advisers, LLC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23" w:lineRule="exact"/>
        <w:rPr>
          <w:sz w:val="20"/>
          <w:szCs w:val="20"/>
          <w:color w:val="auto"/>
        </w:rPr>
      </w:pPr>
    </w:p>
    <w:p>
      <w:pPr>
        <w:ind w:left="540" w:right="160"/>
        <w:spacing w:after="0" w:line="286" w:lineRule="auto"/>
        <w:rPr>
          <w:sz w:val="20"/>
          <w:szCs w:val="20"/>
          <w:color w:val="auto"/>
        </w:rPr>
      </w:pPr>
      <w:r>
        <w:rPr>
          <w:rFonts w:ascii="Times New Roman" w:cs="Times New Roman" w:eastAsia="Times New Roman" w:hAnsi="Times New Roman"/>
          <w:sz w:val="13"/>
          <w:szCs w:val="13"/>
          <w:color w:val="auto"/>
        </w:rPr>
        <w:t>(5)Our member designees assesses these valuations and determines the fair value of each investment in our portfolio in good faith, based on the input of PennantPark Investment Advisers, LLC and the respective independent valuation firms.</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709295</wp:posOffset>
            </wp:positionV>
            <wp:extent cx="6732905" cy="406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SEPTEMBER 30, 2023 (Continued)</w:t>
      </w:r>
    </w:p>
    <w:p>
      <w:pPr>
        <w:spacing w:after="0" w:line="200" w:lineRule="exact"/>
        <w:rPr>
          <w:sz w:val="20"/>
          <w:szCs w:val="20"/>
          <w:color w:val="auto"/>
        </w:rPr>
      </w:pPr>
    </w:p>
    <w:p>
      <w:pPr>
        <w:spacing w:after="0" w:line="320" w:lineRule="exact"/>
        <w:rPr>
          <w:sz w:val="20"/>
          <w:szCs w:val="20"/>
          <w:color w:val="auto"/>
        </w:rPr>
      </w:pPr>
    </w:p>
    <w:p>
      <w:pPr>
        <w:ind w:right="20" w:firstLine="420"/>
        <w:spacing w:after="0" w:line="262" w:lineRule="auto"/>
        <w:rPr>
          <w:sz w:val="20"/>
          <w:szCs w:val="20"/>
          <w:color w:val="auto"/>
        </w:rPr>
      </w:pPr>
      <w:r>
        <w:rPr>
          <w:rFonts w:ascii="Times New Roman" w:cs="Times New Roman" w:eastAsia="Times New Roman" w:hAnsi="Times New Roman"/>
          <w:sz w:val="13"/>
          <w:szCs w:val="13"/>
          <w:color w:val="auto"/>
        </w:rPr>
        <w:t>Our member designees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PennantPark Investment Advisers, LLC assesses the source and reliability of bids from brokers or dealers. If the member designees’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(c) Security Transactions, Revenue Recognition, and Realized/Unrealized Gains or Losses</w:t>
      </w:r>
    </w:p>
    <w:p>
      <w:pPr>
        <w:spacing w:after="0" w:line="167" w:lineRule="exact"/>
        <w:rPr>
          <w:sz w:val="20"/>
          <w:szCs w:val="20"/>
          <w:color w:val="auto"/>
        </w:rPr>
      </w:pPr>
    </w:p>
    <w:p>
      <w:pPr>
        <w:ind w:firstLine="420"/>
        <w:spacing w:after="0" w:line="256" w:lineRule="auto"/>
        <w:rPr>
          <w:sz w:val="20"/>
          <w:szCs w:val="20"/>
          <w:color w:val="auto"/>
        </w:rPr>
      </w:pPr>
      <w:r>
        <w:rPr>
          <w:rFonts w:ascii="Times New Roman" w:cs="Times New Roman" w:eastAsia="Times New Roman" w:hAnsi="Times New Roman"/>
          <w:sz w:val="13"/>
          <w:szCs w:val="13"/>
          <w:color w:val="auto"/>
        </w:rPr>
        <w:t>Security transactions are recorded on a trade date basis. We record interest income on an accrual basis to the extent that we expect to collect such amounts. For loans and debt investments with contractual payment-in-kind, or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("OID"), market discount or premium and deferred financing costs on liabilities, which we do not fair value, are capitalized and then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32"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Loans are placed on non-accrual status when principal or interest payments are past due 30 days or more and/or if there is reasonable doubt that principal or interest will be collected. Accrued interest receivable is generally reversed when a loan is placed on non-accrual status. Interest payments received on non-accrual loans may be recognized as income or applied to principal depending upon the Company's judgment. Non-accrual loans are restored to accrual status when past due principal and interest is paid and, in the Company's judgment, are likely to remain current. There were no loans on non-accrual status as of September 30, 2023 and 2022.</w:t>
      </w:r>
    </w:p>
    <w:p>
      <w:pPr>
        <w:spacing w:after="0" w:line="127"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We measure realized gains and losses by the difference between the net proceeds from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during the reporting period, including any reversal of previously recorded unrealized appreciation and depreciation, when gains or losses are realized.</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(d) Income Taxes</w:t>
      </w:r>
    </w:p>
    <w:p>
      <w:pPr>
        <w:spacing w:after="0" w:line="167" w:lineRule="exact"/>
        <w:rPr>
          <w:sz w:val="20"/>
          <w:szCs w:val="20"/>
          <w:color w:val="auto"/>
        </w:rPr>
      </w:pPr>
    </w:p>
    <w:p>
      <w:pPr>
        <w:ind w:right="140" w:firstLine="420"/>
        <w:spacing w:after="0" w:line="286" w:lineRule="auto"/>
        <w:rPr>
          <w:sz w:val="20"/>
          <w:szCs w:val="20"/>
          <w:color w:val="auto"/>
        </w:rPr>
      </w:pPr>
      <w:r>
        <w:rPr>
          <w:rFonts w:ascii="Times New Roman" w:cs="Times New Roman" w:eastAsia="Times New Roman" w:hAnsi="Times New Roman"/>
          <w:sz w:val="13"/>
          <w:szCs w:val="13"/>
          <w:color w:val="auto"/>
        </w:rPr>
        <w:t>PSLF is classified as a partnership for U.S. federal income tax purposes and is not subject to U.S. federal income tax. Accordingly, no provisions for U.S. income taxes have been made. The Members are responsible for reporting their share of the PSLF’s income or loss on their U.S. income tax returns.</w:t>
      </w:r>
    </w:p>
    <w:p>
      <w:pPr>
        <w:spacing w:after="0" w:line="112" w:lineRule="exact"/>
        <w:rPr>
          <w:sz w:val="20"/>
          <w:szCs w:val="20"/>
          <w:color w:val="auto"/>
        </w:rPr>
      </w:pPr>
    </w:p>
    <w:p>
      <w:pPr>
        <w:jc w:val="both"/>
        <w:ind w:right="200" w:firstLine="420"/>
        <w:spacing w:after="0" w:line="268" w:lineRule="auto"/>
        <w:rPr>
          <w:sz w:val="20"/>
          <w:szCs w:val="20"/>
          <w:color w:val="auto"/>
        </w:rPr>
      </w:pPr>
      <w:r>
        <w:rPr>
          <w:rFonts w:ascii="Times New Roman" w:cs="Times New Roman" w:eastAsia="Times New Roman" w:hAnsi="Times New Roman"/>
          <w:sz w:val="13"/>
          <w:szCs w:val="13"/>
          <w:color w:val="auto"/>
        </w:rPr>
        <w:t>In accordance with FASB ASC Topic 740, the Company is required to determine whether a tax position of PSLF is more likely than not, based on the technical merits of the position, to be sustained upon examination including resolution of any related appeals or litigation processes. The tax benefit to be recognized is measured as the largest amount of benefit that is greater than 50% likely of being realized upon ultimate settlement. De-recognition of a tax benefit previously recognized could result in PSLF recording a tax liability that would reduce members’ capital.</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For the years ended September 30, 2023 and 2022, there were no material uncertain income tax positions.</w:t>
      </w:r>
    </w:p>
    <w:p>
      <w:pPr>
        <w:spacing w:after="0" w:line="159" w:lineRule="exact"/>
        <w:rPr>
          <w:sz w:val="20"/>
          <w:szCs w:val="20"/>
          <w:color w:val="auto"/>
        </w:rPr>
      </w:pPr>
    </w:p>
    <w:p>
      <w:pPr>
        <w:ind w:left="420" w:hanging="186"/>
        <w:spacing w:after="0"/>
        <w:tabs>
          <w:tab w:leader="none" w:pos="420" w:val="left"/>
        </w:tabs>
        <w:numPr>
          <w:ilvl w:val="0"/>
          <w:numId w:val="21"/>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Foreign Currency Translation</w:t>
      </w:r>
    </w:p>
    <w:p>
      <w:pPr>
        <w:spacing w:after="0" w:line="166" w:lineRule="exact"/>
        <w:rPr>
          <w:rFonts w:ascii="Times New Roman" w:cs="Times New Roman" w:eastAsia="Times New Roman" w:hAnsi="Times New Roman"/>
          <w:sz w:val="13"/>
          <w:szCs w:val="13"/>
          <w:b w:val="1"/>
          <w:bCs w:val="1"/>
          <w:i w:val="1"/>
          <w:iCs w:val="1"/>
          <w:color w:val="auto"/>
        </w:rPr>
      </w:pPr>
    </w:p>
    <w:p>
      <w:pPr>
        <w:jc w:val="right"/>
        <w:ind w:left="540" w:right="2780" w:hanging="108"/>
        <w:spacing w:after="0" w:line="501"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Our books and records are maintained in U.S. dollars. Any foreign currency amounts are translated into U.S. dollars on the following basis: 1.Fair value of investment securities, other assets and liabilities – at the exchange rates prevailing at the end of the applicable period; and</w:t>
      </w:r>
    </w:p>
    <w:p>
      <w:pPr>
        <w:ind w:left="540"/>
        <w:spacing w:after="0"/>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2.Purchases and sales of investment securities, income and expenses – at the exchange rates prevailing on the respective dates of such transactions.</w:t>
      </w:r>
    </w:p>
    <w:p>
      <w:pPr>
        <w:spacing w:after="0" w:line="163" w:lineRule="exact"/>
        <w:rPr>
          <w:sz w:val="20"/>
          <w:szCs w:val="20"/>
          <w:color w:val="auto"/>
        </w:rPr>
      </w:pPr>
    </w:p>
    <w:p>
      <w:pPr>
        <w:ind w:right="180" w:firstLine="420"/>
        <w:spacing w:after="0" w:line="268" w:lineRule="auto"/>
        <w:rPr>
          <w:sz w:val="20"/>
          <w:szCs w:val="20"/>
          <w:color w:val="auto"/>
        </w:rPr>
      </w:pPr>
      <w:r>
        <w:rPr>
          <w:rFonts w:ascii="Times New Roman" w:cs="Times New Roman" w:eastAsia="Times New Roman" w:hAnsi="Times New Roman"/>
          <w:sz w:val="13"/>
          <w:szCs w:val="13"/>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held. Such fluctuations are included with the net realized and unrealized gain or loss from investments and liabilities.</w:t>
      </w:r>
    </w:p>
    <w:p>
      <w:pPr>
        <w:spacing w:after="0" w:line="123" w:lineRule="exact"/>
        <w:rPr>
          <w:sz w:val="20"/>
          <w:szCs w:val="20"/>
          <w:color w:val="auto"/>
        </w:rPr>
      </w:pPr>
    </w:p>
    <w:p>
      <w:pPr>
        <w:ind w:right="140" w:firstLine="420"/>
        <w:spacing w:after="0" w:line="268" w:lineRule="auto"/>
        <w:rPr>
          <w:sz w:val="20"/>
          <w:szCs w:val="20"/>
          <w:color w:val="auto"/>
        </w:rPr>
      </w:pPr>
      <w:r>
        <w:rPr>
          <w:rFonts w:ascii="Times New Roman" w:cs="Times New Roman" w:eastAsia="Times New Roman" w:hAnsi="Times New Roman"/>
          <w:sz w:val="13"/>
          <w:szCs w:val="13"/>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709295</wp:posOffset>
            </wp:positionV>
            <wp:extent cx="6732905" cy="406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155" w:name="page156"/>
    <w:bookmarkEnd w:id="155"/>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2023 (Continued)</w:t>
      </w:r>
    </w:p>
    <w:p>
      <w:pPr>
        <w:spacing w:after="0" w:line="200" w:lineRule="exact"/>
        <w:rPr>
          <w:sz w:val="20"/>
          <w:szCs w:val="20"/>
          <w:color w:val="auto"/>
        </w:rPr>
      </w:pPr>
    </w:p>
    <w:p>
      <w:pPr>
        <w:spacing w:after="0" w:line="3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(f) Consolidation</w:t>
      </w:r>
    </w:p>
    <w:p>
      <w:pPr>
        <w:spacing w:after="0" w:line="167" w:lineRule="exact"/>
        <w:rPr>
          <w:sz w:val="20"/>
          <w:szCs w:val="20"/>
          <w:color w:val="auto"/>
        </w:rPr>
      </w:pPr>
    </w:p>
    <w:p>
      <w:pPr>
        <w:ind w:right="40" w:firstLine="420"/>
        <w:spacing w:after="0" w:line="286" w:lineRule="auto"/>
        <w:rPr>
          <w:sz w:val="20"/>
          <w:szCs w:val="20"/>
          <w:color w:val="auto"/>
        </w:rPr>
      </w:pPr>
      <w:r>
        <w:rPr>
          <w:rFonts w:ascii="Times New Roman" w:cs="Times New Roman" w:eastAsia="Times New Roman" w:hAnsi="Times New Roman"/>
          <w:sz w:val="13"/>
          <w:szCs w:val="13"/>
          <w:color w:val="auto"/>
        </w:rPr>
        <w:t>As explained by ASC paragraph 946-810-45, PSLF will generally not consolidate its investment in a company other than an investment company subsidiary or a controlled operating company whose business consists of providing services to us.</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(g) Recent Accounting Pronouncements</w:t>
      </w:r>
    </w:p>
    <w:p>
      <w:pPr>
        <w:spacing w:after="0" w:line="16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3"/>
          <w:szCs w:val="13"/>
          <w:color w:val="auto"/>
        </w:rPr>
        <w:t xml:space="preserve">In August 2018, the FASB issued ASU 2018-13, Fair Value Measurement (Topic 820): </w:t>
      </w:r>
      <w:r>
        <w:rPr>
          <w:rFonts w:ascii="Times New Roman" w:cs="Times New Roman" w:eastAsia="Times New Roman" w:hAnsi="Times New Roman"/>
          <w:sz w:val="13"/>
          <w:szCs w:val="13"/>
          <w:i w:val="1"/>
          <w:iCs w:val="1"/>
          <w:color w:val="auto"/>
        </w:rPr>
        <w:t>Disclosure Framework - Changes in the Disclosure Requirements for Fair Value Measurement</w:t>
      </w:r>
      <w:r>
        <w:rPr>
          <w:rFonts w:ascii="Times New Roman" w:cs="Times New Roman" w:eastAsia="Times New Roman" w:hAnsi="Times New Roman"/>
          <w:sz w:val="13"/>
          <w:szCs w:val="13"/>
          <w:color w:val="auto"/>
        </w:rPr>
        <w:t>, which changes the fair value measurement disclosure requirements on fair value measurements in Topic 820. The ASU removed the requirements to disclosure the policy for the timing of transfers between levels, the valuation processes for Level 3 fair value measurements, the Level 3 reconciliation from opening balances to closing balances, and the change in unrealized gains and losses of Level 3 fair value measurements held on the balance sheet date. While most changes are applied on a retrospective basis, the ASU still requires the change in unrealized gain and losses of Level 3 fair value measurements held as of the prior year to be disclosed. As a result of these removals certain modifications were made, including disclosure of the amount of and reason for transfers into and out of Level 3 of the fair value hierarchy and the amount of purchases and issues of Level 3 assets and liabilities. The Company adopted this ASU for the year ended September 30, 2023.</w:t>
      </w:r>
    </w:p>
    <w:p>
      <w:pPr>
        <w:spacing w:after="0" w:line="130"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3"/>
          <w:szCs w:val="13"/>
          <w:color w:val="auto"/>
        </w:rPr>
        <w:t>In March 2020, the FASB issued Accounting Standards Update 2020- 04, “Reference Rate Reform (Topic 848): Facilitation of the Effects of Reference Rate Reform on Financial Reporting” ("ASU 2020 -04").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Company utilized the optional expedients and exceptions provided by ASU 2020-04 during the years ended September 30, 2023 and September 30, 2022, the effect of which was not material to the consolidated financial statements and the notes thereto.</w:t>
      </w:r>
    </w:p>
    <w:p>
      <w:pPr>
        <w:spacing w:after="0" w:line="130" w:lineRule="exact"/>
        <w:rPr>
          <w:sz w:val="20"/>
          <w:szCs w:val="20"/>
          <w:color w:val="auto"/>
        </w:rPr>
      </w:pPr>
    </w:p>
    <w:p>
      <w:pPr>
        <w:ind w:right="100" w:firstLine="420"/>
        <w:spacing w:after="0" w:line="259" w:lineRule="auto"/>
        <w:rPr>
          <w:sz w:val="20"/>
          <w:szCs w:val="20"/>
          <w:color w:val="auto"/>
        </w:rPr>
      </w:pPr>
      <w:r>
        <w:rPr>
          <w:rFonts w:ascii="Times New Roman" w:cs="Times New Roman" w:eastAsia="Times New Roman" w:hAnsi="Times New Roman"/>
          <w:sz w:val="13"/>
          <w:szCs w:val="13"/>
          <w:color w:val="auto"/>
        </w:rPr>
        <w:t>In March 2022, the FASB issued Accounting Standards Update 2022-02, “Financial Instruments - Credit Losses (Topic 326)” ("ASU 2022-02"), which is intended to address issues identified during the post-implementation review of ASU 2016-13, “Financial Instruments - Credit Losses (Topic 326): Measurement of Credit Losses on Financial Instruments”. The amendment, among other things, eliminates the accounting guidance for troubled debt restructurings by creditors in Subtopic 310-40, “Receivables - Troubled Debt Restructurings by Creditors”, while enhancing disclosure requirements for certain loan refinancings and restructurings by creditors when a borrower is experiencing financial difficulty. The new guidance is effective for interim and annual periods beginning after December 15, 2022. The Company adopted ASU 2022-02 on its consolidated financial statement and disclosures.</w:t>
      </w:r>
    </w:p>
    <w:p>
      <w:pPr>
        <w:spacing w:after="0" w:line="130"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In June 2022, the FASB issued Accounting Standards Update No. 2022-03, "Fair Value Measurement (Topic 820): Fair Value Measurement of Equity Securities Subject to Contractual Sale Restrictions",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3. AGREEMENTS AND RELATED PARTY TRANSACTIONS</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For the years ended September 30, 2023 and 2022, PSLF purchased $127.8 million and $395.3 million of investments from PNNT, respectively.</w:t>
      </w:r>
    </w:p>
    <w:p>
      <w:pPr>
        <w:spacing w:after="0" w:line="163" w:lineRule="exact"/>
        <w:rPr>
          <w:sz w:val="20"/>
          <w:szCs w:val="20"/>
          <w:color w:val="auto"/>
        </w:rPr>
      </w:pPr>
    </w:p>
    <w:p>
      <w:pPr>
        <w:ind w:right="220" w:firstLine="432"/>
        <w:spacing w:after="0" w:line="268" w:lineRule="auto"/>
        <w:rPr>
          <w:sz w:val="20"/>
          <w:szCs w:val="20"/>
          <w:color w:val="auto"/>
        </w:rPr>
      </w:pPr>
      <w:r>
        <w:rPr>
          <w:rFonts w:ascii="Times New Roman" w:cs="Times New Roman" w:eastAsia="Times New Roman" w:hAnsi="Times New Roman"/>
          <w:sz w:val="13"/>
          <w:szCs w:val="13"/>
          <w:color w:val="auto"/>
        </w:rPr>
        <w:t>For the years ended September 30, 2023 and 2022, PSLF incurred $2.0 million and $1.2 million of administration fees to the Administrative Agent, respectively. The Administrative Agent provides administration services to PSLF at an annual rate of 0.25% based on average gross assets under management payable quarterly in arrears and calculated based on average gross assets (measured at cost) at the end of the two recently completed calendar quarters.</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For the years ended September 30, 2023 and 2022, PSLF incurred $20.9 million and $11.7 million of interest expense related to the notes outstanding with the Members, respectively.</w:t>
      </w:r>
    </w:p>
    <w:p>
      <w:pPr>
        <w:spacing w:after="0" w:line="163" w:lineRule="exact"/>
        <w:rPr>
          <w:sz w:val="20"/>
          <w:szCs w:val="20"/>
          <w:color w:val="auto"/>
        </w:rPr>
      </w:pPr>
    </w:p>
    <w:p>
      <w:pPr>
        <w:ind w:right="100" w:firstLine="432"/>
        <w:spacing w:after="0" w:line="286" w:lineRule="auto"/>
        <w:rPr>
          <w:sz w:val="20"/>
          <w:szCs w:val="20"/>
          <w:color w:val="auto"/>
        </w:rPr>
      </w:pPr>
      <w:r>
        <w:rPr>
          <w:rFonts w:ascii="Times New Roman" w:cs="Times New Roman" w:eastAsia="Times New Roman" w:hAnsi="Times New Roman"/>
          <w:sz w:val="13"/>
          <w:szCs w:val="13"/>
          <w:color w:val="auto"/>
        </w:rPr>
        <w:t>As of September 30, 2023 and 2022, PSLF had a receivable from PNNT of $ 3.3 million and $2.0 million, respectively, presented as due from affiliate on the consolidated statement of assets, liabilities and members' equity. These amounts are related to cash owed from PNNT in connection with trades between the funds.</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709295</wp:posOffset>
            </wp:positionV>
            <wp:extent cx="6732905" cy="406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156" w:name="page157"/>
    <w:bookmarkEnd w:id="15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SEPTEMBER 30, 2023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4. FAIR VALUE OF FINANCIAL INSTRUMENTS</w:t>
      </w:r>
    </w:p>
    <w:p>
      <w:pPr>
        <w:spacing w:after="0" w:line="165" w:lineRule="exact"/>
        <w:rPr>
          <w:sz w:val="20"/>
          <w:szCs w:val="20"/>
          <w:color w:val="auto"/>
        </w:rPr>
      </w:pPr>
    </w:p>
    <w:p>
      <w:pPr>
        <w:ind w:right="40" w:firstLine="420"/>
        <w:spacing w:after="0" w:line="259" w:lineRule="auto"/>
        <w:rPr>
          <w:sz w:val="20"/>
          <w:szCs w:val="20"/>
          <w:color w:val="auto"/>
        </w:rPr>
      </w:pPr>
      <w:r>
        <w:rPr>
          <w:rFonts w:ascii="Times New Roman" w:cs="Times New Roman" w:eastAsia="Times New Roman" w:hAnsi="Times New Roman"/>
          <w:sz w:val="13"/>
          <w:szCs w:val="13"/>
          <w:color w:val="auto"/>
        </w:rPr>
        <w:t>Fair value, as defined under ASC Topic 820, Fair Value Measurement, is the price that we would receive upon selling an investment or pay to transfer a liability in an orderly transaction to a market participant in the principal or most advantageous market for the investment or liability. ASC Topic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ASC 820 classifies the inputs used to measure these fair values into the following hierarchies: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Level 1: Inputs that are quoted prices (un-adjusted) in active markets for identical assets or liabilities, accessible by us at the measurement date.</w:t>
      </w:r>
    </w:p>
    <w:p>
      <w:pPr>
        <w:spacing w:after="0" w:line="163" w:lineRule="exact"/>
        <w:rPr>
          <w:sz w:val="20"/>
          <w:szCs w:val="20"/>
          <w:color w:val="auto"/>
        </w:rPr>
      </w:pPr>
    </w:p>
    <w:p>
      <w:pPr>
        <w:ind w:left="1320" w:right="320" w:hanging="899"/>
        <w:spacing w:after="0" w:line="286" w:lineRule="auto"/>
        <w:rPr>
          <w:sz w:val="20"/>
          <w:szCs w:val="20"/>
          <w:color w:val="auto"/>
        </w:rPr>
      </w:pPr>
      <w:r>
        <w:rPr>
          <w:rFonts w:ascii="Times New Roman" w:cs="Times New Roman" w:eastAsia="Times New Roman" w:hAnsi="Times New Roman"/>
          <w:sz w:val="13"/>
          <w:szCs w:val="13"/>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Level 3: Inputs that are unobservable for an asset or liability because they are based on our own assumptions about how market participants would price the asset or liability.</w:t>
      </w:r>
    </w:p>
    <w:p>
      <w:pPr>
        <w:spacing w:after="0" w:line="163" w:lineRule="exact"/>
        <w:rPr>
          <w:sz w:val="20"/>
          <w:szCs w:val="20"/>
          <w:color w:val="auto"/>
        </w:rPr>
      </w:pPr>
    </w:p>
    <w:p>
      <w:pPr>
        <w:jc w:val="both"/>
        <w:ind w:right="540" w:firstLine="420"/>
        <w:spacing w:after="0" w:line="268" w:lineRule="auto"/>
        <w:rPr>
          <w:sz w:val="20"/>
          <w:szCs w:val="20"/>
          <w:color w:val="auto"/>
        </w:rPr>
      </w:pPr>
      <w:r>
        <w:rPr>
          <w:rFonts w:ascii="Times New Roman" w:cs="Times New Roman" w:eastAsia="Times New Roman" w:hAnsi="Times New Roman"/>
          <w:sz w:val="13"/>
          <w:szCs w:val="13"/>
          <w:color w:val="auto"/>
        </w:rPr>
        <w:t>A financial instrument’s categorization within the valuation hierarchy is based upon the lowest level of input that is significant to the fair value measurement. Generally, most of our investments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23" w:lineRule="exact"/>
        <w:rPr>
          <w:sz w:val="20"/>
          <w:szCs w:val="20"/>
          <w:color w:val="auto"/>
        </w:rPr>
      </w:pPr>
    </w:p>
    <w:p>
      <w:pPr>
        <w:ind w:right="60" w:firstLine="420"/>
        <w:spacing w:after="0" w:line="259" w:lineRule="auto"/>
        <w:rPr>
          <w:sz w:val="20"/>
          <w:szCs w:val="20"/>
          <w:color w:val="auto"/>
        </w:rPr>
      </w:pPr>
      <w:r>
        <w:rPr>
          <w:rFonts w:ascii="Times New Roman" w:cs="Times New Roman" w:eastAsia="Times New Roman" w:hAnsi="Times New Roman"/>
          <w:sz w:val="13"/>
          <w:szCs w:val="13"/>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market-based transactions for the same or similar assets or other relevant observable market-based inputs that may be used in pricing an asset.</w:t>
      </w:r>
    </w:p>
    <w:p>
      <w:pPr>
        <w:spacing w:after="0" w:line="130" w:lineRule="exact"/>
        <w:rPr>
          <w:sz w:val="20"/>
          <w:szCs w:val="20"/>
          <w:color w:val="auto"/>
        </w:rPr>
      </w:pPr>
    </w:p>
    <w:p>
      <w:pPr>
        <w:ind w:right="20" w:firstLine="420"/>
        <w:spacing w:after="0" w:line="262" w:lineRule="auto"/>
        <w:rPr>
          <w:sz w:val="20"/>
          <w:szCs w:val="20"/>
          <w:color w:val="auto"/>
        </w:rPr>
      </w:pPr>
      <w:r>
        <w:rPr>
          <w:rFonts w:ascii="Times New Roman" w:cs="Times New Roman" w:eastAsia="Times New Roman" w:hAnsi="Times New Roman"/>
          <w:sz w:val="13"/>
          <w:szCs w:val="13"/>
          <w:color w:val="auto"/>
        </w:rPr>
        <w:t>Our investments are generally structured as debt in the form of first lien secured debt, but may also include second lien secured debt, subordinated debt and equity investments. The transaction price, excluding transaction costs, is typically the best estimate of fair value at inception. Ongoing reviews by the Members and independent valuation firms are based on an assessment of each underlying investment, incorporating valuations that consider the evaluation of financing and sale transactions with third parties, expected cash flows and market- based information including comparable transactions, performance multiples and yields, among other factors. These non-public investments using unobservable inputs are included in Level 3 of the fair value hierarchy.</w:t>
      </w:r>
    </w:p>
    <w:p>
      <w:pPr>
        <w:spacing w:after="0" w:line="127" w:lineRule="exact"/>
        <w:rPr>
          <w:sz w:val="20"/>
          <w:szCs w:val="20"/>
          <w:color w:val="auto"/>
        </w:rPr>
      </w:pPr>
    </w:p>
    <w:p>
      <w:pPr>
        <w:ind w:firstLine="420"/>
        <w:spacing w:after="0" w:line="286" w:lineRule="auto"/>
        <w:rPr>
          <w:sz w:val="20"/>
          <w:szCs w:val="20"/>
          <w:color w:val="auto"/>
        </w:rPr>
      </w:pPr>
      <w:r>
        <w:rPr>
          <w:rFonts w:ascii="Times New Roman" w:cs="Times New Roman" w:eastAsia="Times New Roman" w:hAnsi="Times New Roman"/>
          <w:sz w:val="13"/>
          <w:szCs w:val="13"/>
          <w:color w:val="auto"/>
        </w:rPr>
        <w:t>A review of fair value hierarchy classifications is conducted on a quarterly basis. Changes in our ability to observe valuation inputs may result in a reclassification for certain financial assets or liabilities.</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In addition to using the above inputs in valuing cash equivalents and investments, we employ the valuation policy approved by our member designees’ that is consistent with ASC 820.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Consistent with our valuation policy, we evaluate the source of inputs, including any markets in which our investments are trading, in determining fair value. See Note 2.</w:t>
      </w:r>
    </w:p>
    <w:p>
      <w:pPr>
        <w:spacing w:after="0" w:line="149" w:lineRule="exact"/>
        <w:rPr>
          <w:sz w:val="20"/>
          <w:szCs w:val="20"/>
          <w:color w:val="auto"/>
        </w:rPr>
      </w:pPr>
    </w:p>
    <w:p>
      <w:pPr>
        <w:ind w:right="160" w:firstLine="420"/>
        <w:spacing w:after="0" w:line="262" w:lineRule="auto"/>
        <w:rPr>
          <w:sz w:val="20"/>
          <w:szCs w:val="20"/>
          <w:color w:val="auto"/>
        </w:rPr>
      </w:pPr>
      <w:r>
        <w:rPr>
          <w:rFonts w:ascii="Times New Roman" w:cs="Times New Roman" w:eastAsia="Times New Roman" w:hAnsi="Times New Roman"/>
          <w:sz w:val="13"/>
          <w:szCs w:val="13"/>
          <w:color w:val="auto"/>
        </w:rPr>
        <w:t>As outlined in the table below, some of our Level 3 investments using a market comparable valuation technique are valued using the average of the bids from brokers or dealers. The bids include a disclaimer, may not have corroborating evidence, may be the result of a disorderly transaction and may be the result of consensus pricing. The Members assess the source and reliability of bids from brokers or dealers. If the member designee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27" w:lineRule="exact"/>
        <w:rPr>
          <w:sz w:val="20"/>
          <w:szCs w:val="20"/>
          <w:color w:val="auto"/>
        </w:rPr>
      </w:pPr>
    </w:p>
    <w:p>
      <w:pPr>
        <w:ind w:right="20" w:firstLine="420"/>
        <w:spacing w:after="0" w:line="253" w:lineRule="auto"/>
        <w:rPr>
          <w:sz w:val="20"/>
          <w:szCs w:val="20"/>
          <w:color w:val="auto"/>
        </w:rPr>
      </w:pPr>
      <w:r>
        <w:rPr>
          <w:rFonts w:ascii="Times New Roman" w:cs="Times New Roman" w:eastAsia="Times New Roman" w:hAnsi="Times New Roman"/>
          <w:sz w:val="13"/>
          <w:szCs w:val="13"/>
          <w:color w:val="auto"/>
        </w:rPr>
        <w:t>Some of our investments can also be valued using a market comparable or an enterprise market value technique. With respect to investments for which there is no readily available market value, the factors that the member designees’ may consider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698500</wp:posOffset>
            </wp:positionV>
            <wp:extent cx="6732905" cy="406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157" w:name="page158"/>
    <w:bookmarkEnd w:id="157"/>
    <w:p>
      <w:pPr>
        <w:jc w:val="center"/>
        <w:ind w:right="-25"/>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25"/>
        <w:spacing w:after="0"/>
        <w:rPr>
          <w:sz w:val="20"/>
          <w:szCs w:val="20"/>
          <w:color w:val="auto"/>
        </w:rPr>
      </w:pPr>
      <w:r>
        <w:rPr>
          <w:rFonts w:ascii="Times New Roman" w:cs="Times New Roman" w:eastAsia="Times New Roman" w:hAnsi="Times New Roman"/>
          <w:sz w:val="16"/>
          <w:szCs w:val="16"/>
          <w:b w:val="1"/>
          <w:bCs w:val="1"/>
          <w:color w:val="auto"/>
        </w:rPr>
        <w:t>SEPTEMBER 30, 2023 (Continued)</w:t>
      </w:r>
    </w:p>
    <w:p>
      <w:pPr>
        <w:spacing w:after="0" w:line="200" w:lineRule="exact"/>
        <w:rPr>
          <w:sz w:val="20"/>
          <w:szCs w:val="20"/>
          <w:color w:val="auto"/>
        </w:rPr>
      </w:pPr>
    </w:p>
    <w:p>
      <w:pPr>
        <w:spacing w:after="0" w:line="3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3"/>
          <w:szCs w:val="13"/>
          <w:color w:val="auto"/>
        </w:rPr>
        <w:t>an increase in an EBITDA multiple will result in an increase in the valuation of an investment, while a decrease in an EBITDA will have the opposite effect.</w:t>
      </w:r>
    </w:p>
    <w:p>
      <w:pPr>
        <w:spacing w:after="0" w:line="163"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3"/>
          <w:szCs w:val="13"/>
          <w:color w:val="auto"/>
        </w:rPr>
        <w:t>Our Level 3 valuation techniques, unobservable inputs and ranges were categorized as follows for ASC 820 purposes ($ in thousands):</w:t>
      </w:r>
    </w:p>
    <w:p>
      <w:pPr>
        <w:spacing w:after="0" w:line="180"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80" w:type="dxa"/>
            <w:vAlign w:val="bottom"/>
          </w:tcPr>
          <w:p>
            <w:pPr>
              <w:jc w:val="center"/>
              <w:ind w:left="14"/>
              <w:spacing w:after="0"/>
              <w:rPr>
                <w:sz w:val="20"/>
                <w:szCs w:val="20"/>
                <w:color w:val="auto"/>
              </w:rPr>
            </w:pPr>
            <w:r>
              <w:rPr>
                <w:rFonts w:ascii="Times New Roman" w:cs="Times New Roman" w:eastAsia="Times New Roman" w:hAnsi="Times New Roman"/>
                <w:sz w:val="13"/>
                <w:szCs w:val="13"/>
                <w:b w:val="1"/>
                <w:bCs w:val="1"/>
                <w:color w:val="auto"/>
              </w:rPr>
              <w:t>Range of Input</w:t>
            </w:r>
          </w:p>
        </w:tc>
        <w:tc>
          <w:tcPr>
            <w:tcW w:w="0" w:type="dxa"/>
            <w:vAlign w:val="bottom"/>
          </w:tcPr>
          <w:p>
            <w:pPr>
              <w:spacing w:after="0"/>
              <w:rPr>
                <w:sz w:val="1"/>
                <w:szCs w:val="1"/>
                <w:color w:val="auto"/>
              </w:rPr>
            </w:pPr>
          </w:p>
        </w:tc>
      </w:tr>
      <w:tr>
        <w:trPr>
          <w:trHeight w:val="169"/>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 Category</w:t>
            </w:r>
          </w:p>
        </w:tc>
        <w:tc>
          <w:tcPr>
            <w:tcW w:w="100" w:type="dxa"/>
            <w:vAlign w:val="bottom"/>
          </w:tcPr>
          <w:p>
            <w:pPr>
              <w:spacing w:after="0"/>
              <w:rPr>
                <w:sz w:val="14"/>
                <w:szCs w:val="14"/>
                <w:color w:val="auto"/>
              </w:rPr>
            </w:pPr>
          </w:p>
        </w:tc>
        <w:tc>
          <w:tcPr>
            <w:tcW w:w="196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Fair value at September 30, 2023</w:t>
            </w:r>
          </w:p>
        </w:tc>
        <w:tc>
          <w:tcPr>
            <w:tcW w:w="2300" w:type="dxa"/>
            <w:vAlign w:val="bottom"/>
          </w:tcPr>
          <w:p>
            <w:pPr>
              <w:jc w:val="center"/>
              <w:ind w:left="254"/>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2200" w:type="dxa"/>
            <w:vAlign w:val="bottom"/>
          </w:tcPr>
          <w:p>
            <w:pPr>
              <w:jc w:val="center"/>
              <w:ind w:left="94"/>
              <w:spacing w:after="0"/>
              <w:rPr>
                <w:sz w:val="20"/>
                <w:szCs w:val="20"/>
                <w:color w:val="auto"/>
              </w:rPr>
            </w:pPr>
            <w:r>
              <w:rPr>
                <w:rFonts w:ascii="Times New Roman" w:cs="Times New Roman" w:eastAsia="Times New Roman" w:hAnsi="Times New Roman"/>
                <w:sz w:val="13"/>
                <w:szCs w:val="13"/>
                <w:b w:val="1"/>
                <w:bCs w:val="1"/>
                <w:color w:val="auto"/>
              </w:rPr>
              <w:t>Unobservable Input</w:t>
            </w:r>
          </w:p>
        </w:tc>
        <w:tc>
          <w:tcPr>
            <w:tcW w:w="1680" w:type="dxa"/>
            <w:vAlign w:val="bottom"/>
          </w:tcPr>
          <w:p>
            <w:pPr>
              <w:jc w:val="center"/>
              <w:ind w:left="14"/>
              <w:spacing w:after="0" w:line="169" w:lineRule="exact"/>
              <w:rPr>
                <w:sz w:val="20"/>
                <w:szCs w:val="20"/>
                <w:color w:val="auto"/>
              </w:rPr>
            </w:pPr>
            <w:r>
              <w:rPr>
                <w:rFonts w:ascii="Times New Roman" w:cs="Times New Roman" w:eastAsia="Times New Roman" w:hAnsi="Times New Roman"/>
                <w:sz w:val="13"/>
                <w:szCs w:val="13"/>
                <w:b w:val="1"/>
                <w:bCs w:val="1"/>
                <w:color w:val="auto"/>
              </w:rPr>
              <w:t xml:space="preserve">(Weighted Average) </w:t>
            </w:r>
            <w:r>
              <w:rPr>
                <w:rFonts w:ascii="Times New Roman" w:cs="Times New Roman" w:eastAsia="Times New Roman" w:hAnsi="Times New Roman"/>
                <w:sz w:val="16"/>
                <w:szCs w:val="16"/>
                <w:b w:val="1"/>
                <w:bCs w:val="1"/>
                <w:color w:val="auto"/>
                <w:vertAlign w:val="superscript"/>
              </w:rPr>
              <w:t>(1)</w:t>
            </w:r>
          </w:p>
        </w:tc>
        <w:tc>
          <w:tcPr>
            <w:tcW w:w="0" w:type="dxa"/>
            <w:vAlign w:val="bottom"/>
          </w:tcPr>
          <w:p>
            <w:pPr>
              <w:spacing w:after="0"/>
              <w:rPr>
                <w:sz w:val="1"/>
                <w:szCs w:val="1"/>
                <w:color w:val="auto"/>
              </w:rPr>
            </w:pPr>
          </w:p>
        </w:tc>
      </w:tr>
      <w:tr>
        <w:trPr>
          <w:trHeight w:val="168"/>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85,500</w:t>
            </w:r>
          </w:p>
        </w:tc>
        <w:tc>
          <w:tcPr>
            <w:tcW w:w="2300" w:type="dxa"/>
            <w:vAlign w:val="bottom"/>
          </w:tcPr>
          <w:p>
            <w:pPr>
              <w:jc w:val="center"/>
              <w:ind w:left="254"/>
              <w:spacing w:after="0"/>
              <w:rPr>
                <w:sz w:val="20"/>
                <w:szCs w:val="20"/>
                <w:color w:val="auto"/>
              </w:rPr>
            </w:pPr>
            <w:r>
              <w:rPr>
                <w:rFonts w:ascii="Times New Roman" w:cs="Times New Roman" w:eastAsia="Times New Roman" w:hAnsi="Times New Roman"/>
                <w:sz w:val="13"/>
                <w:szCs w:val="13"/>
                <w:color w:val="auto"/>
              </w:rPr>
              <w:t>Market Comparable</w:t>
            </w:r>
          </w:p>
        </w:tc>
        <w:tc>
          <w:tcPr>
            <w:tcW w:w="2200" w:type="dxa"/>
            <w:vAlign w:val="bottom"/>
          </w:tcPr>
          <w:p>
            <w:pPr>
              <w:jc w:val="center"/>
              <w:ind w:left="94"/>
              <w:spacing w:after="0"/>
              <w:rPr>
                <w:sz w:val="20"/>
                <w:szCs w:val="20"/>
                <w:color w:val="auto"/>
              </w:rPr>
            </w:pPr>
            <w:r>
              <w:rPr>
                <w:rFonts w:ascii="Times New Roman" w:cs="Times New Roman" w:eastAsia="Times New Roman" w:hAnsi="Times New Roman"/>
                <w:sz w:val="13"/>
                <w:szCs w:val="13"/>
                <w:color w:val="auto"/>
              </w:rPr>
              <w:t>Broker/Dealer bids or quotes</w:t>
            </w:r>
          </w:p>
        </w:tc>
        <w:tc>
          <w:tcPr>
            <w:tcW w:w="168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56"/>
        </w:trPr>
        <w:tc>
          <w:tcPr>
            <w:tcW w:w="2320" w:type="dxa"/>
            <w:vAlign w:val="bottom"/>
            <w:shd w:val="clear" w:color="auto" w:fill="CCECFC"/>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00" w:type="dxa"/>
            <w:vAlign w:val="bottom"/>
            <w:shd w:val="clear" w:color="auto" w:fill="CCECFC"/>
          </w:tcPr>
          <w:p>
            <w:pPr>
              <w:spacing w:after="0"/>
              <w:rPr>
                <w:sz w:val="13"/>
                <w:szCs w:val="13"/>
                <w:color w:val="auto"/>
              </w:rPr>
            </w:pPr>
          </w:p>
        </w:tc>
        <w:tc>
          <w:tcPr>
            <w:tcW w:w="1960" w:type="dxa"/>
            <w:vAlign w:val="bottom"/>
            <w:shd w:val="clear" w:color="auto" w:fill="CCECFC"/>
          </w:tcPr>
          <w:p>
            <w:pPr>
              <w:jc w:val="right"/>
              <w:spacing w:after="0"/>
              <w:rPr>
                <w:sz w:val="20"/>
                <w:szCs w:val="20"/>
                <w:color w:val="auto"/>
              </w:rPr>
            </w:pPr>
            <w:r>
              <w:rPr>
                <w:rFonts w:ascii="Times New Roman" w:cs="Times New Roman" w:eastAsia="Times New Roman" w:hAnsi="Times New Roman"/>
                <w:sz w:val="13"/>
                <w:szCs w:val="13"/>
                <w:color w:val="auto"/>
              </w:rPr>
              <w:t>718,687</w:t>
            </w:r>
          </w:p>
        </w:tc>
        <w:tc>
          <w:tcPr>
            <w:tcW w:w="2300" w:type="dxa"/>
            <w:vAlign w:val="bottom"/>
            <w:shd w:val="clear" w:color="auto" w:fill="CCECFC"/>
          </w:tcPr>
          <w:p>
            <w:pPr>
              <w:jc w:val="center"/>
              <w:ind w:left="254"/>
              <w:spacing w:after="0"/>
              <w:rPr>
                <w:sz w:val="20"/>
                <w:szCs w:val="20"/>
                <w:color w:val="auto"/>
              </w:rPr>
            </w:pPr>
            <w:r>
              <w:rPr>
                <w:rFonts w:ascii="Times New Roman" w:cs="Times New Roman" w:eastAsia="Times New Roman" w:hAnsi="Times New Roman"/>
                <w:sz w:val="13"/>
                <w:szCs w:val="13"/>
                <w:color w:val="auto"/>
              </w:rPr>
              <w:t>Market Comparable</w:t>
            </w:r>
          </w:p>
        </w:tc>
        <w:tc>
          <w:tcPr>
            <w:tcW w:w="2200" w:type="dxa"/>
            <w:vAlign w:val="bottom"/>
            <w:shd w:val="clear" w:color="auto" w:fill="CCECFC"/>
          </w:tcPr>
          <w:p>
            <w:pPr>
              <w:jc w:val="center"/>
              <w:ind w:left="94"/>
              <w:spacing w:after="0"/>
              <w:rPr>
                <w:sz w:val="20"/>
                <w:szCs w:val="20"/>
                <w:color w:val="auto"/>
              </w:rPr>
            </w:pPr>
            <w:r>
              <w:rPr>
                <w:rFonts w:ascii="Times New Roman" w:cs="Times New Roman" w:eastAsia="Times New Roman" w:hAnsi="Times New Roman"/>
                <w:sz w:val="13"/>
                <w:szCs w:val="13"/>
                <w:color w:val="auto"/>
              </w:rPr>
              <w:t>Market Yield</w:t>
            </w:r>
          </w:p>
        </w:tc>
        <w:tc>
          <w:tcPr>
            <w:tcW w:w="1680" w:type="dxa"/>
            <w:vAlign w:val="bottom"/>
            <w:shd w:val="clear" w:color="auto" w:fill="CCECFC"/>
          </w:tcPr>
          <w:p>
            <w:pPr>
              <w:jc w:val="right"/>
              <w:ind w:right="114"/>
              <w:spacing w:after="0"/>
              <w:rPr>
                <w:sz w:val="20"/>
                <w:szCs w:val="20"/>
                <w:color w:val="auto"/>
              </w:rPr>
            </w:pPr>
            <w:r>
              <w:rPr>
                <w:rFonts w:ascii="Times New Roman" w:cs="Times New Roman" w:eastAsia="Times New Roman" w:hAnsi="Times New Roman"/>
                <w:sz w:val="13"/>
                <w:szCs w:val="13"/>
                <w:color w:val="auto"/>
              </w:rPr>
              <w:t>10.0% - 25.0% (12.2%)</w:t>
            </w:r>
          </w:p>
        </w:tc>
        <w:tc>
          <w:tcPr>
            <w:tcW w:w="0" w:type="dxa"/>
            <w:vAlign w:val="bottom"/>
          </w:tcPr>
          <w:p>
            <w:pPr>
              <w:spacing w:after="0"/>
              <w:rPr>
                <w:sz w:val="1"/>
                <w:szCs w:val="1"/>
                <w:color w:val="auto"/>
              </w:rPr>
            </w:pPr>
          </w:p>
        </w:tc>
      </w:tr>
      <w:tr>
        <w:trPr>
          <w:trHeight w:val="156"/>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Level 3 investments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804,187</w:t>
            </w:r>
          </w:p>
        </w:tc>
        <w:tc>
          <w:tcPr>
            <w:tcW w:w="23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80" w:type="dxa"/>
            <w:vAlign w:val="bottom"/>
            <w:vMerge w:val="restart"/>
          </w:tcPr>
          <w:p>
            <w:pPr>
              <w:jc w:val="center"/>
              <w:ind w:left="14"/>
              <w:spacing w:after="0"/>
              <w:rPr>
                <w:sz w:val="20"/>
                <w:szCs w:val="20"/>
                <w:color w:val="auto"/>
              </w:rPr>
            </w:pPr>
            <w:r>
              <w:rPr>
                <w:rFonts w:ascii="Times New Roman" w:cs="Times New Roman" w:eastAsia="Times New Roman" w:hAnsi="Times New Roman"/>
                <w:sz w:val="13"/>
                <w:szCs w:val="13"/>
                <w:b w:val="1"/>
                <w:bCs w:val="1"/>
                <w:color w:val="auto"/>
              </w:rPr>
              <w:t>Range of Input</w:t>
            </w:r>
          </w:p>
        </w:tc>
        <w:tc>
          <w:tcPr>
            <w:tcW w:w="0" w:type="dxa"/>
            <w:vAlign w:val="bottom"/>
          </w:tcPr>
          <w:p>
            <w:pPr>
              <w:spacing w:after="0" w:line="20" w:lineRule="exact"/>
              <w:rPr>
                <w:sz w:val="1"/>
                <w:szCs w:val="1"/>
                <w:color w:val="auto"/>
              </w:rPr>
            </w:pPr>
          </w:p>
        </w:tc>
      </w:tr>
      <w:tr>
        <w:trPr>
          <w:trHeight w:val="419"/>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 Category</w:t>
            </w:r>
          </w:p>
        </w:tc>
        <w:tc>
          <w:tcPr>
            <w:tcW w:w="100" w:type="dxa"/>
            <w:vAlign w:val="bottom"/>
          </w:tcPr>
          <w:p>
            <w:pPr>
              <w:spacing w:after="0"/>
              <w:rPr>
                <w:sz w:val="14"/>
                <w:szCs w:val="14"/>
                <w:color w:val="auto"/>
              </w:rPr>
            </w:pPr>
          </w:p>
        </w:tc>
        <w:tc>
          <w:tcPr>
            <w:tcW w:w="196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Fair value at September 30, 2022</w:t>
            </w:r>
          </w:p>
        </w:tc>
        <w:tc>
          <w:tcPr>
            <w:tcW w:w="2300" w:type="dxa"/>
            <w:vAlign w:val="bottom"/>
          </w:tcPr>
          <w:p>
            <w:pPr>
              <w:jc w:val="center"/>
              <w:ind w:left="254"/>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2200" w:type="dxa"/>
            <w:vAlign w:val="bottom"/>
          </w:tcPr>
          <w:p>
            <w:pPr>
              <w:jc w:val="center"/>
              <w:ind w:left="94"/>
              <w:spacing w:after="0"/>
              <w:rPr>
                <w:sz w:val="20"/>
                <w:szCs w:val="20"/>
                <w:color w:val="auto"/>
              </w:rPr>
            </w:pPr>
            <w:r>
              <w:rPr>
                <w:rFonts w:ascii="Times New Roman" w:cs="Times New Roman" w:eastAsia="Times New Roman" w:hAnsi="Times New Roman"/>
                <w:sz w:val="13"/>
                <w:szCs w:val="13"/>
                <w:b w:val="1"/>
                <w:bCs w:val="1"/>
                <w:color w:val="auto"/>
              </w:rPr>
              <w:t>Unobservable Input</w:t>
            </w:r>
          </w:p>
        </w:tc>
        <w:tc>
          <w:tcPr>
            <w:tcW w:w="1680" w:type="dxa"/>
            <w:vAlign w:val="bottom"/>
          </w:tcPr>
          <w:p>
            <w:pPr>
              <w:jc w:val="center"/>
              <w:ind w:left="14"/>
              <w:spacing w:after="0" w:line="169" w:lineRule="exact"/>
              <w:rPr>
                <w:sz w:val="20"/>
                <w:szCs w:val="20"/>
                <w:color w:val="auto"/>
              </w:rPr>
            </w:pPr>
            <w:r>
              <w:rPr>
                <w:rFonts w:ascii="Times New Roman" w:cs="Times New Roman" w:eastAsia="Times New Roman" w:hAnsi="Times New Roman"/>
                <w:sz w:val="13"/>
                <w:szCs w:val="13"/>
                <w:b w:val="1"/>
                <w:bCs w:val="1"/>
                <w:color w:val="auto"/>
              </w:rPr>
              <w:t xml:space="preserve">(Weighted Average) </w:t>
            </w:r>
            <w:r>
              <w:rPr>
                <w:rFonts w:ascii="Times New Roman" w:cs="Times New Roman" w:eastAsia="Times New Roman" w:hAnsi="Times New Roman"/>
                <w:sz w:val="16"/>
                <w:szCs w:val="16"/>
                <w:b w:val="1"/>
                <w:bCs w:val="1"/>
                <w:color w:val="auto"/>
                <w:vertAlign w:val="superscript"/>
              </w:rPr>
              <w:t>(1)</w:t>
            </w:r>
          </w:p>
        </w:tc>
        <w:tc>
          <w:tcPr>
            <w:tcW w:w="0" w:type="dxa"/>
            <w:vAlign w:val="bottom"/>
          </w:tcPr>
          <w:p>
            <w:pPr>
              <w:spacing w:after="0"/>
              <w:rPr>
                <w:sz w:val="1"/>
                <w:szCs w:val="1"/>
                <w:color w:val="auto"/>
              </w:rPr>
            </w:pPr>
          </w:p>
        </w:tc>
      </w:tr>
      <w:tr>
        <w:trPr>
          <w:trHeight w:val="168"/>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95,968</w:t>
            </w:r>
          </w:p>
        </w:tc>
        <w:tc>
          <w:tcPr>
            <w:tcW w:w="2300" w:type="dxa"/>
            <w:vAlign w:val="bottom"/>
          </w:tcPr>
          <w:p>
            <w:pPr>
              <w:jc w:val="center"/>
              <w:ind w:left="254"/>
              <w:spacing w:after="0"/>
              <w:rPr>
                <w:sz w:val="20"/>
                <w:szCs w:val="20"/>
                <w:color w:val="auto"/>
              </w:rPr>
            </w:pPr>
            <w:r>
              <w:rPr>
                <w:rFonts w:ascii="Times New Roman" w:cs="Times New Roman" w:eastAsia="Times New Roman" w:hAnsi="Times New Roman"/>
                <w:sz w:val="13"/>
                <w:szCs w:val="13"/>
                <w:color w:val="auto"/>
              </w:rPr>
              <w:t>Market Comparable</w:t>
            </w:r>
          </w:p>
        </w:tc>
        <w:tc>
          <w:tcPr>
            <w:tcW w:w="2200" w:type="dxa"/>
            <w:vAlign w:val="bottom"/>
          </w:tcPr>
          <w:p>
            <w:pPr>
              <w:jc w:val="center"/>
              <w:ind w:left="94"/>
              <w:spacing w:after="0"/>
              <w:rPr>
                <w:sz w:val="20"/>
                <w:szCs w:val="20"/>
                <w:color w:val="auto"/>
              </w:rPr>
            </w:pPr>
            <w:r>
              <w:rPr>
                <w:rFonts w:ascii="Times New Roman" w:cs="Times New Roman" w:eastAsia="Times New Roman" w:hAnsi="Times New Roman"/>
                <w:sz w:val="13"/>
                <w:szCs w:val="13"/>
                <w:color w:val="auto"/>
              </w:rPr>
              <w:t>Broker/Dealer bids or quotes</w:t>
            </w:r>
          </w:p>
        </w:tc>
        <w:tc>
          <w:tcPr>
            <w:tcW w:w="168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56"/>
        </w:trPr>
        <w:tc>
          <w:tcPr>
            <w:tcW w:w="2320" w:type="dxa"/>
            <w:vAlign w:val="bottom"/>
            <w:shd w:val="clear" w:color="auto" w:fill="CCECFC"/>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00" w:type="dxa"/>
            <w:vAlign w:val="bottom"/>
            <w:shd w:val="clear" w:color="auto" w:fill="CCECFC"/>
          </w:tcPr>
          <w:p>
            <w:pPr>
              <w:spacing w:after="0"/>
              <w:rPr>
                <w:sz w:val="13"/>
                <w:szCs w:val="13"/>
                <w:color w:val="auto"/>
              </w:rPr>
            </w:pPr>
          </w:p>
        </w:tc>
        <w:tc>
          <w:tcPr>
            <w:tcW w:w="1960" w:type="dxa"/>
            <w:vAlign w:val="bottom"/>
            <w:shd w:val="clear" w:color="auto" w:fill="CCECFC"/>
          </w:tcPr>
          <w:p>
            <w:pPr>
              <w:jc w:val="right"/>
              <w:spacing w:after="0"/>
              <w:rPr>
                <w:sz w:val="20"/>
                <w:szCs w:val="20"/>
                <w:color w:val="auto"/>
              </w:rPr>
            </w:pPr>
            <w:r>
              <w:rPr>
                <w:rFonts w:ascii="Times New Roman" w:cs="Times New Roman" w:eastAsia="Times New Roman" w:hAnsi="Times New Roman"/>
                <w:sz w:val="13"/>
                <w:szCs w:val="13"/>
                <w:color w:val="auto"/>
              </w:rPr>
              <w:t>634,140</w:t>
            </w:r>
          </w:p>
        </w:tc>
        <w:tc>
          <w:tcPr>
            <w:tcW w:w="2300" w:type="dxa"/>
            <w:vAlign w:val="bottom"/>
            <w:shd w:val="clear" w:color="auto" w:fill="CCECFC"/>
          </w:tcPr>
          <w:p>
            <w:pPr>
              <w:jc w:val="center"/>
              <w:ind w:left="254"/>
              <w:spacing w:after="0"/>
              <w:rPr>
                <w:sz w:val="20"/>
                <w:szCs w:val="20"/>
                <w:color w:val="auto"/>
              </w:rPr>
            </w:pPr>
            <w:r>
              <w:rPr>
                <w:rFonts w:ascii="Times New Roman" w:cs="Times New Roman" w:eastAsia="Times New Roman" w:hAnsi="Times New Roman"/>
                <w:sz w:val="13"/>
                <w:szCs w:val="13"/>
                <w:color w:val="auto"/>
              </w:rPr>
              <w:t>Market Comparable</w:t>
            </w:r>
          </w:p>
        </w:tc>
        <w:tc>
          <w:tcPr>
            <w:tcW w:w="2200" w:type="dxa"/>
            <w:vAlign w:val="bottom"/>
            <w:shd w:val="clear" w:color="auto" w:fill="CCECFC"/>
          </w:tcPr>
          <w:p>
            <w:pPr>
              <w:jc w:val="center"/>
              <w:ind w:left="94"/>
              <w:spacing w:after="0"/>
              <w:rPr>
                <w:sz w:val="20"/>
                <w:szCs w:val="20"/>
                <w:color w:val="auto"/>
              </w:rPr>
            </w:pPr>
            <w:r>
              <w:rPr>
                <w:rFonts w:ascii="Times New Roman" w:cs="Times New Roman" w:eastAsia="Times New Roman" w:hAnsi="Times New Roman"/>
                <w:sz w:val="13"/>
                <w:szCs w:val="13"/>
                <w:color w:val="auto"/>
              </w:rPr>
              <w:t>Market Yield</w:t>
            </w:r>
          </w:p>
        </w:tc>
        <w:tc>
          <w:tcPr>
            <w:tcW w:w="1680" w:type="dxa"/>
            <w:vAlign w:val="bottom"/>
            <w:shd w:val="clear" w:color="auto" w:fill="CCECFC"/>
          </w:tcPr>
          <w:p>
            <w:pPr>
              <w:jc w:val="right"/>
              <w:ind w:right="174"/>
              <w:spacing w:after="0"/>
              <w:rPr>
                <w:sz w:val="20"/>
                <w:szCs w:val="20"/>
                <w:color w:val="auto"/>
              </w:rPr>
            </w:pPr>
            <w:r>
              <w:rPr>
                <w:rFonts w:ascii="Times New Roman" w:cs="Times New Roman" w:eastAsia="Times New Roman" w:hAnsi="Times New Roman"/>
                <w:sz w:val="13"/>
                <w:szCs w:val="13"/>
                <w:color w:val="auto"/>
              </w:rPr>
              <w:t>6.0% - 11.2% (9.0%)</w:t>
            </w:r>
          </w:p>
        </w:tc>
        <w:tc>
          <w:tcPr>
            <w:tcW w:w="0" w:type="dxa"/>
            <w:vAlign w:val="bottom"/>
          </w:tcPr>
          <w:p>
            <w:pPr>
              <w:spacing w:after="0"/>
              <w:rPr>
                <w:sz w:val="1"/>
                <w:szCs w:val="1"/>
                <w:color w:val="auto"/>
              </w:rPr>
            </w:pPr>
          </w:p>
        </w:tc>
      </w:tr>
      <w:tr>
        <w:trPr>
          <w:trHeight w:val="156"/>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Level 3 investments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730,108</w:t>
            </w:r>
          </w:p>
        </w:tc>
        <w:tc>
          <w:tcPr>
            <w:tcW w:w="23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 w:lineRule="exact"/>
        <w:rPr>
          <w:sz w:val="20"/>
          <w:szCs w:val="20"/>
          <w:color w:val="auto"/>
        </w:rPr>
      </w:pPr>
    </w:p>
    <w:p>
      <w:pPr>
        <w:ind w:left="126" w:hanging="126"/>
        <w:spacing w:after="0"/>
        <w:tabs>
          <w:tab w:leader="none" w:pos="126" w:val="left"/>
        </w:tabs>
        <w:numPr>
          <w:ilvl w:val="0"/>
          <w:numId w:val="2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weighted average disclosed in the tables above was weighted by its relative fair value.</w:t>
      </w:r>
    </w:p>
    <w:p>
      <w:pPr>
        <w:spacing w:after="0" w:line="14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3"/>
          <w:szCs w:val="13"/>
          <w:color w:val="auto"/>
        </w:rPr>
        <w:t>Our investments and cash and cash equivalents were categorized as follows in the fair value hierarchy for ASC 820 purposes ($ in thousands):</w:t>
      </w:r>
    </w:p>
    <w:p>
      <w:pPr>
        <w:spacing w:after="0" w:line="185" w:lineRule="exact"/>
        <w:rPr>
          <w:sz w:val="20"/>
          <w:szCs w:val="20"/>
          <w:color w:val="auto"/>
        </w:rPr>
      </w:pPr>
    </w:p>
    <w:tbl>
      <w:tblPr>
        <w:tblLayout w:type="fixed"/>
        <w:tblInd w:w="6" w:type="dxa"/>
        <w:tblCellMar>
          <w:top w:w="0" w:type="dxa"/>
          <w:left w:w="0" w:type="dxa"/>
          <w:bottom w:w="0" w:type="dxa"/>
          <w:right w:w="0" w:type="dxa"/>
        </w:tblCellMar>
      </w:tblPr>
      <w:tr>
        <w:trPr>
          <w:trHeight w:val="156"/>
        </w:trPr>
        <w:tc>
          <w:tcPr>
            <w:tcW w:w="4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40" w:type="dxa"/>
            <w:vAlign w:val="bottom"/>
            <w:gridSpan w:val="4"/>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Fair Value at September 30, 2023</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240" w:type="dxa"/>
            <w:vAlign w:val="bottom"/>
          </w:tcPr>
          <w:p>
            <w:pPr>
              <w:spacing w:after="0"/>
              <w:rPr>
                <w:sz w:val="14"/>
                <w:szCs w:val="14"/>
                <w:color w:val="auto"/>
              </w:rPr>
            </w:pPr>
          </w:p>
        </w:tc>
        <w:tc>
          <w:tcPr>
            <w:tcW w:w="9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32"/>
        </w:trPr>
        <w:tc>
          <w:tcPr>
            <w:tcW w:w="4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240" w:type="dxa"/>
            <w:vAlign w:val="bottom"/>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vMerge w:val="restart"/>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CFF"/>
          </w:tcPr>
          <w:p>
            <w:pPr>
              <w:ind w:left="88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vMerge w:val="restart"/>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804,187</w:t>
            </w:r>
          </w:p>
        </w:tc>
        <w:tc>
          <w:tcPr>
            <w:tcW w:w="6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804,187</w:t>
            </w:r>
          </w:p>
        </w:tc>
        <w:tc>
          <w:tcPr>
            <w:tcW w:w="8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4220" w:type="dxa"/>
            <w:vAlign w:val="bottom"/>
            <w:shd w:val="clear" w:color="auto" w:fill="CCECFF"/>
          </w:tcPr>
          <w:p>
            <w:pPr>
              <w:spacing w:after="0"/>
              <w:rPr>
                <w:sz w:val="6"/>
                <w:szCs w:val="6"/>
                <w:color w:val="auto"/>
              </w:rPr>
            </w:pPr>
          </w:p>
        </w:tc>
        <w:tc>
          <w:tcPr>
            <w:tcW w:w="240" w:type="dxa"/>
            <w:vAlign w:val="bottom"/>
            <w:shd w:val="clear" w:color="auto" w:fill="CCECFF"/>
          </w:tcPr>
          <w:p>
            <w:pPr>
              <w:spacing w:after="0"/>
              <w:rPr>
                <w:sz w:val="6"/>
                <w:szCs w:val="6"/>
                <w:color w:val="auto"/>
              </w:rPr>
            </w:pPr>
          </w:p>
        </w:tc>
        <w:tc>
          <w:tcPr>
            <w:tcW w:w="940" w:type="dxa"/>
            <w:vAlign w:val="bottom"/>
            <w:shd w:val="clear" w:color="auto" w:fill="CCECFF"/>
          </w:tcPr>
          <w:p>
            <w:pPr>
              <w:spacing w:after="0"/>
              <w:rPr>
                <w:sz w:val="6"/>
                <w:szCs w:val="6"/>
                <w:color w:val="auto"/>
              </w:rPr>
            </w:pPr>
          </w:p>
        </w:tc>
        <w:tc>
          <w:tcPr>
            <w:tcW w:w="600" w:type="dxa"/>
            <w:vAlign w:val="bottom"/>
            <w:gridSpan w:val="2"/>
            <w:vMerge w:val="continue"/>
            <w:shd w:val="clear" w:color="auto" w:fill="CCECFF"/>
          </w:tcPr>
          <w:p>
            <w:pPr>
              <w:spacing w:after="0"/>
              <w:rPr>
                <w:sz w:val="6"/>
                <w:szCs w:val="6"/>
                <w:color w:val="auto"/>
              </w:rPr>
            </w:pPr>
          </w:p>
        </w:tc>
        <w:tc>
          <w:tcPr>
            <w:tcW w:w="1020" w:type="dxa"/>
            <w:vAlign w:val="bottom"/>
            <w:shd w:val="clear" w:color="auto" w:fill="CCECFF"/>
          </w:tcPr>
          <w:p>
            <w:pPr>
              <w:spacing w:after="0"/>
              <w:rPr>
                <w:sz w:val="6"/>
                <w:szCs w:val="6"/>
                <w:color w:val="auto"/>
              </w:rPr>
            </w:pPr>
          </w:p>
        </w:tc>
        <w:tc>
          <w:tcPr>
            <w:tcW w:w="480" w:type="dxa"/>
            <w:vAlign w:val="bottom"/>
            <w:gridSpan w:val="2"/>
            <w:vMerge w:val="continue"/>
            <w:shd w:val="clear" w:color="auto" w:fill="CCECFF"/>
          </w:tcPr>
          <w:p>
            <w:pPr>
              <w:spacing w:after="0"/>
              <w:rPr>
                <w:sz w:val="6"/>
                <w:szCs w:val="6"/>
                <w:color w:val="auto"/>
              </w:rPr>
            </w:pPr>
          </w:p>
        </w:tc>
        <w:tc>
          <w:tcPr>
            <w:tcW w:w="1040" w:type="dxa"/>
            <w:vAlign w:val="bottom"/>
            <w:shd w:val="clear" w:color="auto" w:fill="CCECFF"/>
          </w:tcPr>
          <w:p>
            <w:pPr>
              <w:spacing w:after="0"/>
              <w:rPr>
                <w:sz w:val="6"/>
                <w:szCs w:val="6"/>
                <w:color w:val="auto"/>
              </w:rPr>
            </w:pPr>
          </w:p>
        </w:tc>
        <w:tc>
          <w:tcPr>
            <w:tcW w:w="220" w:type="dxa"/>
            <w:vAlign w:val="bottom"/>
            <w:shd w:val="clear" w:color="auto" w:fill="CCECFF"/>
          </w:tcPr>
          <w:p>
            <w:pPr>
              <w:spacing w:after="0"/>
              <w:rPr>
                <w:sz w:val="6"/>
                <w:szCs w:val="6"/>
                <w:color w:val="auto"/>
              </w:rPr>
            </w:pPr>
          </w:p>
        </w:tc>
        <w:tc>
          <w:tcPr>
            <w:tcW w:w="380" w:type="dxa"/>
            <w:vAlign w:val="bottom"/>
            <w:shd w:val="clear" w:color="auto" w:fill="CCECFF"/>
          </w:tcPr>
          <w:p>
            <w:pPr>
              <w:spacing w:after="0"/>
              <w:rPr>
                <w:sz w:val="6"/>
                <w:szCs w:val="6"/>
                <w:color w:val="auto"/>
              </w:rPr>
            </w:pPr>
          </w:p>
        </w:tc>
        <w:tc>
          <w:tcPr>
            <w:tcW w:w="1340" w:type="dxa"/>
            <w:vAlign w:val="bottom"/>
            <w:shd w:val="clear" w:color="auto" w:fill="CCECFF"/>
          </w:tcPr>
          <w:p>
            <w:pPr>
              <w:spacing w:after="0"/>
              <w:rPr>
                <w:sz w:val="6"/>
                <w:szCs w:val="6"/>
                <w:color w:val="auto"/>
              </w:rPr>
            </w:pPr>
          </w:p>
        </w:tc>
        <w:tc>
          <w:tcPr>
            <w:tcW w:w="80" w:type="dxa"/>
            <w:vAlign w:val="bottom"/>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4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investments</w:t>
            </w: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ind w:left="8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804,187</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804,187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59,096</w:t>
            </w:r>
          </w:p>
        </w:tc>
        <w:tc>
          <w:tcPr>
            <w:tcW w:w="3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020" w:type="dxa"/>
            <w:vAlign w:val="bottom"/>
            <w:shd w:val="clear" w:color="auto" w:fill="CCECFF"/>
          </w:tcPr>
          <w:p>
            <w:pPr>
              <w:ind w:left="8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59,096</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4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investments, cash and cash equivalents</w:t>
            </w: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59,096</w:t>
            </w:r>
          </w:p>
        </w:tc>
        <w:tc>
          <w:tcPr>
            <w:tcW w:w="6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ind w:left="88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804,187</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863,283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4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1020" w:type="dxa"/>
            <w:vAlign w:val="bottom"/>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tbl>
      <w:tblPr>
        <w:tblLayout w:type="fixed"/>
        <w:tblInd w:w="6" w:type="dxa"/>
        <w:tblCellMar>
          <w:top w:w="0" w:type="dxa"/>
          <w:left w:w="0" w:type="dxa"/>
          <w:bottom w:w="0" w:type="dxa"/>
          <w:right w:w="0" w:type="dxa"/>
        </w:tblCellMar>
      </w:tblPr>
      <w:tr>
        <w:trPr>
          <w:trHeight w:val="156"/>
        </w:trPr>
        <w:tc>
          <w:tcPr>
            <w:tcW w:w="4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40" w:type="dxa"/>
            <w:vAlign w:val="bottom"/>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Fair Value at September 30, 2022</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32"/>
        </w:trPr>
        <w:tc>
          <w:tcPr>
            <w:tcW w:w="4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00" w:type="dxa"/>
            <w:vAlign w:val="bottom"/>
            <w:shd w:val="clear" w:color="auto" w:fill="CFF0FC"/>
          </w:tcPr>
          <w:p>
            <w:pPr>
              <w:spacing w:after="0"/>
              <w:rPr>
                <w:sz w:val="20"/>
                <w:szCs w:val="20"/>
                <w:color w:val="auto"/>
              </w:rPr>
            </w:pPr>
          </w:p>
        </w:tc>
        <w:tc>
          <w:tcPr>
            <w:tcW w:w="240" w:type="dxa"/>
            <w:vAlign w:val="bottom"/>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vMerge w:val="restart"/>
            <w:shd w:val="clear" w:color="auto" w:fill="CCECFF"/>
          </w:tcPr>
          <w:p>
            <w:pPr>
              <w:jc w:val="right"/>
              <w:ind w:right="145"/>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CFF"/>
          </w:tcPr>
          <w:p>
            <w:pPr>
              <w:ind w:left="88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vMerge w:val="restart"/>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730,108</w:t>
            </w:r>
          </w:p>
        </w:tc>
        <w:tc>
          <w:tcPr>
            <w:tcW w:w="100" w:type="dxa"/>
            <w:vAlign w:val="bottom"/>
            <w:shd w:val="clear" w:color="auto" w:fill="CCECFF"/>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CEC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730,108</w:t>
            </w:r>
          </w:p>
        </w:tc>
        <w:tc>
          <w:tcPr>
            <w:tcW w:w="8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4120" w:type="dxa"/>
            <w:vAlign w:val="bottom"/>
            <w:shd w:val="clear" w:color="auto" w:fill="CCECFF"/>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240" w:type="dxa"/>
            <w:vAlign w:val="bottom"/>
            <w:shd w:val="clear" w:color="auto" w:fill="CCECFF"/>
          </w:tcPr>
          <w:p>
            <w:pPr>
              <w:spacing w:after="0"/>
              <w:rPr>
                <w:sz w:val="6"/>
                <w:szCs w:val="6"/>
                <w:color w:val="auto"/>
              </w:rPr>
            </w:pPr>
          </w:p>
        </w:tc>
        <w:tc>
          <w:tcPr>
            <w:tcW w:w="940" w:type="dxa"/>
            <w:vAlign w:val="bottom"/>
            <w:shd w:val="clear" w:color="auto" w:fill="CCECFF"/>
          </w:tcPr>
          <w:p>
            <w:pPr>
              <w:spacing w:after="0"/>
              <w:rPr>
                <w:sz w:val="6"/>
                <w:szCs w:val="6"/>
                <w:color w:val="auto"/>
              </w:rPr>
            </w:pPr>
          </w:p>
        </w:tc>
        <w:tc>
          <w:tcPr>
            <w:tcW w:w="600" w:type="dxa"/>
            <w:vAlign w:val="bottom"/>
            <w:gridSpan w:val="2"/>
            <w:vMerge w:val="continue"/>
            <w:shd w:val="clear" w:color="auto" w:fill="CCECFF"/>
          </w:tcPr>
          <w:p>
            <w:pPr>
              <w:spacing w:after="0"/>
              <w:rPr>
                <w:sz w:val="6"/>
                <w:szCs w:val="6"/>
                <w:color w:val="auto"/>
              </w:rPr>
            </w:pPr>
          </w:p>
        </w:tc>
        <w:tc>
          <w:tcPr>
            <w:tcW w:w="1020" w:type="dxa"/>
            <w:vAlign w:val="bottom"/>
            <w:shd w:val="clear" w:color="auto" w:fill="CCECFF"/>
          </w:tcPr>
          <w:p>
            <w:pPr>
              <w:spacing w:after="0"/>
              <w:rPr>
                <w:sz w:val="6"/>
                <w:szCs w:val="6"/>
                <w:color w:val="auto"/>
              </w:rPr>
            </w:pPr>
          </w:p>
        </w:tc>
        <w:tc>
          <w:tcPr>
            <w:tcW w:w="480" w:type="dxa"/>
            <w:vAlign w:val="bottom"/>
            <w:gridSpan w:val="2"/>
            <w:vMerge w:val="continue"/>
            <w:shd w:val="clear" w:color="auto" w:fill="CCECFF"/>
          </w:tcPr>
          <w:p>
            <w:pPr>
              <w:spacing w:after="0"/>
              <w:rPr>
                <w:sz w:val="6"/>
                <w:szCs w:val="6"/>
                <w:color w:val="auto"/>
              </w:rPr>
            </w:pPr>
          </w:p>
        </w:tc>
        <w:tc>
          <w:tcPr>
            <w:tcW w:w="1040" w:type="dxa"/>
            <w:vAlign w:val="bottom"/>
            <w:shd w:val="clear" w:color="auto" w:fill="CCECFF"/>
          </w:tcPr>
          <w:p>
            <w:pPr>
              <w:spacing w:after="0"/>
              <w:rPr>
                <w:sz w:val="6"/>
                <w:szCs w:val="6"/>
                <w:color w:val="auto"/>
              </w:rPr>
            </w:pPr>
          </w:p>
        </w:tc>
        <w:tc>
          <w:tcPr>
            <w:tcW w:w="100" w:type="dxa"/>
            <w:vAlign w:val="bottom"/>
            <w:shd w:val="clear" w:color="auto" w:fill="CCECFF"/>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360" w:type="dxa"/>
            <w:vAlign w:val="bottom"/>
            <w:shd w:val="clear" w:color="auto" w:fill="CCECFF"/>
          </w:tcPr>
          <w:p>
            <w:pPr>
              <w:spacing w:after="0"/>
              <w:rPr>
                <w:sz w:val="6"/>
                <w:szCs w:val="6"/>
                <w:color w:val="auto"/>
              </w:rPr>
            </w:pPr>
          </w:p>
        </w:tc>
        <w:tc>
          <w:tcPr>
            <w:tcW w:w="1360" w:type="dxa"/>
            <w:vAlign w:val="bottom"/>
            <w:shd w:val="clear" w:color="auto" w:fill="CCECFF"/>
          </w:tcPr>
          <w:p>
            <w:pPr>
              <w:spacing w:after="0"/>
              <w:rPr>
                <w:sz w:val="6"/>
                <w:szCs w:val="6"/>
                <w:color w:val="auto"/>
              </w:rPr>
            </w:pPr>
          </w:p>
        </w:tc>
        <w:tc>
          <w:tcPr>
            <w:tcW w:w="80" w:type="dxa"/>
            <w:vAlign w:val="bottom"/>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4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investments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ind w:left="8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730,108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730,108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40,945</w:t>
            </w:r>
          </w:p>
        </w:tc>
        <w:tc>
          <w:tcPr>
            <w:tcW w:w="3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020" w:type="dxa"/>
            <w:vAlign w:val="bottom"/>
            <w:shd w:val="clear" w:color="auto" w:fill="CCECFF"/>
          </w:tcPr>
          <w:p>
            <w:pPr>
              <w:ind w:left="8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1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40,945</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4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investments, cash and cash equivalents</w:t>
            </w:r>
          </w:p>
        </w:tc>
        <w:tc>
          <w:tcPr>
            <w:tcW w:w="34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40,945</w:t>
            </w:r>
          </w:p>
        </w:tc>
        <w:tc>
          <w:tcPr>
            <w:tcW w:w="340" w:type="dxa"/>
            <w:vAlign w:val="bottom"/>
            <w:vMerge w:val="restart"/>
          </w:tcPr>
          <w:p>
            <w:pPr>
              <w:spacing w:after="0"/>
              <w:rPr>
                <w:sz w:val="22"/>
                <w:szCs w:val="22"/>
                <w:color w:val="auto"/>
              </w:rPr>
            </w:pPr>
          </w:p>
        </w:tc>
        <w:tc>
          <w:tcPr>
            <w:tcW w:w="260" w:type="dxa"/>
            <w:vAlign w:val="bottom"/>
            <w:vMerge w:val="restart"/>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ind w:left="8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vMerge w:val="restart"/>
          </w:tcPr>
          <w:p>
            <w:pPr>
              <w:spacing w:after="0"/>
              <w:rPr>
                <w:sz w:val="22"/>
                <w:szCs w:val="22"/>
                <w:color w:val="auto"/>
              </w:rPr>
            </w:pPr>
          </w:p>
        </w:tc>
        <w:tc>
          <w:tcPr>
            <w:tcW w:w="260" w:type="dxa"/>
            <w:vAlign w:val="bottom"/>
            <w:vMerge w:val="restart"/>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730,108</w:t>
            </w:r>
          </w:p>
        </w:tc>
        <w:tc>
          <w:tcPr>
            <w:tcW w:w="100" w:type="dxa"/>
            <w:vAlign w:val="bottom"/>
          </w:tcPr>
          <w:p>
            <w:pPr>
              <w:spacing w:after="0"/>
              <w:rPr>
                <w:sz w:val="22"/>
                <w:szCs w:val="22"/>
                <w:color w:val="auto"/>
              </w:rPr>
            </w:pPr>
          </w:p>
        </w:tc>
        <w:tc>
          <w:tcPr>
            <w:tcW w:w="480" w:type="dxa"/>
            <w:vAlign w:val="bottom"/>
            <w:gridSpan w:val="2"/>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771,053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4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40" w:type="dxa"/>
            <w:vAlign w:val="bottom"/>
            <w:vMerge w:val="continue"/>
          </w:tcPr>
          <w:p>
            <w:pPr>
              <w:spacing w:after="0"/>
              <w:rPr>
                <w:sz w:val="4"/>
                <w:szCs w:val="4"/>
                <w:color w:val="auto"/>
              </w:rPr>
            </w:pPr>
          </w:p>
        </w:tc>
        <w:tc>
          <w:tcPr>
            <w:tcW w:w="260" w:type="dxa"/>
            <w:vAlign w:val="bottom"/>
            <w:tcBorders>
              <w:bottom w:val="single" w:sz="8" w:color="auto"/>
            </w:tcBorders>
            <w:vMerge w:val="continue"/>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vMerge w:val="continue"/>
          </w:tcPr>
          <w:p>
            <w:pPr>
              <w:spacing w:after="0"/>
              <w:rPr>
                <w:sz w:val="4"/>
                <w:szCs w:val="4"/>
                <w:color w:val="auto"/>
              </w:rPr>
            </w:pPr>
          </w:p>
        </w:tc>
        <w:tc>
          <w:tcPr>
            <w:tcW w:w="260" w:type="dxa"/>
            <w:vAlign w:val="bottom"/>
            <w:tcBorders>
              <w:bottom w:val="single" w:sz="8" w:color="auto"/>
            </w:tcBorders>
            <w:vMerge w:val="continue"/>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22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9120" w:type="dxa"/>
            <w:vAlign w:val="bottom"/>
            <w:gridSpan w:val="13"/>
          </w:tcPr>
          <w:p>
            <w:pPr>
              <w:ind w:left="420"/>
              <w:spacing w:after="0"/>
              <w:rPr>
                <w:sz w:val="20"/>
                <w:szCs w:val="20"/>
                <w:color w:val="auto"/>
              </w:rPr>
            </w:pPr>
            <w:r>
              <w:rPr>
                <w:rFonts w:ascii="Times New Roman" w:cs="Times New Roman" w:eastAsia="Times New Roman" w:hAnsi="Times New Roman"/>
                <w:sz w:val="13"/>
                <w:szCs w:val="13"/>
                <w:color w:val="auto"/>
              </w:rPr>
              <w:t>For the year ended September 30, 2023, the amount of Level 3 purchases, including PIK interest, net discount accretion and non-cash exchanges, for the year were $</w:t>
            </w:r>
          </w:p>
        </w:tc>
        <w:tc>
          <w:tcPr>
            <w:tcW w:w="1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179.6 million. There were</w:t>
            </w:r>
          </w:p>
        </w:tc>
        <w:tc>
          <w:tcPr>
            <w:tcW w:w="0" w:type="dxa"/>
            <w:vAlign w:val="bottom"/>
          </w:tcPr>
          <w:p>
            <w:pPr>
              <w:spacing w:after="0"/>
              <w:rPr>
                <w:sz w:val="1"/>
                <w:szCs w:val="1"/>
                <w:color w:val="auto"/>
              </w:rPr>
            </w:pPr>
          </w:p>
        </w:tc>
      </w:tr>
      <w:tr>
        <w:trPr>
          <w:trHeight w:val="172"/>
        </w:trPr>
        <w:tc>
          <w:tcPr>
            <w:tcW w:w="4120" w:type="dxa"/>
            <w:vAlign w:val="bottom"/>
          </w:tcPr>
          <w:p>
            <w:pPr>
              <w:spacing w:after="0"/>
              <w:rPr>
                <w:sz w:val="20"/>
                <w:szCs w:val="20"/>
                <w:color w:val="auto"/>
              </w:rPr>
            </w:pPr>
            <w:r>
              <w:rPr>
                <w:rFonts w:ascii="Times New Roman" w:cs="Times New Roman" w:eastAsia="Times New Roman" w:hAnsi="Times New Roman"/>
                <w:sz w:val="13"/>
                <w:szCs w:val="13"/>
                <w:color w:val="auto"/>
              </w:rPr>
              <w:t>no Level 3 transfers.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left="6" w:right="60" w:firstLine="420"/>
        <w:spacing w:after="0" w:line="286" w:lineRule="auto"/>
        <w:rPr>
          <w:sz w:val="20"/>
          <w:szCs w:val="20"/>
          <w:color w:val="auto"/>
        </w:rPr>
      </w:pPr>
      <w:r>
        <w:rPr>
          <w:rFonts w:ascii="Times New Roman" w:cs="Times New Roman" w:eastAsia="Times New Roman" w:hAnsi="Times New Roman"/>
          <w:sz w:val="13"/>
          <w:szCs w:val="13"/>
          <w:color w:val="auto"/>
        </w:rPr>
        <w:t>For the year ended September 30, 2022, the amount of Level 3 purchases, including PIK interest, net discount accretion and non-cash exchanges, for the year were $433.3 million. There were no Level 3 transfers.</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3"/>
          <w:szCs w:val="13"/>
          <w:b w:val="1"/>
          <w:bCs w:val="1"/>
          <w:color w:val="auto"/>
        </w:rPr>
        <w:t>5. CASH AND CASH EQUIVALENTS</w:t>
      </w:r>
    </w:p>
    <w:p>
      <w:pPr>
        <w:spacing w:after="0" w:line="165" w:lineRule="exact"/>
        <w:rPr>
          <w:sz w:val="20"/>
          <w:szCs w:val="20"/>
          <w:color w:val="auto"/>
        </w:rPr>
      </w:pPr>
    </w:p>
    <w:p>
      <w:pPr>
        <w:ind w:left="6" w:right="20" w:firstLine="420"/>
        <w:spacing w:after="0" w:line="259" w:lineRule="auto"/>
        <w:rPr>
          <w:sz w:val="20"/>
          <w:szCs w:val="20"/>
          <w:color w:val="auto"/>
        </w:rPr>
      </w:pPr>
      <w:r>
        <w:rPr>
          <w:rFonts w:ascii="Times New Roman" w:cs="Times New Roman" w:eastAsia="Times New Roman" w:hAnsi="Times New Roman"/>
          <w:sz w:val="13"/>
          <w:szCs w:val="13"/>
          <w:color w:val="auto"/>
        </w:rPr>
        <w:t>Cash equivalents represent cash invested in overnight money market funds. These temporary investments with original maturities of 90 days or less are deemed cash equivalents. Cash deposited at financial institutions is insured by the Federal Deposit Insurance Corporation (“FDIC”), up to specified limits. At times, such balances may exceed FDIC insured amounts. As of September 30, 2023, the entire amount of $59.1 million included in the cash and cash equivalents balance on the Consolidated Statement of Assets and Liabilities is comprised of money market funds, which are not subject to FDIC insurance. As of September 30, 2022, cash and cash equivalents consisted of money market funds in the amounts of $40.9 million at fair value. PSLF believes it is not exposed to any significant risk of loss on its cash and cash equivalents.</w:t>
      </w:r>
    </w:p>
    <w:p>
      <w:pPr>
        <w:spacing w:after="0" w:line="152"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709295</wp:posOffset>
            </wp:positionV>
            <wp:extent cx="6732905" cy="406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6"/>
          </w:cols>
          <w:pgMar w:left="654" w:top="1131" w:right="680" w:bottom="1440" w:gutter="0" w:footer="0" w:header="0"/>
        </w:sectPr>
      </w:pPr>
    </w:p>
    <w:bookmarkStart w:id="158" w:name="page159"/>
    <w:bookmarkEnd w:id="158"/>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SEPTEMBER 30, 2023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6. MEMBERS’ EQUITY</w:t>
      </w:r>
    </w:p>
    <w:p>
      <w:pPr>
        <w:spacing w:after="0" w:line="165"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PNNT and Pantheon provide capital to PSLF in the form of equity interests. As described in Note 1, PNNT and Pantheon's initial equity interests ownership percentages were 72.0% and 28%, respectively. On October 31, 2020, PNNT and Pantheon contributed an additional $10.8 million , non pro-rata, to PSLF. PNNT and Pantheon’s additional equity investments came in at PSLF’s then current Members equity. As a result, PNNT and Pantheon owned 60.5% and 39.5%, respectively, of the equity interests of PSLF. As of September 30, 2023 and 2022 the equity interest ownership percentages remained 60.5% and 39.5%, respectively.</w:t>
      </w:r>
    </w:p>
    <w:p>
      <w:pPr>
        <w:spacing w:after="0" w:line="127" w:lineRule="exact"/>
        <w:rPr>
          <w:sz w:val="20"/>
          <w:szCs w:val="20"/>
          <w:color w:val="auto"/>
        </w:rPr>
      </w:pPr>
    </w:p>
    <w:p>
      <w:pPr>
        <w:ind w:right="320" w:firstLine="420"/>
        <w:spacing w:after="0" w:line="286" w:lineRule="auto"/>
        <w:rPr>
          <w:sz w:val="20"/>
          <w:szCs w:val="20"/>
          <w:color w:val="auto"/>
        </w:rPr>
      </w:pPr>
      <w:r>
        <w:rPr>
          <w:rFonts w:ascii="Times New Roman" w:cs="Times New Roman" w:eastAsia="Times New Roman" w:hAnsi="Times New Roman"/>
          <w:sz w:val="13"/>
          <w:szCs w:val="13"/>
          <w:color w:val="auto"/>
        </w:rPr>
        <w:t>As of September 30, 2023 and 2022, PNNT had commitments to fund equity interests to PSLF of $67.4 million and $67.4 million, respectively, of which $8.8 million and $18.1 million, respectively, were unfunded.</w:t>
      </w:r>
    </w:p>
    <w:p>
      <w:pPr>
        <w:spacing w:after="0" w:line="112" w:lineRule="exact"/>
        <w:rPr>
          <w:sz w:val="20"/>
          <w:szCs w:val="20"/>
          <w:color w:val="auto"/>
        </w:rPr>
      </w:pPr>
    </w:p>
    <w:p>
      <w:pPr>
        <w:ind w:right="340" w:firstLine="264"/>
        <w:spacing w:after="0" w:line="286" w:lineRule="auto"/>
        <w:rPr>
          <w:sz w:val="20"/>
          <w:szCs w:val="20"/>
          <w:color w:val="auto"/>
        </w:rPr>
      </w:pPr>
      <w:r>
        <w:rPr>
          <w:rFonts w:ascii="Times New Roman" w:cs="Times New Roman" w:eastAsia="Times New Roman" w:hAnsi="Times New Roman"/>
          <w:sz w:val="13"/>
          <w:szCs w:val="13"/>
          <w:color w:val="auto"/>
        </w:rPr>
        <w:t>As of September 30, 2023 and 2022, Pantheon had commitments to fund equity interests to PSLF of $44.9 million and $44.9 million, respectively, of which $5.7 million and $11.8 million, respectively were unfunded.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7. NOTES PAYABLE TO MEMBERS</w:t>
      </w:r>
    </w:p>
    <w:p>
      <w:pPr>
        <w:spacing w:after="0" w:line="165" w:lineRule="exact"/>
        <w:rPr>
          <w:sz w:val="20"/>
          <w:szCs w:val="20"/>
          <w:color w:val="auto"/>
        </w:rPr>
      </w:pPr>
    </w:p>
    <w:p>
      <w:pPr>
        <w:ind w:right="140" w:firstLine="420"/>
        <w:spacing w:after="0" w:line="262" w:lineRule="auto"/>
        <w:rPr>
          <w:sz w:val="20"/>
          <w:szCs w:val="20"/>
          <w:color w:val="auto"/>
        </w:rPr>
      </w:pPr>
      <w:r>
        <w:rPr>
          <w:rFonts w:ascii="Times New Roman" w:cs="Times New Roman" w:eastAsia="Times New Roman" w:hAnsi="Times New Roman"/>
          <w:sz w:val="13"/>
          <w:szCs w:val="13"/>
          <w:color w:val="auto"/>
        </w:rPr>
        <w:t>PNNT and Pantheon provide capital to PSLF in the form of subordinated notes ("Member Notes"). As described in Note 1, PNNT and Pantheon initially owned 72.0% and 28.0% respectively, of the Member Notes. On October 31, 2020, PNNT and Pantheon contributed an additional $18.5 million, non pro-rata, to PSLF in the form of additional Member notes. As a result, PNNT and Pantheon owned 60.5% and 39.5%, respectively, of the Member notes of PSLF. As of September 30, 2023 and 2022, the subordinated notes ownership percentages remained 60.5% and 39.5% respectively. The notes bear interest at 3-month LIBOR plus 8% prior to June 30, 2023 and 3-month SOFR plus 8% after June 30, 2023 and matures on July 31, 2027.</w:t>
      </w:r>
    </w:p>
    <w:p>
      <w:pPr>
        <w:spacing w:after="0" w:line="127" w:lineRule="exact"/>
        <w:rPr>
          <w:sz w:val="20"/>
          <w:szCs w:val="20"/>
          <w:color w:val="auto"/>
        </w:rPr>
      </w:pPr>
    </w:p>
    <w:p>
      <w:pPr>
        <w:ind w:right="140" w:firstLine="420"/>
        <w:spacing w:after="0" w:line="286" w:lineRule="auto"/>
        <w:rPr>
          <w:sz w:val="20"/>
          <w:szCs w:val="20"/>
          <w:color w:val="auto"/>
        </w:rPr>
      </w:pPr>
      <w:r>
        <w:rPr>
          <w:rFonts w:ascii="Times New Roman" w:cs="Times New Roman" w:eastAsia="Times New Roman" w:hAnsi="Times New Roman"/>
          <w:sz w:val="13"/>
          <w:szCs w:val="13"/>
          <w:color w:val="auto"/>
        </w:rPr>
        <w:t>As of September 30, 2023 and 2022, PNNT had commitments to fund Member Notes to PSLF of $115.9 million and $115.9 million, respectively, of which $13.6 million and $27.9 million, respectively, were unfunded.</w:t>
      </w:r>
    </w:p>
    <w:p>
      <w:pPr>
        <w:spacing w:after="0" w:line="112" w:lineRule="exact"/>
        <w:rPr>
          <w:sz w:val="20"/>
          <w:szCs w:val="20"/>
          <w:color w:val="auto"/>
        </w:rPr>
      </w:pPr>
    </w:p>
    <w:p>
      <w:pPr>
        <w:ind w:right="340" w:firstLine="264"/>
        <w:spacing w:after="0" w:line="286" w:lineRule="auto"/>
        <w:rPr>
          <w:sz w:val="20"/>
          <w:szCs w:val="20"/>
          <w:color w:val="auto"/>
        </w:rPr>
      </w:pPr>
      <w:r>
        <w:rPr>
          <w:rFonts w:ascii="Times New Roman" w:cs="Times New Roman" w:eastAsia="Times New Roman" w:hAnsi="Times New Roman"/>
          <w:sz w:val="13"/>
          <w:szCs w:val="13"/>
          <w:color w:val="auto"/>
        </w:rPr>
        <w:t>As of September 30, 2023 and 2022, Pantheon had commitments to fund Member Notes to PSLF of $75.7 million and $75.7 million, respectively, of which $8.9 million and $18.2 million, respectively were unfunded.</w:t>
      </w:r>
    </w:p>
    <w:p>
      <w:pPr>
        <w:spacing w:after="0" w:line="266" w:lineRule="exact"/>
        <w:rPr>
          <w:sz w:val="20"/>
          <w:szCs w:val="20"/>
          <w:color w:val="auto"/>
        </w:rPr>
      </w:pPr>
    </w:p>
    <w:p>
      <w:pPr>
        <w:ind w:right="8540" w:firstLine="6"/>
        <w:spacing w:after="0" w:line="502" w:lineRule="auto"/>
        <w:tabs>
          <w:tab w:leader="none" w:pos="132" w:val="left"/>
        </w:tabs>
        <w:numPr>
          <w:ilvl w:val="0"/>
          <w:numId w:val="2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RISKS AND UNCERTAINTIES Investments</w:t>
      </w:r>
    </w:p>
    <w:p>
      <w:pPr>
        <w:spacing w:after="0" w:line="1" w:lineRule="exact"/>
        <w:rPr>
          <w:sz w:val="20"/>
          <w:szCs w:val="20"/>
          <w:color w:val="auto"/>
        </w:rPr>
      </w:pPr>
    </w:p>
    <w:p>
      <w:pPr>
        <w:ind w:right="20" w:firstLine="420"/>
        <w:spacing w:after="0" w:line="260" w:lineRule="auto"/>
        <w:rPr>
          <w:sz w:val="20"/>
          <w:szCs w:val="20"/>
          <w:color w:val="auto"/>
        </w:rPr>
      </w:pPr>
      <w:r>
        <w:rPr>
          <w:rFonts w:ascii="Times New Roman" w:cs="Times New Roman" w:eastAsia="Times New Roman" w:hAnsi="Times New Roman"/>
          <w:sz w:val="13"/>
          <w:szCs w:val="13"/>
          <w:color w:val="auto"/>
        </w:rPr>
        <w:t>PSLF seeks investment opportunities that offer the possibility of attaining income generation, capital preservation and capital appreciation including investments in private companies. Certain events particular to each industry in which PSLF’s investments conduct their operations, as well as general economic and political conditions, may have a significant negative impact on the investee’s operations and profitability. Such events are beyond PSLF’s controls, and the likelihood that they may occur cannot be predicted. Furthermore, investments of PSLF are made in private companies and there are generally no public markets for these securities at the current time. The ability of PSLF to liquidate these investments and realize value is subject to significant limitations and uncertainties.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Leverage Risk</w:t>
      </w:r>
    </w:p>
    <w:p>
      <w:pPr>
        <w:spacing w:after="0" w:line="165" w:lineRule="exact"/>
        <w:rPr>
          <w:sz w:val="20"/>
          <w:szCs w:val="20"/>
          <w:color w:val="auto"/>
        </w:rPr>
      </w:pPr>
    </w:p>
    <w:p>
      <w:pPr>
        <w:ind w:firstLine="420"/>
        <w:spacing w:after="0" w:line="257" w:lineRule="auto"/>
        <w:rPr>
          <w:sz w:val="20"/>
          <w:szCs w:val="20"/>
          <w:color w:val="auto"/>
        </w:rPr>
      </w:pPr>
      <w:r>
        <w:rPr>
          <w:rFonts w:ascii="Times New Roman" w:cs="Times New Roman" w:eastAsia="Times New Roman" w:hAnsi="Times New Roman"/>
          <w:sz w:val="13"/>
          <w:szCs w:val="13"/>
          <w:color w:val="auto"/>
        </w:rPr>
        <w:t>PSLF may borrow funds in order to increase the amount of capital available for investment. The use of leverage can improve the return on invested capital, however, such use may also magnify the potential for loss on invested capital. If the value of PSLF’s assets decreases, leveraging would cause members’ equity to decline more sharply than it otherwise would have had PSLF not used leverage. Similarly, any decrease in PSLF’s income would cause net income to decline more sharply than it would have had PSLF not borrowed. Borrowings will usually be from credit facilities or debt securitizations which will typically be secured by PSLF’s securities and other assets. Under certain circumstances, such debt may demand an increase in the collateral that secures PSLF’s obligations and if PSLF was unable to provide additional collateral, the debt could liquidate assets held in the account to satisfy PSLF’s obligations. Liquidation in this manner could have adverse consequences. Additionally, the amount of PSLF’s borrowings and the interest rates on those borrowings, which will fluctuate, could have a significant effect on PSLF’s profitability.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Credit Risk</w:t>
      </w:r>
    </w:p>
    <w:p>
      <w:pPr>
        <w:spacing w:after="0" w:line="165" w:lineRule="exact"/>
        <w:rPr>
          <w:sz w:val="20"/>
          <w:szCs w:val="20"/>
          <w:color w:val="auto"/>
        </w:rPr>
      </w:pPr>
    </w:p>
    <w:p>
      <w:pPr>
        <w:jc w:val="both"/>
        <w:ind w:right="160" w:firstLine="420"/>
        <w:spacing w:after="0" w:line="268" w:lineRule="auto"/>
        <w:rPr>
          <w:sz w:val="20"/>
          <w:szCs w:val="20"/>
          <w:color w:val="auto"/>
        </w:rPr>
      </w:pPr>
      <w:r>
        <w:rPr>
          <w:rFonts w:ascii="Times New Roman" w:cs="Times New Roman" w:eastAsia="Times New Roman" w:hAnsi="Times New Roman"/>
          <w:sz w:val="13"/>
          <w:szCs w:val="13"/>
          <w:color w:val="auto"/>
        </w:rPr>
        <w:t>PSLF primarily invests in first lien secured debt to middle- market companies. A majority of the investments held by PSLF are subject to restrictions on their resale or are otherwise illiquid. PSLF assumes the credit risk of the borrower. In the event that the borrower becomes insolvent or enters bankruptcy, PSLF may incur certain costs and delays in realizing payment, or may suffer a loss of principal and/or interest.</w:t>
      </w: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709295</wp:posOffset>
            </wp:positionV>
            <wp:extent cx="6732905" cy="406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131" w:right="720" w:bottom="1440" w:gutter="0" w:footer="0" w:header="0"/>
        </w:sectPr>
      </w:pPr>
    </w:p>
    <w:bookmarkStart w:id="159" w:name="page160"/>
    <w:bookmarkEnd w:id="159"/>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2023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9. FINANCIAL HIGHLIGHTS</w:t>
      </w:r>
    </w:p>
    <w:p>
      <w:pPr>
        <w:spacing w:after="0" w:line="165" w:lineRule="exact"/>
        <w:rPr>
          <w:sz w:val="20"/>
          <w:szCs w:val="20"/>
          <w:color w:val="auto"/>
        </w:rPr>
      </w:pPr>
    </w:p>
    <w:p>
      <w:pPr>
        <w:ind w:right="200" w:firstLine="420"/>
        <w:spacing w:after="0" w:line="286" w:lineRule="auto"/>
        <w:rPr>
          <w:sz w:val="20"/>
          <w:szCs w:val="20"/>
          <w:color w:val="auto"/>
        </w:rPr>
      </w:pPr>
      <w:r>
        <w:rPr>
          <w:rFonts w:ascii="Times New Roman" w:cs="Times New Roman" w:eastAsia="Times New Roman" w:hAnsi="Times New Roman"/>
          <w:sz w:val="13"/>
          <w:szCs w:val="13"/>
          <w:color w:val="auto"/>
        </w:rPr>
        <w:t>The Members are responsible for all investment making and business decisions, therefore, there is no requirement to show financial highlights per ASC Topic 946, which have been omitted accordingly.</w:t>
      </w:r>
    </w:p>
    <w:p>
      <w:pPr>
        <w:spacing w:after="0" w:line="110" w:lineRule="exact"/>
        <w:rPr>
          <w:sz w:val="20"/>
          <w:szCs w:val="20"/>
          <w:color w:val="auto"/>
        </w:rPr>
      </w:pPr>
    </w:p>
    <w:p>
      <w:pPr>
        <w:ind w:right="9640" w:firstLine="6"/>
        <w:spacing w:after="0" w:line="502" w:lineRule="auto"/>
        <w:tabs>
          <w:tab w:leader="none" w:pos="204" w:val="left"/>
        </w:tabs>
        <w:numPr>
          <w:ilvl w:val="0"/>
          <w:numId w:val="2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LEVERAGE Credit Facility</w:t>
      </w:r>
    </w:p>
    <w:p>
      <w:pPr>
        <w:spacing w:after="0" w:line="1" w:lineRule="exact"/>
        <w:rPr>
          <w:sz w:val="20"/>
          <w:szCs w:val="20"/>
          <w:color w:val="auto"/>
        </w:rPr>
      </w:pPr>
    </w:p>
    <w:p>
      <w:pPr>
        <w:ind w:right="180" w:firstLine="264"/>
        <w:spacing w:after="0" w:line="286" w:lineRule="auto"/>
        <w:rPr>
          <w:sz w:val="20"/>
          <w:szCs w:val="20"/>
          <w:color w:val="auto"/>
        </w:rPr>
      </w:pPr>
      <w:r>
        <w:rPr>
          <w:rFonts w:ascii="Times New Roman" w:cs="Times New Roman" w:eastAsia="Times New Roman" w:hAnsi="Times New Roman"/>
          <w:sz w:val="13"/>
          <w:szCs w:val="13"/>
          <w:color w:val="auto"/>
        </w:rPr>
        <w:t>As described in Note 1 above, PNNT contributed Funding I to the Company. As of the contribution date Funding I had a $250 million senior secured revolving credit facility with BNP Paribas (the “BNP Credit Facility”). The BNP Credit Facility is secured by all of the assets of Funding I.</w:t>
      </w:r>
    </w:p>
    <w:p>
      <w:pPr>
        <w:spacing w:after="0" w:line="1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In November 2020, Funding I amended the BNP Credit Facility and increased the size to $275 million.</w:t>
      </w:r>
    </w:p>
    <w:p>
      <w:pPr>
        <w:spacing w:after="0" w:line="1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In March 2022, Funding I amended the BNP Credit Facility and reduced the total commitment to $225 million, extended the revolving period to March 2025 and extended maturity to March 2027.</w:t>
      </w:r>
    </w:p>
    <w:p>
      <w:pPr>
        <w:spacing w:after="0" w:line="163" w:lineRule="exact"/>
        <w:rPr>
          <w:sz w:val="20"/>
          <w:szCs w:val="20"/>
          <w:color w:val="auto"/>
        </w:rPr>
      </w:pPr>
    </w:p>
    <w:p>
      <w:pPr>
        <w:ind w:right="60" w:firstLine="231"/>
        <w:spacing w:after="0" w:line="286" w:lineRule="auto"/>
        <w:rPr>
          <w:sz w:val="20"/>
          <w:szCs w:val="20"/>
          <w:color w:val="auto"/>
        </w:rPr>
      </w:pPr>
      <w:r>
        <w:rPr>
          <w:rFonts w:ascii="Times New Roman" w:cs="Times New Roman" w:eastAsia="Times New Roman" w:hAnsi="Times New Roman"/>
          <w:sz w:val="13"/>
          <w:szCs w:val="13"/>
          <w:color w:val="auto"/>
        </w:rPr>
        <w:t>In September 2022, Funding I amended the BNP Credit Facility and increased the total commitment to $325 million and amended the interest rate to SOFR plus 2.60%. As of September 30, 2023 there were $88.6 million in outstanding borrowings and we were in compliance with all required covenants.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Asset - Backed Debt - CLO IV</w:t>
      </w:r>
    </w:p>
    <w:p>
      <w:pPr>
        <w:spacing w:after="0" w:line="165" w:lineRule="exact"/>
        <w:rPr>
          <w:sz w:val="20"/>
          <w:szCs w:val="20"/>
          <w:color w:val="auto"/>
        </w:rPr>
      </w:pPr>
    </w:p>
    <w:p>
      <w:pPr>
        <w:ind w:right="60" w:firstLine="420"/>
        <w:spacing w:after="0" w:line="255" w:lineRule="auto"/>
        <w:rPr>
          <w:sz w:val="20"/>
          <w:szCs w:val="20"/>
          <w:color w:val="auto"/>
        </w:rPr>
      </w:pPr>
      <w:r>
        <w:rPr>
          <w:rFonts w:ascii="Times New Roman" w:cs="Times New Roman" w:eastAsia="Times New Roman" w:hAnsi="Times New Roman"/>
          <w:sz w:val="13"/>
          <w:szCs w:val="13"/>
          <w:color w:val="auto"/>
        </w:rPr>
        <w:t>On March 2, 2022, CLO IV completed a $304 million debt securitization in the form of a collateralized loan obligation (the "2034 Debt Securitization" or "2034 Asset-Backed Debt"). The 2034 Asset-Backed Debt is secured by a diversified portfolio consisting primarily of middle market loans. The 2034 Debt Securitization was executed through a private placement of: (i) $30.0 million Class A-1a Loans maturing 2034, which bear interest at the three -month SOFR plus 1.7%, (ii) $50.0 million Class A -1b Senior Secured Fixed Rate Notes due 2034, which bear interest at 3.45%, (iii) $12.0 million Class A-2 Senior Secured Floating Rate Notes due 2034, which bear interest at the three-month SOFR plus 1.9%, (iv) $21.0 million Class B Senior Secured Floating Rate Notes due 2034, which bear interest at the three-month SOFR plus 2.1%, (v) $24.0 million Class C Secured Deferrable Floating Rate Notes due 2034, which bear interest at the three-month SOFR plus 2.9%,</w:t>
      </w:r>
    </w:p>
    <w:p>
      <w:pPr>
        <w:ind w:right="80" w:firstLine="6"/>
        <w:spacing w:after="0" w:line="254" w:lineRule="auto"/>
        <w:tabs>
          <w:tab w:leader="none" w:pos="223"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$18.0 million Class D Secured Deferrable Floating Rate Notes due 2034, which bear interest at the three-month SOFR plus 4.0%, and (vii) $91.0 million Class A-1a Senior Secured Floating Rate notes due 2034 which bears interest at the three-month SOFR plus 1.7%, under a credit agreement by and among CLO IV, as issuer, various financial institutions, as lenders, and Wilmington Trust, National Association, as collateral trustee and as loan agent. As of September 30, 2023 there was $246.0 million of 2034 Asset-Backed Debt and there was $1.7 million of un-amortized financing costs. As of September 30, 2023 the weighted average interest rate was 6.6%.</w:t>
      </w:r>
    </w:p>
    <w:p>
      <w:pPr>
        <w:spacing w:after="0" w:line="133" w:lineRule="exact"/>
        <w:rPr>
          <w:sz w:val="20"/>
          <w:szCs w:val="20"/>
          <w:color w:val="auto"/>
        </w:rPr>
      </w:pPr>
    </w:p>
    <w:p>
      <w:pPr>
        <w:jc w:val="both"/>
        <w:ind w:right="180" w:firstLine="420"/>
        <w:spacing w:after="0" w:line="268" w:lineRule="auto"/>
        <w:rPr>
          <w:sz w:val="20"/>
          <w:szCs w:val="20"/>
          <w:color w:val="auto"/>
        </w:rPr>
      </w:pPr>
      <w:r>
        <w:rPr>
          <w:rFonts w:ascii="Times New Roman" w:cs="Times New Roman" w:eastAsia="Times New Roman" w:hAnsi="Times New Roman"/>
          <w:sz w:val="13"/>
          <w:szCs w:val="13"/>
          <w:color w:val="auto"/>
        </w:rPr>
        <w:t>On the closing date of the 2034 Debt Securitization, in consideration of our transfer to CLO IV of the initial closing date loan portfolio, PSLF received 100% of the Subordinated Notes (the "2034 Sub Notes") of CLO IV, and a portion of the net cash proceeds received from the sale of the 2034 Asset-Backed Debt Securitization. The 2034 Sub Notes do not bear interest and had a stated value of approximately $58.0 million at the closing of the 2034 Debt Securitization.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Asset - Backed Debt - CLO VII</w:t>
      </w:r>
    </w:p>
    <w:p>
      <w:pPr>
        <w:spacing w:after="0" w:line="165" w:lineRule="exact"/>
        <w:rPr>
          <w:sz w:val="20"/>
          <w:szCs w:val="20"/>
          <w:color w:val="auto"/>
        </w:rPr>
      </w:pPr>
    </w:p>
    <w:p>
      <w:pPr>
        <w:ind w:right="80" w:firstLine="420"/>
        <w:spacing w:after="0" w:line="256" w:lineRule="auto"/>
        <w:rPr>
          <w:sz w:val="20"/>
          <w:szCs w:val="20"/>
          <w:color w:val="auto"/>
        </w:rPr>
      </w:pPr>
      <w:r>
        <w:rPr>
          <w:rFonts w:ascii="Times New Roman" w:cs="Times New Roman" w:eastAsia="Times New Roman" w:hAnsi="Times New Roman"/>
          <w:sz w:val="13"/>
          <w:szCs w:val="13"/>
          <w:color w:val="auto"/>
        </w:rPr>
        <w:t>On July 26, 2023, CLO VII completed a $300 million debt securitization in the form of a collateralized loan obligation (the "2035 Debt Securitization" or "2035 Asset-Backed Debt"). The 2035 Asset-Backed Debt is secured by a diversified portfolio consisting primarily of middle market loans. The 2035 Debt Securitization was executed through a private placement of: (i) $151.0 million Class A -1a Notes maturing 2035, which bear interest at the three -month SOFR plus 2.7%, (ii) $ 20.0 million Class A-1b Loans 2035, which bear interest at 6.5%, (iii) $12.0 million Class A- 2 Senior Secured Floating Rate Notes due 2035, which bear interest at the three-month SOFR plus 3.2%, (iv) $21.0 million Class B Senior Secured Floating Rate Notes due 2035, which bear interest at the three -month SOFR plus 4.1%, (v) $24.0 million Class C Secured Deferrable Floating Rate Notes due 2035, which bear interest at the three-month SOFR plus 4.7%, (vi) $18.0 million Class D Secured Deferrable Floating Rate Notes due 2035, which bear interest at the three-month SOFR plus 7.0%. As of September 30, 2023 there was $246.0 million of external 2035 Asset-Backed Debt and there was $2.3 million of un-amortized financing costs. As of September 30, 2023 the weighted average interest rate was 8.6%.</w:t>
      </w:r>
    </w:p>
    <w:p>
      <w:pPr>
        <w:spacing w:after="0" w:line="132" w:lineRule="exact"/>
        <w:rPr>
          <w:sz w:val="20"/>
          <w:szCs w:val="20"/>
          <w:color w:val="auto"/>
        </w:rPr>
      </w:pPr>
    </w:p>
    <w:p>
      <w:pPr>
        <w:ind w:right="160" w:firstLine="420"/>
        <w:spacing w:after="0" w:line="286" w:lineRule="auto"/>
        <w:rPr>
          <w:sz w:val="20"/>
          <w:szCs w:val="20"/>
          <w:color w:val="auto"/>
        </w:rPr>
      </w:pPr>
      <w:r>
        <w:rPr>
          <w:rFonts w:ascii="Times New Roman" w:cs="Times New Roman" w:eastAsia="Times New Roman" w:hAnsi="Times New Roman"/>
          <w:sz w:val="13"/>
          <w:szCs w:val="13"/>
          <w:color w:val="auto"/>
        </w:rPr>
        <w:t>On the closing date of the 2035 Debt Securitization, in consideration of our transfer to CLO VII of the initial closing date loan portfolio, PSLF received 100% of the Subordinated Notes (the "2035 Sub Notes") of CLO VII. The 2035 Sub Notes do not bear interest and had a stated value of approximately $54.0 million at the closing of the 2035 Debt Securitization.</w:t>
      </w:r>
    </w:p>
    <w:p>
      <w:pPr>
        <w:spacing w:after="0" w:line="11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3"/>
          <w:szCs w:val="13"/>
          <w:color w:val="auto"/>
        </w:rPr>
        <w:t>The 2034 Asset-Backed Debt and 2035 Asset-Backed Debt are included in the Consolidated Statement of Assets, Liabilities and Members' Equity as debt of the Company and the sub notes were eliminated in consolidation.</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709295</wp:posOffset>
            </wp:positionV>
            <wp:extent cx="6732905" cy="406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160" w:name="page161"/>
    <w:bookmarkEnd w:id="16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2023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11. COMMITMENT AND CONTINGENCIES</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 of September 30, 2023 and 2022, the Company has $0.5 million and $0.1 million of unfunded commitments to fund investments.</w:t>
      </w:r>
    </w:p>
    <w:p>
      <w:pPr>
        <w:spacing w:after="0" w:line="163" w:lineRule="exact"/>
        <w:rPr>
          <w:sz w:val="20"/>
          <w:szCs w:val="20"/>
          <w:color w:val="auto"/>
        </w:rPr>
      </w:pPr>
    </w:p>
    <w:p>
      <w:pPr>
        <w:ind w:firstLine="420"/>
        <w:spacing w:after="0" w:line="268" w:lineRule="auto"/>
        <w:rPr>
          <w:sz w:val="20"/>
          <w:szCs w:val="20"/>
          <w:color w:val="auto"/>
        </w:rPr>
      </w:pPr>
      <w:r>
        <w:rPr>
          <w:rFonts w:ascii="Times New Roman" w:cs="Times New Roman" w:eastAsia="Times New Roman" w:hAnsi="Times New Roman"/>
          <w:sz w:val="13"/>
          <w:szCs w:val="13"/>
          <w:color w:val="auto"/>
        </w:rPr>
        <w:t>The Company has provided general indemnifications to the Members, any affiliate of the Members, and any person acting on behalf of he Members or that affiliate when they act , in good faith, in the best interest of the Company. The Company is unable to develop an estimate of the maximum potential amount of future payments that could potentially result from any hypothetical future claim but expects the risk of having to make any payments under these general business indemnifications to be remote.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12. SUBSEQUENT EVENTS</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Subsequent events are evaluated and disclosed as appropriate for events occurring through the date of the consolidated financial statements were available to be issued on November 25, 2024.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There were no events that require disclosure.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709295</wp:posOffset>
            </wp:positionV>
            <wp:extent cx="6732905" cy="406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161" w:name="page162"/>
    <w:bookmarkEnd w:id="161"/>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upperLetter"/>
      <w:start w:val="35"/>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lvl w:ilvl="1">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3"/>
    </w:lvl>
    <w:lvl w:ilvl="1">
      <w:lvlJc w:val="left"/>
      <w:lvlText w:val="(%2)"/>
      <w:numFmt w:val="lowerLetter"/>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lvl w:ilvl="1">
      <w:lvlJc w:val="left"/>
      <w:lvlText w:val="%2"/>
      <w:numFmt w:val="decimal"/>
      <w:start w:val="104"/>
    </w:lvl>
  </w:abstractNum>
  <w:abstractNum w:abstractNumId="9">
    <w:nsid w:val="519B500D"/>
    <w:multiLevelType w:val="hybridMultilevel"/>
    <w:lvl w:ilvl="0">
      <w:lvlJc w:val="left"/>
      <w:lvlText w:val="%1."/>
      <w:numFmt w:val="decimal"/>
      <w:start w:val="1"/>
    </w:lvl>
    <w:lvl w:ilvl="1">
      <w:lvlJc w:val="left"/>
      <w:lvlText w:val="%2)"/>
      <w:numFmt w:val="lowerLetter"/>
      <w:start w:val="1"/>
    </w:lvl>
  </w:abstractNum>
  <w:abstractNum w:abstractNumId="10">
    <w:nsid w:val="431BD7B7"/>
    <w:multiLevelType w:val="hybridMultilevel"/>
    <w:lvl w:ilvl="0">
      <w:lvlJc w:val="left"/>
      <w:lvlText w:val="%1."/>
      <w:numFmt w:val="decimal"/>
      <w:start w:val="1"/>
    </w:lvl>
    <w:lvl w:ilvl="1">
      <w:lvlJc w:val="left"/>
      <w:lvlText w:val="%2)"/>
      <w:numFmt w:val="lowerLetter"/>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bullet"/>
      <w:start w:val="1"/>
    </w:lvl>
  </w:abstractNum>
  <w:abstractNum w:abstractNumId="14">
    <w:nsid w:val="62BBD95A"/>
    <w:multiLevelType w:val="hybridMultilevel"/>
    <w:lvl w:ilvl="0">
      <w:lvlJc w:val="left"/>
      <w:lvlText w:val="1"/>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8"/>
    </w:lvl>
  </w:abstractNum>
  <w:abstractNum w:abstractNumId="17">
    <w:nsid w:val="333AB105"/>
    <w:multiLevelType w:val="hybridMultilevel"/>
    <w:lvl w:ilvl="0">
      <w:lvlJc w:val="left"/>
      <w:lvlText w:val="%1."/>
      <w:numFmt w:val="decimal"/>
      <w:start w:val="10"/>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lowerLetter"/>
      <w:start w:val="5"/>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decimal"/>
      <w:start w:val="8"/>
    </w:lvl>
  </w:abstractNum>
  <w:abstractNum w:abstractNumId="23">
    <w:nsid w:val="8EDBDAB"/>
    <w:multiLevelType w:val="hybridMultilevel"/>
    <w:lvl w:ilvl="0">
      <w:lvlJc w:val="left"/>
      <w:lvlText w:val="%1."/>
      <w:numFmt w:val="decimal"/>
      <w:start w:val="10"/>
    </w:lvl>
  </w:abstractNum>
  <w:abstractNum w:abstractNumId="24">
    <w:nsid w:val="79838CB2"/>
    <w:multiLevelType w:val="hybridMultilevel"/>
    <w:lvl w:ilvl="0">
      <w:lvlJc w:val="left"/>
      <w:lvlText w:val="(%1)"/>
      <w:numFmt w:val="lowerRoman"/>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55" Type="http://schemas.openxmlformats.org/officeDocument/2006/relationships/image" Target="media/image124.png"/><Relationship Id="rId156" Type="http://schemas.openxmlformats.org/officeDocument/2006/relationships/image" Target="media/image125.png"/><Relationship Id="rId157" Type="http://schemas.openxmlformats.org/officeDocument/2006/relationships/image" Target="media/image126.png"/><Relationship Id="rId158" Type="http://schemas.openxmlformats.org/officeDocument/2006/relationships/image" Target="media/image127.png"/><Relationship Id="rId159" Type="http://schemas.openxmlformats.org/officeDocument/2006/relationships/image" Target="media/image128.png"/><Relationship Id="rId160" Type="http://schemas.openxmlformats.org/officeDocument/2006/relationships/image" Target="media/image129.png"/><Relationship Id="rId161" Type="http://schemas.openxmlformats.org/officeDocument/2006/relationships/image" Target="media/image130.png"/><Relationship Id="rId162" Type="http://schemas.openxmlformats.org/officeDocument/2006/relationships/image" Target="media/image131.png"/><Relationship Id="rId163" Type="http://schemas.openxmlformats.org/officeDocument/2006/relationships/image" Target="media/image132.png"/><Relationship Id="rId164" Type="http://schemas.openxmlformats.org/officeDocument/2006/relationships/image" Target="media/image133.png"/><Relationship Id="rId165" Type="http://schemas.openxmlformats.org/officeDocument/2006/relationships/image" Target="media/image134.png"/><Relationship Id="rId166" Type="http://schemas.openxmlformats.org/officeDocument/2006/relationships/image" Target="media/image135.png"/><Relationship Id="rId167" Type="http://schemas.openxmlformats.org/officeDocument/2006/relationships/image" Target="media/image136.png"/><Relationship Id="rId168" Type="http://schemas.openxmlformats.org/officeDocument/2006/relationships/image" Target="media/image137.png"/><Relationship Id="rId169" Type="http://schemas.openxmlformats.org/officeDocument/2006/relationships/image" Target="media/image138.png"/><Relationship Id="rId170" Type="http://schemas.openxmlformats.org/officeDocument/2006/relationships/image" Target="media/image139.png"/><Relationship Id="rId171" Type="http://schemas.openxmlformats.org/officeDocument/2006/relationships/image" Target="media/image140.png"/><Relationship Id="rId172" Type="http://schemas.openxmlformats.org/officeDocument/2006/relationships/image" Target="media/image141.png"/><Relationship Id="rId173" Type="http://schemas.openxmlformats.org/officeDocument/2006/relationships/image" Target="media/image142.png"/><Relationship Id="rId174" Type="http://schemas.openxmlformats.org/officeDocument/2006/relationships/image" Target="media/image143.png"/><Relationship Id="rId175" Type="http://schemas.openxmlformats.org/officeDocument/2006/relationships/image" Target="media/image144.png"/><Relationship Id="rId176" Type="http://schemas.openxmlformats.org/officeDocument/2006/relationships/image" Target="media/image145.png"/><Relationship Id="rId177" Type="http://schemas.openxmlformats.org/officeDocument/2006/relationships/image" Target="media/image146.png"/><Relationship Id="rId178" Type="http://schemas.openxmlformats.org/officeDocument/2006/relationships/image" Target="media/image147.png"/><Relationship Id="rId179" Type="http://schemas.openxmlformats.org/officeDocument/2006/relationships/image" Target="media/image148.png"/><Relationship Id="rId180" Type="http://schemas.openxmlformats.org/officeDocument/2006/relationships/image" Target="media/image149.png"/><Relationship Id="rId181" Type="http://schemas.openxmlformats.org/officeDocument/2006/relationships/image" Target="media/image150.png"/><Relationship Id="rId182" Type="http://schemas.openxmlformats.org/officeDocument/2006/relationships/image" Target="media/image151.png"/><Relationship Id="rId183" Type="http://schemas.openxmlformats.org/officeDocument/2006/relationships/image" Target="media/image152.png"/><Relationship Id="rId184" Type="http://schemas.openxmlformats.org/officeDocument/2006/relationships/image" Target="media/image153.png"/><Relationship Id="rId185" Type="http://schemas.openxmlformats.org/officeDocument/2006/relationships/image" Target="media/image154.png"/><Relationship Id="rId186" Type="http://schemas.openxmlformats.org/officeDocument/2006/relationships/image" Target="media/image155.png"/><Relationship Id="rId187" Type="http://schemas.openxmlformats.org/officeDocument/2006/relationships/image" Target="media/image156.png"/><Relationship Id="rId188" Type="http://schemas.openxmlformats.org/officeDocument/2006/relationships/image" Target="media/image157.png"/><Relationship Id="rId189" Type="http://schemas.openxmlformats.org/officeDocument/2006/relationships/image" Target="media/image158.png"/><Relationship Id="rId190" Type="http://schemas.openxmlformats.org/officeDocument/2006/relationships/image" Target="media/image159.png"/><Relationship Id="rId191" Type="http://schemas.openxmlformats.org/officeDocument/2006/relationships/image" Target="media/image160.png"/><Relationship Id="rId192" Type="http://schemas.openxmlformats.org/officeDocument/2006/relationships/image" Target="media/image161.png"/><Relationship Id="rId193" Type="http://schemas.openxmlformats.org/officeDocument/2006/relationships/image" Target="media/image162.png"/><Relationship Id="rId194" Type="http://schemas.openxmlformats.org/officeDocument/2006/relationships/image" Target="media/image163.png"/><Relationship Id="rId195" Type="http://schemas.openxmlformats.org/officeDocument/2006/relationships/image" Target="media/image164.png"/><Relationship Id="rId196" Type="http://schemas.openxmlformats.org/officeDocument/2006/relationships/image" Target="media/image165.png"/><Relationship Id="rId197" Type="http://schemas.openxmlformats.org/officeDocument/2006/relationships/image" Target="media/image166.png"/><Relationship Id="rId198" Type="http://schemas.openxmlformats.org/officeDocument/2006/relationships/image" Target="media/image167.png"/><Relationship Id="rId199" Type="http://schemas.openxmlformats.org/officeDocument/2006/relationships/image" Target="media/image168.png"/><Relationship Id="rId200" Type="http://schemas.openxmlformats.org/officeDocument/2006/relationships/image" Target="media/image169.png"/><Relationship Id="rId201" Type="http://schemas.openxmlformats.org/officeDocument/2006/relationships/image" Target="media/image170.png"/><Relationship Id="rId202" Type="http://schemas.openxmlformats.org/officeDocument/2006/relationships/image" Target="media/image171.png"/><Relationship Id="rId203" Type="http://schemas.openxmlformats.org/officeDocument/2006/relationships/image" Target="media/image172.png"/><Relationship Id="rId204" Type="http://schemas.openxmlformats.org/officeDocument/2006/relationships/image" Target="media/image173.png"/><Relationship Id="rId205" Type="http://schemas.openxmlformats.org/officeDocument/2006/relationships/image" Target="media/image174.png"/><Relationship Id="rId206" Type="http://schemas.openxmlformats.org/officeDocument/2006/relationships/image" Target="media/image175.png"/><Relationship Id="rId207" Type="http://schemas.openxmlformats.org/officeDocument/2006/relationships/image" Target="media/image176.png"/><Relationship Id="rId208" Type="http://schemas.openxmlformats.org/officeDocument/2006/relationships/image" Target="media/image177.png"/><Relationship Id="rId209" Type="http://schemas.openxmlformats.org/officeDocument/2006/relationships/image" Target="media/image178.png"/><Relationship Id="rId210" Type="http://schemas.openxmlformats.org/officeDocument/2006/relationships/image" Target="media/image179.png"/><Relationship Id="rId211" Type="http://schemas.openxmlformats.org/officeDocument/2006/relationships/image" Target="media/image180.png"/><Relationship Id="rId212" Type="http://schemas.openxmlformats.org/officeDocument/2006/relationships/image" Target="media/image181.png"/><Relationship Id="rId213" Type="http://schemas.openxmlformats.org/officeDocument/2006/relationships/image" Target="media/image182.png"/><Relationship Id="rId214" Type="http://schemas.openxmlformats.org/officeDocument/2006/relationships/image" Target="media/image183.png"/><Relationship Id="rId215" Type="http://schemas.openxmlformats.org/officeDocument/2006/relationships/image" Target="media/image184.png"/><Relationship Id="rId216" Type="http://schemas.openxmlformats.org/officeDocument/2006/relationships/image" Target="media/image185.png"/><Relationship Id="rId217" Type="http://schemas.openxmlformats.org/officeDocument/2006/relationships/image" Target="media/image186.png"/><Relationship Id="rId218" Type="http://schemas.openxmlformats.org/officeDocument/2006/relationships/image" Target="media/image187.png"/><Relationship Id="rId219" Type="http://schemas.openxmlformats.org/officeDocument/2006/relationships/image" Target="media/image188.png"/><Relationship Id="rId220" Type="http://schemas.openxmlformats.org/officeDocument/2006/relationships/image" Target="media/image189.png"/><Relationship Id="rId221" Type="http://schemas.openxmlformats.org/officeDocument/2006/relationships/image" Target="media/image190.png"/><Relationship Id="rId222" Type="http://schemas.openxmlformats.org/officeDocument/2006/relationships/image" Target="media/image191.png"/><Relationship Id="rId223" Type="http://schemas.openxmlformats.org/officeDocument/2006/relationships/image" Target="media/image192.png"/><Relationship Id="rId224" Type="http://schemas.openxmlformats.org/officeDocument/2006/relationships/image" Target="media/image193.png"/><Relationship Id="rId225" Type="http://schemas.openxmlformats.org/officeDocument/2006/relationships/image" Target="media/image194.png"/><Relationship Id="rId226" Type="http://schemas.openxmlformats.org/officeDocument/2006/relationships/image" Target="media/image195.png"/><Relationship Id="rId227" Type="http://schemas.openxmlformats.org/officeDocument/2006/relationships/image" Target="media/image196.png"/><Relationship Id="rId228" Type="http://schemas.openxmlformats.org/officeDocument/2006/relationships/image" Target="media/image197.png"/><Relationship Id="rId229" Type="http://schemas.openxmlformats.org/officeDocument/2006/relationships/image" Target="media/image198.png"/><Relationship Id="rId230" Type="http://schemas.openxmlformats.org/officeDocument/2006/relationships/image" Target="media/image199.png"/><Relationship Id="rId231" Type="http://schemas.openxmlformats.org/officeDocument/2006/relationships/image" Target="media/image200.png"/><Relationship Id="rId232" Type="http://schemas.openxmlformats.org/officeDocument/2006/relationships/image" Target="media/image201.png"/><Relationship Id="rId233" Type="http://schemas.openxmlformats.org/officeDocument/2006/relationships/image" Target="media/image202.png"/><Relationship Id="rId234" Type="http://schemas.openxmlformats.org/officeDocument/2006/relationships/image" Target="media/image203.png"/><Relationship Id="rId129" Type="http://schemas.openxmlformats.org/officeDocument/2006/relationships/hyperlink" Target="https://www.sec.gov/Archives/edgar/data/1383414/000119312507075646/dex99a.htm" TargetMode="External"/><Relationship Id="rId130" Type="http://schemas.openxmlformats.org/officeDocument/2006/relationships/hyperlink" Target="https://www.sec.gov/Archives/edgar/data/1383414/000095017024092751/pnnt-ex3_2.htm" TargetMode="External"/><Relationship Id="rId131" Type="http://schemas.openxmlformats.org/officeDocument/2006/relationships/hyperlink" Target="https://www.sec.gov/Archives/edgar/data/1383414/000156459020024172/pnnt-ex32_163.htm" TargetMode="External"/><Relationship Id="rId132" Type="http://schemas.openxmlformats.org/officeDocument/2006/relationships/hyperlink" Target="https://www.sec.gov/Archives/edgar/data/1383414/000119312508072557/dex99d1.htm" TargetMode="External"/><Relationship Id="rId133" Type="http://schemas.openxmlformats.org/officeDocument/2006/relationships/hyperlink" Target="https://www.sec.gov/Archives/edgar/data/1383414/000119312513018556/d470556dex99d8.htm" TargetMode="External"/><Relationship Id="rId134" Type="http://schemas.openxmlformats.org/officeDocument/2006/relationships/hyperlink" Target="https://www.sec.gov/Archives/edgar/data/1383414/000119312521125241/d124015dex41.htm" TargetMode="External"/><Relationship Id="rId135" Type="http://schemas.openxmlformats.org/officeDocument/2006/relationships/hyperlink" Target="https://www.sec.gov/Archives/edgar/data/1383414/000119312521303994/d236895dex41.htm" TargetMode="External"/><Relationship Id="rId136" Type="http://schemas.openxmlformats.org/officeDocument/2006/relationships/hyperlink" Target="https://www.sec.gov/Archives/edgar/data/1383414/000156459019044110/pnnt-ex47_7.htm" TargetMode="External"/><Relationship Id="rId137" Type="http://schemas.openxmlformats.org/officeDocument/2006/relationships/hyperlink" Target="https://www.sec.gov/Archives/edgar/data/1383414/000095017024092751/pnnt-ex10_2.htm" TargetMode="External"/><Relationship Id="rId138" Type="http://schemas.openxmlformats.org/officeDocument/2006/relationships/hyperlink" Target="https://www.sec.gov/Archives/edgar/data/1383414/000119312508072557/dex99e.htm" TargetMode="External"/><Relationship Id="rId139" Type="http://schemas.openxmlformats.org/officeDocument/2006/relationships/hyperlink" Target="https://www.sec.gov/Archives/edgar/data/1383414/000156459017015976/pnnt-ex101_12.htm" TargetMode="External"/><Relationship Id="rId140" Type="http://schemas.openxmlformats.org/officeDocument/2006/relationships/hyperlink" Target="https://www.sec.gov/Archives/edgar/data/1383414/000119312516773701/d285279dex105.htm" TargetMode="External"/><Relationship Id="rId141" Type="http://schemas.openxmlformats.org/officeDocument/2006/relationships/hyperlink" Target="https://www.sec.gov/Archives/edgar/data/1383414/000095017024092751/pnnt-ex10_1.htm" TargetMode="External"/><Relationship Id="rId144" Type="http://schemas.openxmlformats.org/officeDocument/2006/relationships/hyperlink" Target="https://www.sec.gov/Archives/edgar/data/1383414/000119312519240958/d761962dex101.htm" TargetMode="External"/><Relationship Id="rId145" Type="http://schemas.openxmlformats.org/officeDocument/2006/relationships/hyperlink" Target="https://www.sec.gov/Archives/edgar/data/1383414/000119312520208851/d41849dex101.htm" TargetMode="External"/><Relationship Id="rId146" Type="http://schemas.openxmlformats.org/officeDocument/2006/relationships/hyperlink" Target="https://www.sec.gov/Archives/edgar/data/1383414/000156459020054639/pnnt-ex1012_753.htm" TargetMode="External"/><Relationship Id="rId147" Type="http://schemas.openxmlformats.org/officeDocument/2006/relationships/hyperlink" Target="https://www.sec.gov/Archives/edgar/data/1383414/000119312524213244/d879195dex101.htm" TargetMode="External"/><Relationship Id="rId148" Type="http://schemas.openxmlformats.org/officeDocument/2006/relationships/hyperlink" Target="https://www.sec.gov/Archives/edgar/data/1383414/000095017022014227/pnnt-ex10_2.htm" TargetMode="External"/><Relationship Id="rId149" Type="http://schemas.openxmlformats.org/officeDocument/2006/relationships/hyperlink" Target="https://www.sec.gov/Archives/edgar/data/1383414/000119312524154397/d732456dex11.htm" TargetMode="External"/><Relationship Id="rId150" Type="http://schemas.openxmlformats.org/officeDocument/2006/relationships/hyperlink" Target="https://www.sec.gov/Archives/edgar/data/1383414/000119312524154397/d732456dex12.htm" TargetMode="External"/><Relationship Id="rId151" Type="http://schemas.openxmlformats.org/officeDocument/2006/relationships/hyperlink" Target="https://www.sec.gov/Archives/edgar/data/1383414/000095017024092751/pnnt-ex10_5.htm" TargetMode="External"/><Relationship Id="rId152" Type="http://schemas.openxmlformats.org/officeDocument/2006/relationships/hyperlink" Target="https://www.sec.gov/Archives/edgar/data/1383414/000095017023068909/pnnt-ex14_1.htm" TargetMode="External"/><Relationship Id="rId153" Type="http://schemas.openxmlformats.org/officeDocument/2006/relationships/hyperlink" Target="https://www.sec.gov/Archives/edgar/data/1383414/000095017023068909/pnnt-ex97_1.htm" TargetMode="External"/><Relationship Id="rId154" Type="http://schemas.openxmlformats.org/officeDocument/2006/relationships/hyperlink" Target="https://www.sec.gov/Archives/edgar/data/1383414/000095017023068909/pnnt-ex99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2024-11-26T05:20:22Z</dcterms:created>
  <dcterms:modified xsi:type="dcterms:W3CDTF">2024-11-26T05:20:22Z</dcterms:modified>
</cp:coreProperties>
</file>