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5" w:lineRule="exact"/>
        <w:rPr>
          <w:sz w:val="24"/>
          <w:szCs w:val="24"/>
          <w:color w:val="auto"/>
        </w:rPr>
      </w:pPr>
    </w:p>
    <w:p>
      <w:pPr>
        <w:jc w:val="right"/>
        <w:ind w:right="10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line="237" w:lineRule="auto"/>
        <w:rPr>
          <w:sz w:val="20"/>
          <w:szCs w:val="20"/>
          <w:color w:val="auto"/>
        </w:rPr>
      </w:pPr>
      <w:r>
        <w:rPr>
          <w:rFonts w:ascii="Times New Roman" w:cs="Times New Roman" w:eastAsia="Times New Roman" w:hAnsi="Times New Roman"/>
          <w:sz w:val="32"/>
          <w:szCs w:val="32"/>
          <w:b w:val="1"/>
          <w:bCs w:val="1"/>
          <w:color w:val="auto"/>
        </w:rPr>
        <w:t>Washington, D.C. 20549</w:t>
      </w:r>
    </w:p>
    <w:p>
      <w:pPr>
        <w:ind w:left="3840"/>
        <w:spacing w:after="0" w:line="238" w:lineRule="auto"/>
        <w:rPr>
          <w:sz w:val="20"/>
          <w:szCs w:val="20"/>
          <w:color w:val="auto"/>
        </w:rPr>
      </w:pPr>
      <w:r>
        <w:rPr>
          <w:rFonts w:ascii="Times New Roman" w:cs="Times New Roman" w:eastAsia="Times New Roman" w:hAnsi="Times New Roman"/>
          <w:sz w:val="32"/>
          <w:szCs w:val="32"/>
          <w:b w:val="1"/>
          <w:bCs w:val="1"/>
          <w:color w:val="auto"/>
        </w:rPr>
        <w:t>———————————</w:t>
      </w:r>
    </w:p>
    <w:p>
      <w:pPr>
        <w:ind w:left="4380"/>
        <w:spacing w:after="0" w:line="239" w:lineRule="auto"/>
        <w:rPr>
          <w:sz w:val="20"/>
          <w:szCs w:val="20"/>
          <w:color w:val="auto"/>
        </w:rPr>
      </w:pPr>
      <w:r>
        <w:rPr>
          <w:rFonts w:ascii="Times New Roman" w:cs="Times New Roman" w:eastAsia="Times New Roman" w:hAnsi="Times New Roman"/>
          <w:sz w:val="32"/>
          <w:szCs w:val="32"/>
          <w:b w:val="1"/>
          <w:bCs w:val="1"/>
          <w:color w:val="auto"/>
        </w:rPr>
        <w:t>SCHEDULE 14A</w:t>
      </w:r>
    </w:p>
    <w:p>
      <w:pPr>
        <w:jc w:val="center"/>
        <w:ind w:right="-1060"/>
        <w:spacing w:after="0" w:line="231"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59" w:lineRule="exact"/>
        <w:rPr>
          <w:sz w:val="24"/>
          <w:szCs w:val="24"/>
          <w:color w:val="auto"/>
        </w:rPr>
      </w:pPr>
    </w:p>
    <w:p>
      <w:pPr>
        <w:ind w:left="20"/>
        <w:spacing w:after="0" w:line="207" w:lineRule="exact"/>
        <w:tabs>
          <w:tab w:leader="none" w:pos="28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7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8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PennantPark Investment Corporation</w:t>
      </w:r>
    </w:p>
    <w:p>
      <w:pPr>
        <w:spacing w:after="0" w:line="14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23"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fee required.</w:t>
      </w:r>
    </w:p>
    <w:p>
      <w:pPr>
        <w:spacing w:after="0" w:line="121"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989330</wp:posOffset>
            </wp:positionV>
            <wp:extent cx="6489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1212215</wp:posOffset>
            </wp:positionV>
            <wp:extent cx="2185670" cy="522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8567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You are cordially invited to attend the 2025 Annual Meeting of Stockholders (the “Annual Meeting”) of PennantPark Investment Corporation, a Maryland corporation (“PNNT” or the “Company”), to be held on February 4, 2025 at 9:30 a.m., Eastern Time. The Annual Meeting will be conducted as a virtual meeting hosted by means of a live audio webcast. The Annual Meeting can be accessed on the above date and time, and you or your proxyholder can participate in and vote at the virtual Annual Meeting by registering at www.virtualshareholdermeeting.com/PNNT2025 and using the Control Number included in the Notice of Internet Availability of Proxy Materials.</w:t>
      </w:r>
    </w:p>
    <w:p>
      <w:pPr>
        <w:spacing w:after="0" w:line="18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Notice of Virtual Annual Meeting of Stockholders and the Proxy Statement of the Company, which is accessible on the Internet or by request, provides an outline of the business to be conducted at the Annual Meeting. At the Annual Meeting, you will be asked to consider and vote upon: (1) the election of two directors to the board of directors of the Company and (2) the ratification of the selection of RSM US LLP to serve as the Company’s independent registered public accounting firm for the fiscal year ending September 30, 2025.</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Whether or not you plan to attend the meeting in person (virtually), I urge you to follow the instructions on the Notice of Internet Availability of Proxy Materials to authorize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authorize your proxy by returning your proxy card to us after you request the hard copy materials.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Your vote and participation in the governance of the Company is very important to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11555" cy="20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2057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786-297-9500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VIRTUAL ANNUAL MEETING OF STOCKHOLDERS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www.virtualshareholdermeeting.com/PNNT2025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February 4, 2025</w:t>
      </w:r>
    </w:p>
    <w:p>
      <w:pPr>
        <w:spacing w:after="0" w:line="234"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7"/>
          <w:szCs w:val="17"/>
          <w:color w:val="auto"/>
        </w:rPr>
        <w:t>December 11, 2024</w:t>
      </w:r>
    </w:p>
    <w:p>
      <w:pPr>
        <w:spacing w:after="0" w:line="237"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Notice is hereby given to the owners of shares of common stock (the “Stockholders”) of PennantPark Investment Corporation, a Maryland corporation (“PNNT” or the “Company”), that:</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2025 Annual Meeting of Stockholders of the Company (the “Annual Meeting”) will be held virtually on February 4, 2025 at 9:30 a.m., Eastern Time, at www.virtualshareholdermeeting.com/PNNT2025 for the following purposes:</w:t>
      </w:r>
    </w:p>
    <w:p>
      <w:pPr>
        <w:spacing w:after="0" w:line="54" w:lineRule="exact"/>
        <w:rPr>
          <w:sz w:val="20"/>
          <w:szCs w:val="20"/>
          <w:color w:val="auto"/>
        </w:rPr>
      </w:pPr>
    </w:p>
    <w:p>
      <w:pPr>
        <w:ind w:left="1040" w:right="360" w:hanging="523"/>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election of two directors to the Board of Directors of the Company who will each serve for a term of three years until the 2028 annual meeting of Stockholders and until his successor is duly elected and qualifies;</w:t>
      </w:r>
    </w:p>
    <w:p>
      <w:pPr>
        <w:spacing w:after="0" w:line="53" w:lineRule="exact"/>
        <w:rPr>
          <w:rFonts w:ascii="Times New Roman" w:cs="Times New Roman" w:eastAsia="Times New Roman" w:hAnsi="Times New Roman"/>
          <w:sz w:val="18"/>
          <w:szCs w:val="18"/>
          <w:color w:val="auto"/>
        </w:rPr>
      </w:pPr>
    </w:p>
    <w:p>
      <w:pPr>
        <w:ind w:left="1040" w:right="700" w:hanging="523"/>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RSM US LLP to serve as the Company’s independent registered public accounting firm for the fiscal year ending September 30, 2025; and</w:t>
      </w:r>
    </w:p>
    <w:p>
      <w:pPr>
        <w:spacing w:after="0" w:line="53" w:lineRule="exact"/>
        <w:rPr>
          <w:rFonts w:ascii="Times New Roman" w:cs="Times New Roman" w:eastAsia="Times New Roman" w:hAnsi="Times New Roman"/>
          <w:sz w:val="18"/>
          <w:szCs w:val="18"/>
          <w:color w:val="auto"/>
        </w:rPr>
      </w:pPr>
    </w:p>
    <w:p>
      <w:pPr>
        <w:ind w:left="1040" w:right="600" w:hanging="523"/>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of the Annual Meeting.</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Annual Meeting will only be accessible virtually via live webcast over the Internet at www.virtualshareholdermeeting.com/PNNT2025.</w:t>
      </w:r>
    </w:p>
    <w:p>
      <w:pPr>
        <w:spacing w:after="0" w:line="117"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You have the right to receive notice of, and to vote at, the Annual Meeting if you were a stockholder of record of the Company at the close of business on December 4, 2024. The Company is furnishing a Proxy Statement and proxy card to the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authorize your proxy, on the Internet.</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Your vote is extremely important to us. Whether or not you plan to attend the Annual Meeting virtually, we encourage you to authorize your proxy on the Internet by following the instructions provided on the Notice of Internet Availability of Proxy Materials. You may also request from us free of charge hard copies of the Proxy Statement and proxy card for the Company by following the instructions on the Notice of Internet Availability of Proxy Materials. In the event there are not sufficient votes for a quorum or to approve the Company’s proposals at the time of the Annual Meeting, the Annual Meeting may be adjourned in order to permit further solicitation of proxies by the Company.</w:t>
      </w:r>
    </w:p>
    <w:p>
      <w:pPr>
        <w:spacing w:after="0" w:line="71" w:lineRule="exact"/>
        <w:rPr>
          <w:sz w:val="20"/>
          <w:szCs w:val="20"/>
          <w:color w:val="auto"/>
        </w:rPr>
      </w:pPr>
    </w:p>
    <w:p>
      <w:pPr>
        <w:ind w:right="128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BOARD OF DIRECTORS, INCLUDING EACH OF THE INDEPENDENT DIRECTORS, UNANIMOUSLY RECOMMENDS THAT YOU VOTE “FOR” EACH OF THE PROPOSALS.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796925" cy="248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6925" cy="24828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786-297-9500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This is an important meeting. To ensure proper representation at the Annual Meeting, please follow the instructions on the Notice of Internet Availability of Proxy Materials to authorize your proxy via the Internet or request, complete, sign, date and return a proxy card. Your vote is extremely important no matter how many or how few shares you own. Even if you vote your shares prior to the Annual Meeting, you still may attend the Annual Meeting and vote your shares in person (virtually) should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-569595</wp:posOffset>
            </wp:positionV>
            <wp:extent cx="7136130" cy="586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8674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1039495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27" w:right="499" w:bottom="1440" w:gutter="0" w:footer="0" w:header="0"/>
        </w:sectPr>
      </w:pPr>
    </w:p>
    <w:bookmarkStart w:id="4" w:name="page5"/>
    <w:bookmarkEnd w:id="4"/>
    <w:p>
      <w:pPr>
        <w:ind w:left="36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1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6"/>
          <w:szCs w:val="16"/>
          <w:b w:val="1"/>
          <w:bCs w:val="1"/>
          <w:color w:val="auto"/>
        </w:rPr>
        <w:t>786) 297-9500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Virtual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www.virtualshareholdermeeting.com/PNNT2025</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February 4, 2025</w:t>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This document will give you the information you need to vote on the matters listed on the accompanying Notice of Virtual Annual Meeting of Stockholders (“Notice of Annual Meeting”). Much of the information in this Proxy Statement is required under the rules and regulations of the Securities and Exchange Commission (the “SEC”), and some of it is technical in nature. If there is anything you do not understand, please contact us at </w:t>
      </w:r>
      <w:r>
        <w:rPr>
          <w:rFonts w:ascii="Times New Roman" w:cs="Times New Roman" w:eastAsia="Times New Roman" w:hAnsi="Times New Roman"/>
          <w:sz w:val="16"/>
          <w:szCs w:val="16"/>
          <w:color w:val="auto"/>
        </w:rPr>
        <w:t>786-297-9500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PennantPark Investment Corporation, a Maryland corporation (“PNNT,” the “Company,” “we,” “us” or “our”), for use at the Company’s 2025 Virtual Annual Meeting of Stockholders (the “Annual Meeting”) to be held on Tuesday February 4, 2025, at 9:30 a.m., Eastern Time, at www.virtualshareholdermeeting.com/PNNT2025 and at any postponements or adjournments thereof. To participate in the Annual Meeting virtually, you will need the Control Number provided with the Notice of Internet Availability of Proxy Materials. Please note that those using the dial-in number for the listen-only conference call will not be able to vote or submit questions. This Proxy Statement and the Company’s Annual Report on Form 10-K for the fiscal year ended September 30, 2024 (the “Annual Report”) are being provided to the stockholders thereof (the “Stockholders”) via the Internet on or about December 26, 2024. In addition, a Notice of Annual Meeting and a Notice of Internet Availability of Proxy Materials are being sent to Stockholders of record of the Company as of the close of business on December 4, 2024 (the “Record Date”).</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encourage you to vote your shares, either by voting in person (virtually) at the Annual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the Board. If any other business is brought before the Annual Meeting, your shares will be voted at the proxyholder’s discretion unless you specifically state otherwise on your proxy.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You may revoke a proxy at any time before it is exercised by notifying the Company’s Secretary in writing, by submitting a properly executed, later-dated proxy or by voting in person (virtually) at the virtual Annual Meeting and voting online. Participating in the virtual Annual Meeting does not revoke your proxy unless you also vote online at the Annual Meeting. Any Stockholder entitled to vote at the Annual Meeting may attend the Annual Meeting and vote in person (virtually), whether or not he or she has previously voted his or her shares via proxy or wishes to change a previous vote.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 will be eligible to authorize your proxy electronically via the Internet, by telephone or by mail.</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you want to submit a question during the Annual Meeting, log into the live webcast at www.virtualshareholdermeeting.com/PNNT2025, type your question into the “Ask a Question” field, and click “Submit.”</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Only questions submitted via the live webcast that are pertinent to Annual Meeting matters will be answered during the Annual Meeting, subject to time constraints. Please note that no questions may be submitted via the listen-only conference call. We will attempt to answer all questions or comments related to the proxy or to our business. Questions or comments that are not related to the proposals under discussion, including personal concerns not shared by Stockholders generally, or questions or comments that use blatantly offensive language may be ruled out of order. Additionally, the Company may not be able to answer multiple questions submitted by the same Stockholder.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line="29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i w:val="1"/>
          <w:iCs w:val="1"/>
          <w:color w:val="auto"/>
        </w:rPr>
        <w:t>Purpose of Meeting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Annual Meeting, you will be asked to vote on the following proposals:</w:t>
      </w:r>
    </w:p>
    <w:p>
      <w:pPr>
        <w:spacing w:after="0" w:line="117" w:lineRule="exact"/>
        <w:rPr>
          <w:sz w:val="20"/>
          <w:szCs w:val="20"/>
          <w:color w:val="auto"/>
        </w:rPr>
      </w:pPr>
    </w:p>
    <w:p>
      <w:pPr>
        <w:ind w:left="1040" w:right="460" w:hanging="523"/>
        <w:spacing w:after="0" w:line="282" w:lineRule="auto"/>
        <w:tabs>
          <w:tab w:leader="none" w:pos="10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election of two directors to the Board who will each serve for a term of three years until the 2028 annual meeting of Stockholders and until his successor is duly elected and qualifies (“Proposal 1”);</w:t>
      </w:r>
    </w:p>
    <w:p>
      <w:pPr>
        <w:spacing w:after="0" w:line="53" w:lineRule="exact"/>
        <w:rPr>
          <w:rFonts w:ascii="Times New Roman" w:cs="Times New Roman" w:eastAsia="Times New Roman" w:hAnsi="Times New Roman"/>
          <w:sz w:val="18"/>
          <w:szCs w:val="18"/>
          <w:color w:val="auto"/>
        </w:rPr>
      </w:pPr>
    </w:p>
    <w:p>
      <w:pPr>
        <w:ind w:left="1040" w:right="480" w:hanging="523"/>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RSM US LLP (“RSM”) to serve as the Company’s independent registered public accounting firm for the fiscal year ending September 30, 2025 (“Proposal 2”); and</w:t>
      </w:r>
    </w:p>
    <w:p>
      <w:pPr>
        <w:spacing w:after="0" w:line="53" w:lineRule="exact"/>
        <w:rPr>
          <w:rFonts w:ascii="Times New Roman" w:cs="Times New Roman" w:eastAsia="Times New Roman" w:hAnsi="Times New Roman"/>
          <w:sz w:val="18"/>
          <w:szCs w:val="18"/>
          <w:color w:val="auto"/>
        </w:rPr>
      </w:pPr>
    </w:p>
    <w:p>
      <w:pPr>
        <w:ind w:left="1040" w:right="600" w:hanging="523"/>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of the Annual Meeting.</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Voting Securities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You may vote your shares at the Annual Meeting only if you were a Stockholder of record of the Company at the close of business on the Record Date. There were 65,296,094 shares of the Company’s common stock, par value $0.001 per share (the “Common Stock”), outstanding on the Record Date. Stockholders are entitled to one vote for each share of Common Stock held.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other similar organization, then you are the beneficial owner of shares held in “street name,” and you should have received a notice containing voting instructions from your nominee rather than from us. You should follow the voting instructions in the notice to ensure that your vote is counted.</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Quorum Required</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the Company to conduct business at the Annual Meeting, a quorum of Stockholders for the Company must be present (virtually) at the Annual Meeting. The presence at the Annual Meeting, in person (virtually) or by proxy, of the holders of a majority of the shares of Common Stock outstanding on the Record Date will constitute a quorum for the conduct of business at the Annual Meeting. Those Stockholders who have not otherwise submitted a proxy accessing the Annual Meeting via the listen-only conference call will not be deemed to be “present” for purposes of determining a quorum for the Annual Meeting. Abstentions and Broker Non-Votes (as defined below) will be treated as shares present at the Annual Meeting for quorum purposes. If there are not enough votes for a quorum for the Annual Meeting, the chairman of the Annual Meeting will adjourn the Annual Meeting to permit the further solicitation of proxies.</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Votes Required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an election where the number of nominees is equal to the number of directors to be elected, as is the case at the Annual Meeting, the election of a director to the Board requires the affirmative vote of a majority of the total votes cast for and against such nominee at the Annual Meeting in person (virtually) or by proxy. If you vote “Against” with respect to a nominee, your shares will be voted against the person indicated. Abstentions and Broker Non-Votes will have no effect on the result of the vote.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Stockholders of the Company may not cumulate their votes.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cast at the Annual Meeting in person (virtually) or by proxy is required to ratify the appointment of RSM to serve as the Company’s independent registered public accounting firm. Abstentions will not be included in determining the number of votes cast and, as a result, will have no effect on this proposal.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As a result, if you hold shares of Common Stock in street name, your Broker will not be permitted to exercise voting discretion with respect to Proposal 1.</w:t>
      </w:r>
    </w:p>
    <w:p>
      <w:pPr>
        <w:spacing w:after="0" w:line="17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Accordingly, if you are a Stockholder and you do not vote or give your Broker specific instructions on how to vote for you, your shares will have no effect on the result of Proposal 1. It is imperative that Stockholders vote or provide instructions to their Brokers as to how to vote with respect to Proposal 1 to ensure proper representation at the Annual Meeting.</w:t>
      </w:r>
    </w:p>
    <w:p>
      <w:pPr>
        <w:spacing w:after="0" w:line="17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Proposal 2 is a routine matter. As a result, if you beneficially own shares of Common Stock and you do not vote or provide your Broker with proxy instructions, your Broker will be able to vote your shares for you on Proposal 2 in its discretion.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and Additional Solicitation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there appears not to be enough votes to approve a proposal at the Annual Meeting, the chairman of the Annual Meeting may adjourn the Annual Meeting to permit further solicitation of proxies.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Stockholder vote may be taken on any of the proposals in this Proxy Statement prior to any such adjournment if there are sufficient votes for approval of such proposal.</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This Solicitation</w:t>
      </w:r>
    </w:p>
    <w:p>
      <w:pPr>
        <w:spacing w:after="0" w:line="25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will bear the expense of the solicitation of proxies for the Annual Meeting, including the cost of preparing and posting this Proxy Statement and the Annual Report to the Internet and the cost of mailing the Notice of Annual Meeting, the Notice of Internet Availability of Proxy Materials and any requested proxy materials to the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 which shares are beneficially owned by others, forward the Proxy Statement and proxy card to, and obtain proxies from, such beneficial owners, we will reimburse such persons for their reasonable expenses in so doing.</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We may combine any mailings for multiple accounts going to a single household, which is commonly referred to as “householding,” by delivering to that address the Notice of Internet Availability of Proxy Materials or other communications for all accounts who have consented or are deemed to have consented to receiving such communications in such manner in accordance with the rules promulgated by the SEC.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at 1691 Michigan Avenue, Miami Beach, Florida 33139 or </w:t>
      </w:r>
      <w:r>
        <w:rPr>
          <w:rFonts w:ascii="Times New Roman" w:cs="Times New Roman" w:eastAsia="Times New Roman" w:hAnsi="Times New Roman"/>
          <w:sz w:val="16"/>
          <w:szCs w:val="16"/>
          <w:color w:val="auto"/>
        </w:rPr>
        <w:t>786-297-9500</w:t>
      </w:r>
      <w:r>
        <w:rPr>
          <w:rFonts w:ascii="Times New Roman" w:cs="Times New Roman" w:eastAsia="Times New Roman" w:hAnsi="Times New Roman"/>
          <w:sz w:val="18"/>
          <w:szCs w:val="18"/>
          <w:color w:val="auto"/>
        </w:rPr>
        <w:t>. If, at any time, you no longer wish to participate in “householding” and would prefer to receive a separate Notice of Internet Availability of Proxy Materials or other communications, please notify your Broker. Stockholders who currently receive multiple copies of the Notice of Internet Availability of Proxy Materials or other communications at their addresses and would like to request “householding” of their communications should contact their Brokers.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facsimile transmission by directors or officers of the Company, officers or employees of PennantPark Investment Advisers, LLC, our investment adviser (the “Adviser”), PennantPark Investment Administration, LLC, our administrator (the “Administrator”), and/or by a retained solicitor. No additional compensation will be paid to such directors, officers or regular employees for such services. If we retain a solicitor, we have estimated that we will pay approximately $60,000 for such services. If we engage a solicitor, you could be contacted by telephone on behalf of the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1691 Michigan Avenue, Miami Beach, Florida 33139.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p>
    <w:p>
      <w:pPr>
        <w:jc w:val="both"/>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Stockholders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8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If a Stockholder wishes to participate in person (virtually) at the Annual Meeting, but does not wish to give a proxy by Internet, the Stockholder may attend the Annual Meeting in person (virtually) or request and submit a proxy card by following the instructions on the Notice of Internet Availability of Proxy Materials.</w:t>
      </w:r>
    </w:p>
    <w:p>
      <w:pPr>
        <w:spacing w:after="0" w:line="176"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Annual Meeting, (ii) attending the Annual Meeting and voting in person (virtually) or (iii) delivering a notice, provided in writing and signed by the Stockholder, delivered to the Company’s Secretary on any business day before the date of the Annual Meeting.</w:t>
      </w:r>
    </w:p>
    <w:p>
      <w:pPr>
        <w:spacing w:after="0" w:line="17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229"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the Record Date, to our knowledge, no person would be deemed to “control” (as such term is defined in the Investment Company Act of 1940, as amended (the “1940 Act”)) the Company.</w:t>
      </w:r>
    </w:p>
    <w:p>
      <w:pPr>
        <w:spacing w:after="0" w:line="162"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Our Board consists of two interested directors and four independent directors. An interested director is an “interested person” of the Company, as defined in the 1940 Act, and independent directors are all other directors (the “Independent Directors”).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the Record Date, certain ownership information with respect to the Common Stock for those persons who directly or indirectly own, control or hold with the power to vote, five percent or more of the Company’s outstanding Common Stock and all officers and directors of the Company, as a group.</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4160" w:type="dxa"/>
            <w:vAlign w:val="bottom"/>
          </w:tcPr>
          <w:p>
            <w:pPr>
              <w:spacing w:after="0"/>
              <w:rPr>
                <w:sz w:val="15"/>
                <w:szCs w:val="15"/>
                <w:color w:val="auto"/>
              </w:rPr>
            </w:pP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 of ownership</w:t>
            </w:r>
            <w:r>
              <w:rPr>
                <w:rFonts w:ascii="Times New Roman" w:cs="Times New Roman" w:eastAsia="Times New Roman" w:hAnsi="Times New Roman"/>
                <w:sz w:val="19"/>
                <w:szCs w:val="19"/>
                <w:b w:val="1"/>
                <w:bCs w:val="1"/>
                <w:color w:val="auto"/>
                <w:w w:val="98"/>
                <w:vertAlign w:val="superscript"/>
              </w:rPr>
              <w:t>(3)</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00" w:type="dxa"/>
            <w:vAlign w:val="bottom"/>
            <w:tcBorders>
              <w:bottom w:val="single" w:sz="8" w:color="auto"/>
            </w:tcBorders>
            <w:vMerge w:val="continue"/>
          </w:tcPr>
          <w:p>
            <w:pPr>
              <w:spacing w:after="0"/>
              <w:rPr>
                <w:sz w:val="9"/>
                <w:szCs w:val="9"/>
                <w:color w:val="auto"/>
              </w:rPr>
            </w:pPr>
          </w:p>
        </w:tc>
        <w:tc>
          <w:tcPr>
            <w:tcW w:w="4160" w:type="dxa"/>
            <w:vAlign w:val="bottom"/>
            <w:vMerge w:val="restart"/>
          </w:tcPr>
          <w:p>
            <w:pPr>
              <w:spacing w:after="0"/>
              <w:rPr>
                <w:sz w:val="9"/>
                <w:szCs w:val="9"/>
                <w:color w:val="auto"/>
              </w:rPr>
            </w:pPr>
          </w:p>
        </w:tc>
        <w:tc>
          <w:tcPr>
            <w:tcW w:w="2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4160" w:type="dxa"/>
            <w:vAlign w:val="bottom"/>
            <w:vMerge w:val="continue"/>
          </w:tcPr>
          <w:p>
            <w:pPr>
              <w:spacing w:after="0"/>
              <w:rPr>
                <w:sz w:val="4"/>
                <w:szCs w:val="4"/>
                <w:color w:val="auto"/>
              </w:rPr>
            </w:pPr>
          </w:p>
        </w:tc>
        <w:tc>
          <w:tcPr>
            <w:tcW w:w="276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4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Adam K. Bernstein</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31,166</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4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Marshall Brozost</w:t>
            </w: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21,678</w:t>
            </w:r>
          </w:p>
        </w:tc>
        <w:tc>
          <w:tcPr>
            <w:tcW w:w="1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Jeffrey Flug</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299,560</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4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Samuel L. Katz</w:t>
            </w: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252,291</w:t>
            </w:r>
          </w:p>
        </w:tc>
        <w:tc>
          <w:tcPr>
            <w:tcW w:w="1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420" w:type="dxa"/>
            <w:vAlign w:val="bottom"/>
            <w:gridSpan w:val="4"/>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Interested directors</w:t>
            </w:r>
          </w:p>
        </w:tc>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400" w:type="dxa"/>
            <w:vAlign w:val="bottom"/>
            <w:gridSpan w:val="3"/>
          </w:tcPr>
          <w:p>
            <w:pPr>
              <w:ind w:left="100"/>
              <w:spacing w:after="0" w:line="255"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4"/>
                <w:szCs w:val="24"/>
                <w:color w:val="auto"/>
                <w:vertAlign w:val="superscript"/>
              </w:rPr>
              <w:t>(2)</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1,306,833</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Jos</w:t>
            </w:r>
            <w:r>
              <w:rPr>
                <w:rFonts w:ascii="Calibri" w:cs="Calibri" w:eastAsia="Calibri" w:hAnsi="Calibri"/>
                <w:sz w:val="18"/>
                <w:szCs w:val="18"/>
                <w:color w:val="auto"/>
              </w:rPr>
              <w:t>é</w:t>
            </w:r>
            <w:r>
              <w:rPr>
                <w:rFonts w:ascii="Times New Roman" w:cs="Times New Roman" w:eastAsia="Times New Roman" w:hAnsi="Times New Roman"/>
                <w:sz w:val="18"/>
                <w:szCs w:val="18"/>
                <w:color w:val="auto"/>
              </w:rPr>
              <w:t xml:space="preserve"> A. Briones, Jr.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275,665</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Richard T. Allorto, Jr.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 as a group (7 persons)</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2,202,193</w:t>
            </w:r>
          </w:p>
        </w:tc>
        <w:tc>
          <w:tcPr>
            <w:tcW w:w="220" w:type="dxa"/>
            <w:vAlign w:val="bottom"/>
            <w:gridSpan w:val="2"/>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5"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1691 Michigan Avenue, Miami Beach, Florida 33139.</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the Managing Member of the Adviser and may therefore be deemed to own beneficially the 1,113,423 shares held by the Adviser.</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6630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Less than 1 percent.</w:t>
      </w: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8" w:name="page9"/>
    <w:bookmarkEnd w:id="8"/>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Dollar Range of Securities Beneficially Owned by Directors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dollar range of (i) the Common Stock and (ii) the common stock of the Fund Complex beneficially owned by each of our directors as of the Record Date. Information as to beneficial ownership is based on information furnished to the Company by such persons. For purposes of this proxy statement, the term “Fund Complex” is defined to include the Company and PennantPark Floating Rate Capital, Ltd., a business development company managed by the Adviser (“PFLT”).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Dollar Range of the Common</w:t>
            </w:r>
          </w:p>
        </w:tc>
        <w:tc>
          <w:tcPr>
            <w:tcW w:w="220" w:type="dxa"/>
            <w:vAlign w:val="bottom"/>
          </w:tcPr>
          <w:p>
            <w:pPr>
              <w:spacing w:after="0"/>
              <w:rPr>
                <w:sz w:val="13"/>
                <w:szCs w:val="13"/>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Dollar Range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the Common Stock</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of the Company</w:t>
            </w:r>
          </w:p>
        </w:tc>
        <w:tc>
          <w:tcPr>
            <w:tcW w:w="2880" w:type="dxa"/>
            <w:vAlign w:val="bottom"/>
          </w:tcPr>
          <w:p>
            <w:pPr>
              <w:spacing w:after="0"/>
              <w:rPr>
                <w:sz w:val="15"/>
                <w:szCs w:val="15"/>
                <w:color w:val="auto"/>
              </w:rPr>
            </w:pPr>
          </w:p>
        </w:tc>
        <w:tc>
          <w:tcPr>
            <w:tcW w:w="30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Stock of the Company</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5"/>
                <w:szCs w:val="15"/>
                <w:color w:val="auto"/>
              </w:rPr>
            </w:pPr>
          </w:p>
        </w:tc>
        <w:tc>
          <w:tcPr>
            <w:tcW w:w="34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of the Fund Complex</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209"/>
        </w:trPr>
        <w:tc>
          <w:tcPr>
            <w:tcW w:w="4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3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Adam K. Bernstein</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c>
          <w:tcPr>
            <w:tcW w:w="36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$100,001 - $500,000</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4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Marshall Brozost</w:t>
            </w:r>
          </w:p>
        </w:tc>
        <w:tc>
          <w:tcPr>
            <w:tcW w:w="3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c>
          <w:tcPr>
            <w:tcW w:w="36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$100,001 - $500,000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Jeffrey Flug</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4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Samuel L. Katz</w:t>
            </w:r>
          </w:p>
        </w:tc>
        <w:tc>
          <w:tcPr>
            <w:tcW w:w="3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shd w:val="clear" w:color="auto" w:fill="CFF0FC"/>
          </w:tcPr>
          <w:p>
            <w:pPr>
              <w:spacing w:after="0"/>
              <w:rPr>
                <w:sz w:val="18"/>
                <w:szCs w:val="18"/>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16"/>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480" w:type="dxa"/>
            <w:vAlign w:val="bottom"/>
            <w:gridSpan w:val="2"/>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4"/>
                <w:szCs w:val="24"/>
                <w:color w:val="auto"/>
                <w:vertAlign w:val="superscript"/>
              </w:rPr>
              <w:t>(2)</w:t>
            </w:r>
          </w:p>
        </w:tc>
        <w:tc>
          <w:tcPr>
            <w:tcW w:w="3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shd w:val="clear" w:color="auto" w:fill="CFF0FC"/>
          </w:tcPr>
          <w:p>
            <w:pPr>
              <w:spacing w:after="0"/>
              <w:rPr>
                <w:sz w:val="18"/>
                <w:szCs w:val="18"/>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Jos</w:t>
            </w:r>
            <w:r>
              <w:rPr>
                <w:rFonts w:ascii="Calibri" w:cs="Calibri" w:eastAsia="Calibri" w:hAnsi="Calibri"/>
                <w:sz w:val="18"/>
                <w:szCs w:val="18"/>
                <w:color w:val="auto"/>
              </w:rPr>
              <w:t>é</w:t>
            </w:r>
            <w:r>
              <w:rPr>
                <w:rFonts w:ascii="Times New Roman" w:cs="Times New Roman" w:eastAsia="Times New Roman" w:hAnsi="Times New Roman"/>
                <w:sz w:val="18"/>
                <w:szCs w:val="18"/>
                <w:color w:val="auto"/>
              </w:rPr>
              <w:t xml:space="preserve"> A. Briones, Jr.</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tcPr>
          <w:p>
            <w:pPr>
              <w:spacing w:after="0"/>
              <w:rPr>
                <w:sz w:val="21"/>
                <w:szCs w:val="21"/>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20" w:right="860" w:hanging="512"/>
        <w:spacing w:after="0" w:line="261"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w:t>
      </w: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6630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its bylaws, the Company currently has six members on the Board. Directors are divided into three classes and are elected for staggered terms of three years each, with a term of office of one of the three classes of directors expiring each year. After this election, the terms of Class I,</w:t>
      </w:r>
    </w:p>
    <w:p>
      <w:pPr>
        <w:ind w:firstLine="8"/>
        <w:spacing w:after="0" w:line="260" w:lineRule="auto"/>
        <w:tabs>
          <w:tab w:leader="none" w:pos="1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directors will expire at the annual meetings of stockholders in 2026, 2027 and 2028, respectively. Each director will hold office for the term to which he is elected and until a successor is duly elected and qualifies.</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Stockholder can vote for or against each nominee named below. In the absence of instructions to the contrary, it is the intention of the person named as proxy to vote such proxy FOR the election of each nominee named below. If a nominee should decline or be unable to serve as a director, it is intended that the proxy will be voted for the election of such person as is nominated by the Board as a replacement. The Board has no reason to believe that any nominees will be unable or unwilling to serve.</w:t>
      </w:r>
    </w:p>
    <w:p>
      <w:pPr>
        <w:spacing w:after="0" w:line="176"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THE ELECTION OF THE NOMINEES NAMED IN THIS PROXY STATEMENT.</w:t>
      </w: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the Nominees and Directors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information with respect to the nominees for election at the Annual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nominees currently serve as directors of the Company.</w:t>
      </w:r>
    </w:p>
    <w:p>
      <w:pPr>
        <w:spacing w:after="0" w:line="176"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Each of Mr. Arthur H. Penn and Mr. José A. Briones, Jr have been nominated for election as Class III directors of the Company for a three-year term expiring in 2028. Mr. Penn and Mr. Briones are not being proposed for election pursuant to any agreement or understanding between either Mr. Penn nor Mr. Briones and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Companies in</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Directorships</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2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Fund</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Held by Director</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of Office</w:t>
            </w:r>
          </w:p>
        </w:tc>
        <w:tc>
          <w:tcPr>
            <w:tcW w:w="12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Occupation(s)</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Complex</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 Nominee for</w:t>
            </w:r>
          </w:p>
        </w:tc>
      </w:tr>
      <w:tr>
        <w:trPr>
          <w:trHeight w:val="196"/>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Position(s) held</w:t>
            </w:r>
          </w:p>
        </w:tc>
        <w:tc>
          <w:tcPr>
            <w:tcW w:w="120" w:type="dxa"/>
            <w:vAlign w:val="bottom"/>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and Length of Time</w:t>
            </w:r>
          </w:p>
        </w:tc>
        <w:tc>
          <w:tcPr>
            <w:tcW w:w="120" w:type="dxa"/>
            <w:vAlign w:val="bottom"/>
          </w:tcPr>
          <w:p>
            <w:pPr>
              <w:spacing w:after="0"/>
              <w:rPr>
                <w:sz w:val="17"/>
                <w:szCs w:val="17"/>
                <w:color w:val="auto"/>
              </w:rPr>
            </w:pPr>
          </w:p>
        </w:tc>
        <w:tc>
          <w:tcPr>
            <w:tcW w:w="3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During, at least,</w:t>
            </w: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Overseen by</w:t>
            </w:r>
          </w:p>
        </w:tc>
        <w:tc>
          <w:tcPr>
            <w:tcW w:w="10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Director During</w:t>
            </w:r>
          </w:p>
        </w:tc>
      </w:tr>
      <w:tr>
        <w:trPr>
          <w:trHeight w:val="258"/>
        </w:trPr>
        <w:tc>
          <w:tcPr>
            <w:tcW w:w="2160" w:type="dxa"/>
            <w:vAlign w:val="bottom"/>
            <w:tcBorders>
              <w:bottom w:val="single" w:sz="8" w:color="auto"/>
            </w:tcBorders>
          </w:tcPr>
          <w:p>
            <w:pPr>
              <w:ind w:left="100"/>
              <w:spacing w:after="0" w:line="258" w:lineRule="exact"/>
              <w:rPr>
                <w:sz w:val="20"/>
                <w:szCs w:val="20"/>
                <w:color w:val="auto"/>
              </w:rPr>
            </w:pPr>
            <w:r>
              <w:rPr>
                <w:rFonts w:ascii="Times New Roman" w:cs="Times New Roman" w:eastAsia="Times New Roman" w:hAnsi="Times New Roman"/>
                <w:sz w:val="18"/>
                <w:szCs w:val="18"/>
                <w:b w:val="1"/>
                <w:bCs w:val="1"/>
                <w:color w:val="auto"/>
              </w:rPr>
              <w:t>Name, Address and Age</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22"/>
                <w:szCs w:val="22"/>
                <w:color w:val="auto"/>
              </w:rPr>
            </w:pPr>
          </w:p>
        </w:tc>
        <w:tc>
          <w:tcPr>
            <w:tcW w:w="1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with Company</w:t>
            </w: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Served</w:t>
            </w:r>
          </w:p>
        </w:tc>
        <w:tc>
          <w:tcPr>
            <w:tcW w:w="120" w:type="dxa"/>
            <w:vAlign w:val="bottom"/>
          </w:tcPr>
          <w:p>
            <w:pPr>
              <w:spacing w:after="0"/>
              <w:rPr>
                <w:sz w:val="22"/>
                <w:szCs w:val="22"/>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Past 5 Years</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00" w:type="dxa"/>
            <w:vAlign w:val="bottom"/>
          </w:tcPr>
          <w:p>
            <w:pPr>
              <w:spacing w:after="0"/>
              <w:rPr>
                <w:sz w:val="22"/>
                <w:szCs w:val="22"/>
                <w:color w:val="auto"/>
              </w:rPr>
            </w:pPr>
          </w:p>
        </w:tc>
        <w:tc>
          <w:tcPr>
            <w:tcW w:w="1420" w:type="dxa"/>
            <w:vAlign w:val="bottom"/>
            <w:tcBorders>
              <w:bottom w:val="single" w:sz="8" w:color="auto"/>
            </w:tcBorders>
          </w:tcPr>
          <w:p>
            <w:pPr>
              <w:ind w:left="20"/>
              <w:spacing w:after="0" w:line="258" w:lineRule="exact"/>
              <w:rPr>
                <w:sz w:val="20"/>
                <w:szCs w:val="20"/>
                <w:color w:val="auto"/>
              </w:rPr>
            </w:pPr>
            <w:r>
              <w:rPr>
                <w:rFonts w:ascii="Times New Roman" w:cs="Times New Roman" w:eastAsia="Times New Roman" w:hAnsi="Times New Roman"/>
                <w:sz w:val="18"/>
                <w:szCs w:val="18"/>
                <w:b w:val="1"/>
                <w:bCs w:val="1"/>
                <w:color w:val="auto"/>
                <w:w w:val="96"/>
              </w:rPr>
              <w:t>the Past 5 Years</w:t>
            </w:r>
            <w:r>
              <w:rPr>
                <w:rFonts w:ascii="Times New Roman" w:cs="Times New Roman" w:eastAsia="Times New Roman" w:hAnsi="Times New Roman"/>
                <w:sz w:val="24"/>
                <w:szCs w:val="24"/>
                <w:b w:val="1"/>
                <w:bCs w:val="1"/>
                <w:color w:val="auto"/>
                <w:w w:val="96"/>
                <w:vertAlign w:val="superscript"/>
              </w:rPr>
              <w:t>(2)</w:t>
            </w:r>
          </w:p>
        </w:tc>
      </w:tr>
      <w:tr>
        <w:trPr>
          <w:trHeight w:val="426"/>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Adam K. Bernstein (61)</w:t>
            </w:r>
          </w:p>
        </w:tc>
        <w:tc>
          <w:tcPr>
            <w:tcW w:w="1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PNNT - Class II</w:t>
            </w:r>
          </w:p>
        </w:tc>
        <w:tc>
          <w:tcPr>
            <w:tcW w:w="12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President of The Bernstein Companies, a</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Two</w:t>
            </w:r>
          </w:p>
        </w:tc>
        <w:tc>
          <w:tcPr>
            <w:tcW w:w="10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Advisory Board</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since</w:t>
            </w: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D.C.-based real estate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 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2007;</w:t>
            </w: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development firm, since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University</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expires 2027</w:t>
            </w: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1995 and President and Chief Executive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Officer of Consortium Atlantic Realty</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Corporation since</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Trust, Inc., a private real estate investment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2020</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trust operating in the Mid-Atlantic region,</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from 2006. Also, Mr. Bernstein has served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on the Board of Overseers of the School of</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Arts and Sciences at the University of</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Pennsylvania from 2012 to 2021 and the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Board of Trustees of the School of Arts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and Sciences at the University of</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Pennsylvania from 2018 to 2022.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 Brozost (57)</w:t>
            </w:r>
          </w:p>
        </w:tc>
        <w:tc>
          <w:tcPr>
            <w:tcW w:w="1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PNNT - Class I</w:t>
            </w:r>
          </w:p>
        </w:tc>
        <w:tc>
          <w:tcPr>
            <w:tcW w:w="12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Partner at Allen Matkins Leck Gamble</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Two</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since</w:t>
            </w: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Mallory &amp; Natsis LLP, where he serves as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2007;</w:t>
            </w: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co-chair of the New York real estate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expires 2026</w:t>
            </w: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group, since September 2023. Prior to</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Allen Matkins Leck Gamble Mallory &amp;</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Natsis LLP, Mr. Brozost practiced law at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McDermott Will &amp; Emery LLP, From</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April 2022 to September 2023; Orrick,</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Herrington &amp; Sutcliffe LLP, from July</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2016 to April 2022; at Schulte Roth &amp;</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Zabel LLP from May 2012 to July 2016;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and at Dewey &amp; LeBoeuf LLP from 2005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 2012.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Flug (62)</w:t>
            </w:r>
          </w:p>
        </w:tc>
        <w:tc>
          <w:tcPr>
            <w:tcW w:w="1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PNNT - Class II</w:t>
            </w:r>
          </w:p>
        </w:tc>
        <w:tc>
          <w:tcPr>
            <w:tcW w:w="12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Mr. Flug was President of Union Square</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Two</w:t>
            </w:r>
          </w:p>
        </w:tc>
        <w:tc>
          <w:tcPr>
            <w:tcW w:w="10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of Shake</w:t>
            </w:r>
          </w:p>
        </w:tc>
      </w:t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since</w:t>
            </w: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Shack</w:t>
            </w:r>
          </w:p>
        </w:tc>
      </w:tr>
      <w:tr>
        <w:trPr>
          <w:trHeight w:val="648"/>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40" w:type="dxa"/>
            <w:vAlign w:val="bottom"/>
            <w:gridSpan w:val="2"/>
          </w:tcPr>
          <w:p>
            <w:pPr>
              <w:jc w:val="right"/>
              <w:ind w:right="27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763"/>
        </w:trPr>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left="3620"/>
        <w:spacing w:after="0"/>
        <w:tabs>
          <w:tab w:leader="none" w:pos="5320" w:val="left"/>
        </w:tabs>
        <w:rPr>
          <w:sz w:val="20"/>
          <w:szCs w:val="20"/>
          <w:color w:val="auto"/>
        </w:rPr>
      </w:pPr>
      <w:r>
        <w:rPr>
          <w:rFonts w:ascii="Times New Roman" w:cs="Times New Roman" w:eastAsia="Times New Roman" w:hAnsi="Times New Roman"/>
          <w:sz w:val="18"/>
          <w:szCs w:val="18"/>
          <w:color w:val="auto"/>
        </w:rPr>
        <w:t>February 2007;</w:t>
      </w:r>
      <w:r>
        <w:rPr>
          <w:sz w:val="20"/>
          <w:szCs w:val="20"/>
          <w:color w:val="auto"/>
        </w:rPr>
        <w:tab/>
      </w:r>
      <w:r>
        <w:rPr>
          <w:rFonts w:ascii="Times New Roman" w:cs="Times New Roman" w:eastAsia="Times New Roman" w:hAnsi="Times New Roman"/>
          <w:sz w:val="18"/>
          <w:szCs w:val="18"/>
          <w:color w:val="auto"/>
        </w:rPr>
        <w:t>Group, an exclusive chain of restaurants,</w:t>
      </w:r>
    </w:p>
    <w:p>
      <w:pPr>
        <w:spacing w:after="0" w:line="27" w:lineRule="exact"/>
        <w:rPr>
          <w:sz w:val="20"/>
          <w:szCs w:val="20"/>
          <w:color w:val="auto"/>
        </w:rPr>
      </w:pPr>
    </w:p>
    <w:p>
      <w:pPr>
        <w:ind w:left="3620"/>
        <w:spacing w:after="0"/>
        <w:tabs>
          <w:tab w:leader="none" w:pos="5320" w:val="left"/>
        </w:tabs>
        <w:rPr>
          <w:sz w:val="20"/>
          <w:szCs w:val="20"/>
          <w:color w:val="auto"/>
        </w:rPr>
      </w:pPr>
      <w:r>
        <w:rPr>
          <w:rFonts w:ascii="Times New Roman" w:cs="Times New Roman" w:eastAsia="Times New Roman" w:hAnsi="Times New Roman"/>
          <w:sz w:val="18"/>
          <w:szCs w:val="18"/>
          <w:color w:val="auto"/>
        </w:rPr>
        <w:t>Term expires 2027</w:t>
      </w:r>
      <w:r>
        <w:rPr>
          <w:sz w:val="20"/>
          <w:szCs w:val="20"/>
          <w:color w:val="auto"/>
        </w:rPr>
        <w:tab/>
      </w:r>
      <w:r>
        <w:rPr>
          <w:rFonts w:ascii="Times New Roman" w:cs="Times New Roman" w:eastAsia="Times New Roman" w:hAnsi="Times New Roman"/>
          <w:sz w:val="17"/>
          <w:szCs w:val="17"/>
          <w:color w:val="auto"/>
        </w:rPr>
        <w:t>from 2009 to June 2015. Mr. Flug served</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as Chief Executive Officer and Executive</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Director of Millennium Promise Alliance,</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Inc., a non-profit organization whose</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mission is to eradicate extreme global</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poverty, from 2006 to 2008. From 2000 to</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2006, Mr. Flug was a Managing Director</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and Head of North American Institutional</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Sales at JP Morgan’s Investment Bank.</w:t>
      </w:r>
    </w:p>
    <w:p>
      <w:pPr>
        <w:spacing w:after="0" w:line="207" w:lineRule="exact"/>
        <w:rPr>
          <w:sz w:val="20"/>
          <w:szCs w:val="20"/>
          <w:color w:val="auto"/>
        </w:rPr>
      </w:pPr>
    </w:p>
    <w:p>
      <w:pPr>
        <w:spacing w:after="0"/>
        <w:tabs>
          <w:tab w:leader="none" w:pos="2260" w:val="left"/>
          <w:tab w:leader="none" w:pos="3600" w:val="left"/>
          <w:tab w:leader="none" w:pos="5320" w:val="left"/>
        </w:tabs>
        <w:rPr>
          <w:sz w:val="20"/>
          <w:szCs w:val="20"/>
          <w:color w:val="auto"/>
        </w:rPr>
      </w:pPr>
      <w:r>
        <w:rPr>
          <w:rFonts w:ascii="Times New Roman" w:cs="Times New Roman" w:eastAsia="Times New Roman" w:hAnsi="Times New Roman"/>
          <w:sz w:val="18"/>
          <w:szCs w:val="18"/>
          <w:color w:val="auto"/>
        </w:rPr>
        <w:t>Samuel L. Katz (59)</w:t>
      </w:r>
      <w:r>
        <w:rPr>
          <w:sz w:val="20"/>
          <w:szCs w:val="20"/>
          <w:color w:val="auto"/>
        </w:rPr>
        <w:tab/>
      </w: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PNNT - Class I</w:t>
      </w:r>
      <w:r>
        <w:rPr>
          <w:sz w:val="20"/>
          <w:szCs w:val="20"/>
          <w:color w:val="auto"/>
        </w:rPr>
        <w:tab/>
      </w:r>
      <w:r>
        <w:rPr>
          <w:rFonts w:ascii="Times New Roman" w:cs="Times New Roman" w:eastAsia="Times New Roman" w:hAnsi="Times New Roman"/>
          <w:sz w:val="18"/>
          <w:szCs w:val="18"/>
          <w:color w:val="auto"/>
        </w:rPr>
        <w:t>Managing Partner of TZP Group LLC, a</w:t>
      </w:r>
    </w:p>
    <w:p>
      <w:pPr>
        <w:spacing w:after="0" w:line="27" w:lineRule="exact"/>
        <w:rPr>
          <w:sz w:val="20"/>
          <w:szCs w:val="20"/>
          <w:color w:val="auto"/>
        </w:rPr>
      </w:pPr>
    </w:p>
    <w:p>
      <w:pPr>
        <w:ind w:left="3620"/>
        <w:spacing w:after="0"/>
        <w:tabs>
          <w:tab w:leader="none" w:pos="5320" w:val="left"/>
        </w:tabs>
        <w:rPr>
          <w:sz w:val="20"/>
          <w:szCs w:val="20"/>
          <w:color w:val="auto"/>
        </w:rPr>
      </w:pPr>
      <w:r>
        <w:rPr>
          <w:rFonts w:ascii="Times New Roman" w:cs="Times New Roman" w:eastAsia="Times New Roman" w:hAnsi="Times New Roman"/>
          <w:sz w:val="18"/>
          <w:szCs w:val="18"/>
          <w:color w:val="auto"/>
        </w:rPr>
        <w:t>Director since</w:t>
      </w:r>
      <w:r>
        <w:rPr>
          <w:sz w:val="20"/>
          <w:szCs w:val="20"/>
          <w:color w:val="auto"/>
        </w:rPr>
        <w:tab/>
      </w:r>
      <w:r>
        <w:rPr>
          <w:rFonts w:ascii="Times New Roman" w:cs="Times New Roman" w:eastAsia="Times New Roman" w:hAnsi="Times New Roman"/>
          <w:sz w:val="18"/>
          <w:szCs w:val="18"/>
          <w:color w:val="auto"/>
        </w:rPr>
        <w:t>private equity fund, since 2007. Chief</w:t>
      </w:r>
    </w:p>
    <w:p>
      <w:pPr>
        <w:spacing w:after="0" w:line="9" w:lineRule="exact"/>
        <w:rPr>
          <w:sz w:val="20"/>
          <w:szCs w:val="20"/>
          <w:color w:val="auto"/>
        </w:rPr>
      </w:pPr>
    </w:p>
    <w:p>
      <w:pPr>
        <w:ind w:left="3620"/>
        <w:spacing w:after="0"/>
        <w:tabs>
          <w:tab w:leader="none" w:pos="5320" w:val="left"/>
        </w:tabs>
        <w:rPr>
          <w:sz w:val="20"/>
          <w:szCs w:val="20"/>
          <w:color w:val="auto"/>
        </w:rPr>
      </w:pPr>
      <w:r>
        <w:rPr>
          <w:rFonts w:ascii="Times New Roman" w:cs="Times New Roman" w:eastAsia="Times New Roman" w:hAnsi="Times New Roman"/>
          <w:sz w:val="18"/>
          <w:szCs w:val="18"/>
          <w:color w:val="auto"/>
        </w:rPr>
        <w:t>February 2007;</w:t>
      </w:r>
      <w:r>
        <w:rPr>
          <w:sz w:val="20"/>
          <w:szCs w:val="20"/>
          <w:color w:val="auto"/>
        </w:rPr>
        <w:tab/>
      </w:r>
      <w:r>
        <w:rPr>
          <w:rFonts w:ascii="Times New Roman" w:cs="Times New Roman" w:eastAsia="Times New Roman" w:hAnsi="Times New Roman"/>
          <w:sz w:val="18"/>
          <w:szCs w:val="18"/>
          <w:color w:val="auto"/>
        </w:rPr>
        <w:t>Executive Officer and director of TZP</w:t>
      </w:r>
    </w:p>
    <w:p>
      <w:pPr>
        <w:spacing w:after="0" w:line="9" w:lineRule="exact"/>
        <w:rPr>
          <w:sz w:val="20"/>
          <w:szCs w:val="20"/>
          <w:color w:val="auto"/>
        </w:rPr>
      </w:pPr>
    </w:p>
    <w:p>
      <w:pPr>
        <w:ind w:left="3620"/>
        <w:spacing w:after="0"/>
        <w:tabs>
          <w:tab w:leader="none" w:pos="5320" w:val="left"/>
        </w:tabs>
        <w:rPr>
          <w:sz w:val="20"/>
          <w:szCs w:val="20"/>
          <w:color w:val="auto"/>
        </w:rPr>
      </w:pPr>
      <w:r>
        <w:rPr>
          <w:rFonts w:ascii="Times New Roman" w:cs="Times New Roman" w:eastAsia="Times New Roman" w:hAnsi="Times New Roman"/>
          <w:sz w:val="18"/>
          <w:szCs w:val="18"/>
          <w:color w:val="auto"/>
        </w:rPr>
        <w:t>Term expires 2026</w:t>
      </w:r>
      <w:r>
        <w:rPr>
          <w:sz w:val="20"/>
          <w:szCs w:val="20"/>
          <w:color w:val="auto"/>
        </w:rPr>
        <w:tab/>
      </w:r>
      <w:r>
        <w:rPr>
          <w:rFonts w:ascii="Times New Roman" w:cs="Times New Roman" w:eastAsia="Times New Roman" w:hAnsi="Times New Roman"/>
          <w:sz w:val="17"/>
          <w:szCs w:val="17"/>
          <w:color w:val="auto"/>
        </w:rPr>
        <w:t>Strategies Acquisition Corp. (Nasdaq:</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TZPS), a special purpose acquisition</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company. Before joining TZP Group, Mr.</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Katz was Chief Executive Officer of</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MacAndrews &amp; Forbes Acquisition</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Holdings, Inc. from 2006 to 2007. Prior to</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that position, Mr. Katz was Chairman and</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Chief Executive Officer of the Cendant</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Travel Distribution Services Division from</w:t>
      </w:r>
    </w:p>
    <w:p>
      <w:pPr>
        <w:spacing w:after="0" w:line="2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2001 to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Interested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Times New Roman" w:cs="Times New Roman" w:eastAsia="Times New Roman" w:hAnsi="Times New Roman"/>
          <w:sz w:val="18"/>
          <w:szCs w:val="18"/>
          <w:color w:val="auto"/>
        </w:rPr>
        <w:t>Inc., since</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September 2014;</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Tender Greens, a</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private company,</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since 2015; Sears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Hometown and</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Outlet Stores, Inc.,</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from October 2012</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to September</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2015.</w:t>
      </w:r>
    </w:p>
    <w:p>
      <w:pPr>
        <w:spacing w:after="0" w:line="20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Two</w:t>
      </w:r>
      <w:r>
        <w:rPr>
          <w:sz w:val="20"/>
          <w:szCs w:val="20"/>
          <w:color w:val="auto"/>
        </w:rPr>
        <w:tab/>
      </w:r>
      <w:r>
        <w:rPr>
          <w:rFonts w:ascii="Times New Roman" w:cs="Times New Roman" w:eastAsia="Times New Roman" w:hAnsi="Times New Roman"/>
          <w:sz w:val="18"/>
          <w:szCs w:val="18"/>
          <w:color w:val="auto"/>
        </w:rPr>
        <w:t>Director of TZP</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Strategies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Acquisition Corp.;</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BQ Resorts, LLC;</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Lift Brands, Inc.;</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HomeRiver</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Group; Pyramid</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Hotel Group;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Triangle Home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Fashions Holdings,</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LLC; Whitestone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Home Furnishings,</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LLC (d/b/a The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Saatva Company);</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Dwellworks;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Rebath Member:</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Executive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Committee of YRF</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Darca; Board of</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Advisors of</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Columbia</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University Irving</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Medical Center</w:t>
      </w:r>
    </w:p>
    <w:p>
      <w:pPr>
        <w:sectPr>
          <w:pgSz w:w="11900" w:h="16838" w:orient="portrait"/>
          <w:cols w:equalWidth="0" w:num="2">
            <w:col w:w="8440" w:space="520"/>
            <w:col w:w="2240"/>
          </w:cols>
          <w:pgMar w:left="340" w:top="1417" w:right="359" w:bottom="1440" w:gutter="0" w:footer="0" w:header="0"/>
        </w:sectPr>
      </w:pPr>
    </w:p>
    <w:bookmarkStart w:id="12" w:name="page13"/>
    <w:bookmarkEnd w:id="12"/>
    <w:tbl>
      <w:tblPr>
        <w:tblLayout w:type="fixed"/>
        <w:tblInd w:w="12" w:type="dxa"/>
        <w:tblCellMar>
          <w:top w:w="0" w:type="dxa"/>
          <w:left w:w="0" w:type="dxa"/>
          <w:bottom w:w="0" w:type="dxa"/>
          <w:right w:w="0" w:type="dxa"/>
        </w:tblCellMar>
      </w:tblPr>
      <w:tr>
        <w:trPr>
          <w:trHeight w:val="27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Arthur H. Penn (61)</w:t>
            </w:r>
            <w:r>
              <w:rPr>
                <w:rFonts w:ascii="Times New Roman" w:cs="Times New Roman" w:eastAsia="Times New Roman" w:hAnsi="Times New Roman"/>
                <w:sz w:val="24"/>
                <w:szCs w:val="24"/>
                <w:color w:val="auto"/>
                <w:vertAlign w:val="superscript"/>
              </w:rPr>
              <w:t>(3)</w:t>
            </w: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PNNT - Class III</w:t>
            </w: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Founder, Chairman and Chief Executive</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Two</w:t>
            </w:r>
          </w:p>
        </w:tc>
        <w:tc>
          <w:tcPr>
            <w:tcW w:w="9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Nominee</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since</w:t>
            </w: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 of the Company from its inception</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Executive</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2007;</w:t>
            </w: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 2007. Mr. Penn also is the Founder and</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Officer and</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expires, if</w:t>
            </w: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Managing Member of the Adviser. Before</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Chairman of the</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elected, 2028</w:t>
            </w: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founding the Company, Mr. Penn was the</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Board of</w:t>
            </w: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Co-Founder of Apollo Investment</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 where he was a Managing</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Partner from 2004 to 2006. He also served</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 Chief Operating Officer of Apollo</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Corporation from inception in</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2004 to 2006 and served as President and</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Operating Officer in 2006. He</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formerly was a Managing Partner of</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Apollo Value Fund L.P. (formerly Apollo</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Distressed Investment Fund, L.P.) from</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José A. Briones, Jr. (54)</w:t>
            </w:r>
            <w:r>
              <w:rPr>
                <w:rFonts w:ascii="Times New Roman" w:cs="Times New Roman" w:eastAsia="Times New Roman" w:hAnsi="Times New Roman"/>
                <w:sz w:val="24"/>
                <w:szCs w:val="24"/>
                <w:color w:val="auto"/>
                <w:vertAlign w:val="superscript"/>
              </w:rPr>
              <w:t>(4)</w:t>
            </w: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2003 to 2006.</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vMerge w:val="continue"/>
          </w:tcPr>
          <w:p>
            <w:pPr>
              <w:spacing w:after="0"/>
              <w:rPr>
                <w:sz w:val="18"/>
                <w:szCs w:val="18"/>
                <w:color w:val="auto"/>
              </w:rPr>
            </w:pP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PNNT - Class III</w:t>
            </w: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Mr. Briones joined the Adviser in</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Two</w:t>
            </w:r>
          </w:p>
        </w:tc>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2"/>
              </w:rPr>
              <w:t>None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Nominee</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since</w:t>
            </w: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2009 and is a Senior Partner.</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2022;</w:t>
            </w: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Before joining the Adviser, Mr. Briones</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expires, if</w:t>
            </w: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was a Partner of Apollo Investment</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elected, 2028</w:t>
            </w: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 L.P. and a member of its</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committee since 2006. Before</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that, he was a Managing Director with</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UBS Securities LLC in the Financial</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Sponsors and Leveraged Finance Group</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from 2001 to 2006. Before joining UBS,</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 was a Vice President with JP Morgan in</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Global Leveraged Finance Group from</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1999 to 2001. From 1992 to 1999, Mr.</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Briones was a Vice President at BT</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and BT Alex Brown Inc. in the</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Finance Department.</w:t>
            </w: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12" w:hanging="512"/>
        <w:spacing w:after="0"/>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1691 Michigan Avenue, Miami Beach, Florida 33139.</w:t>
      </w:r>
    </w:p>
    <w:p>
      <w:pPr>
        <w:spacing w:after="0" w:line="2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otherwise serves as a director of an investment company subject to the 1940 Act.</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an interested director due to his position as an officer of the Company and of the Adviser.</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Briones is an interested director due to his position as an officer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-550545</wp:posOffset>
            </wp:positionV>
            <wp:extent cx="1663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5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12"/>
          </w:cols>
          <w:pgMar w:left="328" w:top="1357" w:right="859" w:bottom="1440" w:gutter="0" w:footer="0" w:header="0"/>
        </w:sectPr>
      </w:pPr>
    </w:p>
    <w:bookmarkStart w:id="13" w:name="page14"/>
    <w:bookmarkEnd w:id="13"/>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New York Stock Exchange ("NYSE") corporate governance rules require listed companies to have a board of directors with at least a majority of independent directors.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Under NYSE corporate governance rules, in order for a director to be deemed independent, the Board must affirmatively determine that the individual does not have a material relationship with the Company, either directly or as a partner, shareholder or officer of an organization that has a relationship with the Company. On an annual basis, each director is required to complete an independence questionnaire designed to provide information to assist the Board in determining whether the director is independent under NYSE corporate governance rules, the 1940 Act and applicable corporate governance guidelines. The Board has determined that each of its directors, other than Messrs. Penn and Briones, is independent under the applicable listing standards of NYSE and under the Securities Exchange Act of 1934, as amended (the “Exchange Act”) and the 1940 Act. The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The Board limits membership on its Audit Committee, its Nominating and Corporate Governance Committee and its Compensation Committee to Independent Directors.</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Board’s Oversight Role in Management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described below in more detail under “Audit Committee,” “Nominating and Corporate Governance Committee,” and “Compensation Committee,” the Board’s Audit Committee, Nominating and Corporate Governance Committee and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with matters related to compensation, as directed by the Board. Each of the Audit Committee, Nominating and Corporate Governance Committee and Compensation Committee consists solely of Independent Directors.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r>
      <w:tr>
        <w:trPr>
          <w:trHeight w:val="191"/>
        </w:trPr>
        <w:tc>
          <w:tcPr>
            <w:tcW w:w="3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95"/>
              </w:rPr>
              <w:t>(1)</w:t>
            </w:r>
          </w:p>
        </w:tc>
        <w:tc>
          <w:tcPr>
            <w:tcW w:w="1086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8"/>
                <w:szCs w:val="18"/>
                <w:color w:val="auto"/>
              </w:rPr>
              <w:t>The listing of the common stock of the Company transferred from Nasdaq to NYSE effective April 14,  2022. Prior to such transfer, the Company's</w:t>
            </w:r>
          </w:p>
        </w:tc>
      </w:tr>
      <w:tr>
        <w:trPr>
          <w:trHeight w:val="234"/>
        </w:trPr>
        <w:tc>
          <w:tcPr>
            <w:tcW w:w="360" w:type="dxa"/>
            <w:vAlign w:val="bottom"/>
          </w:tcPr>
          <w:p>
            <w:pPr>
              <w:spacing w:after="0"/>
              <w:rPr>
                <w:sz w:val="20"/>
                <w:szCs w:val="20"/>
                <w:color w:val="auto"/>
              </w:rPr>
            </w:pPr>
          </w:p>
        </w:tc>
        <w:tc>
          <w:tcPr>
            <w:tcW w:w="10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practices complied with the applicable Nasdaq listing requirements.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Board also performs its risk oversight responsibilities with the assistance of a CCO. The Company’s CCO prepares a written report annually discussing the adequacy and effectiveness of the compliance policies and procedures of the Company and certain of its service providers. The CCO’s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 would reasonably need to know to oversee the Company’s compliance activities and risks. In addition, the CCO meets separately in executive session with the Independent Directors at least once each year and presents quarterly reports to the Board.</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ability of the Company to incur indebtedness is limited by the asset coverage ratio set forth in the 1940 Act (as modified by any exemptive relief granted by the SEC) and the Company generally must invest at least 70% of its total assets in “qualifying assets.” The Company also has elected to be treated as a regulated investment company (a “RIC”) under Subchapter M of the Internal Revenue Code of 1986, as amended. As a RIC, the Company must, among other things, meet certain income source and asset diversification requirements.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believes that the extent of the Board’s and its committees’ roles in risk oversight complements the Board’s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the Company’s independent registered public accounting firm, the CCO and the Chief Executive Officer, the Independent Directors have similarly established direct communication and oversight channels that the Board believes foster open communication and early detection of issues of concern.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believes that the Board’s role in risk oversight must be evaluated on a case by 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Company’s needs.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Board’s Composition and Leadership Structure</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1940 Act requires that at least a majority of the Company’s directors not be “interested persons” (as defined in the 1940 Act) of the Company. Currently, four of the six directors on the Board are Independent Directors. The Chairman of the Board is an interested person of the Company. The Independent Directors believe that the combined position of Chief Executive Officer of the Company and Chairman of the Board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has not identified a lead Independent Director; however, the Board has determined that its leadership structure, in which two-thirds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Each Director’s Experience, Qualifications, Attributes or Skills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The Board believes that its members satisfy this standard. Experience relevant to having this ability may be achieved through a director’s educational background, business or professional training or practice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finance, accounting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law), public service or academic positions, experience from service as a board member (including the Board of the Company)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Company’s counsel. Both the Independent Directors’ and the Company’s counsel have significant experience advising funds and fund board members. The Board and its committees have the ability to engage other experts as appropriate. The Board evaluates its performance on an annual basis.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Chairman and Chief Executive Officer</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Chairman of the Board and Chief Executive Officer of the Company, Mr. Penn assumes a leading role in strategic planning and supports major transaction initiatives of the Company. Mr. Penn also manages the day-to-day operations of the Company, with the support of the other investment professionals and officers. As Chief Executive Officer, Mr. Penn has general responsibility for the implementation of the policies of the Company, as determined by the Board, and for the management of the business and affairs of the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 Qualifications, Attributes and/or Skills that Led to the Board’s Conclusion that such Members Should Serve as Directors of the Company</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Board believes that, collectively, the directors have balanced and diverse experience, qualifications, attributes and skills, which allow the Board to operate effectively in governing the Company and protecting the interests of the Stockholders. 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director.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Arthur H. Penn</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Board benefits from Mr. Penn’s business leadership and experience and knowledge of senior lending, mezzanine lending, leveraged finance, distressed debt and private equity businesses, as well as diverse management practices.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Company and Managing Member of the Adviser and the Administrator provide him with a specific and valuable understanding of the Company, its operations and the business and regulatory issues facing it.</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 K. Bernstein</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Mr. Bernstein brings to the Board over 30 years of experience at a real estate development, investment and management business in the Mid-Atlantic region of the United States. Mr. Bernstein affords the Board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From 2012 to 2021, Mr. Bernstein was appointed to the Board of Overseers of the School of Arts and Sciences at the University of Pennsylvania and has served on the Board of Trustees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School of Arts and Sciences at the University of Pennsylvania from 2018 to 2022 and on the Advisory Board of University Research Corporation since 2020.</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José A. Briones, Jr.</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Mr. Briones brings to the Board 30 years of business leadership and experience and knowledge of senior lending, mezzanine lending, leveraged finance, distressed debt and private equity businesses, as well as diverse management practices. He is responsible for and oversees originating, underwriting, executing, and monitoring investments for the Adviser, as well as overseeing various strategic initiatives and serves as a Portfolio Manager. Before joining the Adviser, Mr. Briones was a Partner of Apollo Investment Management, L.P. and a member of its investment committee. Before that, Mr. Briones was a Managing Director with UBS Securities LLC in the Financial Sponsors and Leveraged Finance Group from 2001 to 2006. Before joining UBS, Mr. Briones was a Vice President with JP Morgan in the Global Leveraged Finance Group from 1999 to 2001. From 1992 to 1999, Mr. Briones was a Vice President at BT Securities and BT Alex Brown Inc. in the Corporate Finance Department.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Marshall Brozost</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Mr. Brozost brings to the Board 25 years of experience in the areas of finance, private equity, mergers and acquisitions and restructurings. Since September 2023, Mr. Brozost has been a Partner at Allen Matkins Leck Gamble Mallory &amp; Natsis LLP, where he serves as co-chair of the New York real estate group. Prior to Allen Matkins Leck Gamble Mallory &amp; Natsis LLP, Mr. Brozost practiced law at McDermott Will &amp; Emery LLP from April 2022 to September 2023, at Orrick, Herrington &amp; Sutcliffe LLP from July 2016 to April 2022,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Jeffrey Flug</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Mr. Flug brings to the Board expertise in fixed income, investment banking, accounting and business operations. From 2009 to June 2015, Mr. Flug held a variety of senior positions, including, most recently, President, with Union Square Hospitality Group, an exclusive chain of restaurants. Since September 2014, Mr. Flug has served as a director of Shake Shack, Inc. Mr. Flug has also served as a director of Tender Greens, a private company, since 2015.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Samuel L Katz</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Mr. Katz brings to the Board a diverse knowledge of business and finance as a result of his career over the past 30 years. Mr. Katz currently serves as the Chief Executive Officer and director of TZP Strategies Acquisition Corp. (Nasdaq: TZPS), a special purpose acquisition company, and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 Mr. Katz also currently serves as a director of the following companies: BQ Resorts, LLC; Lift Brands, Inc.; HomeRiver Group; Pyramid Hotel Group; Triangle Home Fashions Holdings, LLC; Whitestone Home Furnishings, LLC (d/b/a The Saatva Company); Dwellworks Investors; Rebath and YRF Darca; and he currently serves on the Board of Advisors of Columbia University Irving Medical Center.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Board has established an Audit Committee, a Nominating and Corporate Governance Committee and a Compensation Committee. For the fiscal year ended September 30, 2024, the Board held four Board meetings, four Audit Committee meetings, one Nominating and Corporate Governance Committee meetings and one Compensation Committee meetings.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Company’s annual Stockholders’ meetings. Last year, all members of the Board attended by audio webcast the annual Stockholders’ meeting that was held virtually.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members of the Audit Committee of the Board are Messrs. Bernstein, Brozost, Flug and Katz, each of whom is independent for purposes of the 1940 Act and the NYSE corporate governance rules. Messrs. Flug and Katz serve as Co-Chairmen of the Audit Committee. The Audit Committee operates pursuant to an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Reports on Form 10-K; reviewing and discussing with management and the auditors the Company’s quarterly financial statements prior to the filings of its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the Board in fair valuing the Company’s portfolio securities that are not publicly traded or for which current market values are not readily available. Such investments are valued at fair value as determined in good faith by or under the direction of the Board using a documented valuation policy and a consistently applied valuation process. The Board and Audit Committee use the services of nationally recognized independent valuation firms to help them determine the fair value of certain securities held by the Company. The Board has determined that each of Messrs. Flug and Katz is an “audit committee financial expert” as that term is defined under Item 407 of Regulation S-K under the Exchange Act. The Audit Committee Charter is available on the Company’s website (http://www.pennantpark.com).</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of the Board are Messrs. Bernstein, Brozost, Flug and Katz, each of whom is independent for purposes of the 1940 Act and the NYSE corporate governance rules. Messrs. Bernstein and Brozost serve as Co-Chairmen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the Company has adopted a written Nominating and Corporate Governance Committee Charter that is available on the Company’s website (http://www.pennantpark.com).</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1691 Michigan Avenue Miami Beach, Florida 33139. When submitting a nomination to the Company for consideration, a Stockholder must provide all information that would be required under applicable SEC rules to be disclosed in connection with the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Criteria considered by the Nominating and Corporate Governance Committee in evaluating the qualifications of individuals for election as a director of the Board include: compliance with the independence and other applicable requirements of the NYSE corporate governance rules and the 1940 Act, and all other applicable laws, rules, regulations and listing standards; the criteria, policies and principles set forth in the Company’s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 members of the Board, but the Nominating and Corporate Governance Committee will consider such factors as they may deem are in the best interests of the Company and the Stockholders. Those factors may include a person’s differences of viewpoint, professional experience, education and skills, as well as his or her race, gender and national origin. In addition, as part of the Board’s annual self-assessment, the members of the Nominating and Corporate Governance Committee evaluate the membership of the Board and whether the Board maintains satisfactory policies regarding membership selection.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the Board with all matters related to compensation, as directed by the Board. The current members of the Compensation Committee are Messrs. Bernstein, Brozost, Flug and Katz, each of whom is independent for purposes of the 1940 Act and the NYSE corporate governance rules. As discussed below, none of our executive officers are directly compensated by the Company and, as a result, the Compensation Committee does not produce and/or review and report on executive compensation practices. The Compensation Committee Charter is available on the Company’s website (http://www.pennantpark.com).</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Communication with the Board of Directors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interested party with questions about the Company is encouraged to contact our Investor Relations Department at 1691 Michigan Avenue, Miami Beach, Florida 33139 or by visiting the investor relations web page on our website (http://www.pennantpark.com). However, if the interested parties believe that their questions have not been addressed, they may communicate with the Board by sending their communications to Thomas J. Friedmann, Secretary, c/o PennantPark, 1691 Michigan Avenue, Miami Beach, Florida 33139. All such interested party communications received in this manner will be delivered to one or more members of the Board.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Executive Officer Who is Not a Director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pertains to our executive officer who is not a director of the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3"/>
                <w:szCs w:val="13"/>
                <w:color w:val="auto"/>
              </w:rPr>
            </w:pPr>
          </w:p>
        </w:tc>
        <w:tc>
          <w:tcPr>
            <w:tcW w:w="220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3"/>
                <w:szCs w:val="13"/>
                <w:color w:val="auto"/>
              </w:rPr>
            </w:pPr>
          </w:p>
        </w:tc>
        <w:tc>
          <w:tcPr>
            <w:tcW w:w="67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73"/>
        </w:trPr>
        <w:tc>
          <w:tcPr>
            <w:tcW w:w="2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5"/>
                <w:szCs w:val="15"/>
                <w:color w:val="auto"/>
              </w:rPr>
            </w:pPr>
          </w:p>
        </w:tc>
        <w:tc>
          <w:tcPr>
            <w:tcW w:w="6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Richard T. Allorto, Jr. (52)</w:t>
            </w:r>
          </w:p>
        </w:tc>
        <w:tc>
          <w:tcPr>
            <w:tcW w:w="120" w:type="dxa"/>
            <w:vAlign w:val="bottom"/>
          </w:tcPr>
          <w:p>
            <w:pPr>
              <w:spacing w:after="0"/>
              <w:rPr>
                <w:sz w:val="16"/>
                <w:szCs w:val="16"/>
                <w:color w:val="auto"/>
              </w:rPr>
            </w:pPr>
          </w:p>
        </w:tc>
        <w:tc>
          <w:tcPr>
            <w:tcW w:w="2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Chief Financial Officer and</w:t>
            </w:r>
          </w:p>
        </w:tc>
        <w:tc>
          <w:tcPr>
            <w:tcW w:w="120" w:type="dxa"/>
            <w:vAlign w:val="bottom"/>
          </w:tcPr>
          <w:p>
            <w:pPr>
              <w:spacing w:after="0"/>
              <w:rPr>
                <w:sz w:val="16"/>
                <w:szCs w:val="16"/>
                <w:color w:val="auto"/>
              </w:rPr>
            </w:pPr>
          </w:p>
        </w:tc>
        <w:tc>
          <w:tcPr>
            <w:tcW w:w="6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 and Treasurer of the Company and PFLT since June 2, 2022. Mr.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Allorto was most recently the Chief Financial Officer of Medley Management Inc. and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served as the Chief Financial Officer of Sierra Income Corporation and before that Medley</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Capital Corporation. Before that, he was a Managing Director at GSC Group from 2001 to</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540" w:right="2120" w:hanging="5532"/>
        <w:spacing w:after="0" w:line="783" w:lineRule="auto"/>
        <w:tabs>
          <w:tab w:leader="none" w:pos="5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executive officer is c/o PennantPark, 1691 Michigan Avenue, Miami Beach, Florida 33139.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-854075</wp:posOffset>
            </wp:positionV>
            <wp:extent cx="16630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Chief Compliance Officer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pertains to our CCO who is not a director of the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3"/>
                <w:szCs w:val="13"/>
                <w:color w:val="auto"/>
              </w:rPr>
            </w:pPr>
          </w:p>
        </w:tc>
        <w:tc>
          <w:tcPr>
            <w:tcW w:w="220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20" w:type="dxa"/>
            <w:vAlign w:val="bottom"/>
          </w:tcPr>
          <w:p>
            <w:pPr>
              <w:spacing w:after="0"/>
              <w:rPr>
                <w:sz w:val="13"/>
                <w:szCs w:val="13"/>
                <w:color w:val="auto"/>
              </w:rPr>
            </w:pPr>
          </w:p>
        </w:tc>
        <w:tc>
          <w:tcPr>
            <w:tcW w:w="670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73"/>
        </w:trPr>
        <w:tc>
          <w:tcPr>
            <w:tcW w:w="2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5"/>
                <w:szCs w:val="15"/>
                <w:color w:val="auto"/>
              </w:rPr>
            </w:pPr>
          </w:p>
        </w:tc>
        <w:tc>
          <w:tcPr>
            <w:tcW w:w="6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Frank Galea (56)</w:t>
            </w:r>
          </w:p>
        </w:tc>
        <w:tc>
          <w:tcPr>
            <w:tcW w:w="120" w:type="dxa"/>
            <w:vAlign w:val="bottom"/>
          </w:tcPr>
          <w:p>
            <w:pPr>
              <w:spacing w:after="0"/>
              <w:rPr>
                <w:sz w:val="16"/>
                <w:szCs w:val="16"/>
                <w:color w:val="auto"/>
              </w:rPr>
            </w:pPr>
          </w:p>
        </w:tc>
        <w:tc>
          <w:tcPr>
            <w:tcW w:w="220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Chief Compliance Officer</w:t>
            </w:r>
          </w:p>
        </w:tc>
        <w:tc>
          <w:tcPr>
            <w:tcW w:w="120" w:type="dxa"/>
            <w:vAlign w:val="bottom"/>
          </w:tcPr>
          <w:p>
            <w:pPr>
              <w:spacing w:after="0"/>
              <w:rPr>
                <w:sz w:val="16"/>
                <w:szCs w:val="16"/>
                <w:color w:val="auto"/>
              </w:rPr>
            </w:pPr>
          </w:p>
        </w:tc>
        <w:tc>
          <w:tcPr>
            <w:tcW w:w="6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Compliance Officer of the Company and PFLT from May 2023. Mr. Galea joined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Company’s outsourced Compliance service provider, ACA Group, in 2022 serving as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deputy to the Company’s previous Chief Compliance Officer. Prior to joining ACA, Mr.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Galea worked for TIAA and its Nuveen subsidiary since 2010 in various Compliance roles,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including Chief Compliance Officer for its agribusiness investment adviser. Mr. Galea has</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been a Chartered Financial Analyst (CFA) charterholder since 2006.</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CCO is c/o PennantPark, 1691 Michigan Avenue, Miami Beach, Florida 33139.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6630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Code of Ethics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posted on the Company’s website (http://www.pennantpark.com). The Code of Conduct applies to the directors, officers and staff of the Company.</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required by the 1940 Act, the Company maintains a Code of Ethics with the Adviser that establishes procedures that apply to the Company’s directors, officers, staff and the employees of the Adviser with respect to their personal investments and investment transactions. The Code of Ethics generally does not permit investments by the Company’s directors, officers or any other covered person in securities that may be purchased or held by the Company. The Company filed the Code of Ethics as Exhibit 14.1 to the Annual Report, filed with the SEC on November 25, 2024. You may access the Code of Ethics via the Internet site of the SEC (http://www.sec.gov) or our website (http://www.pennantpark.com). The Company intends to disclose any material amendments to or waivers of required provisions of its Code of Conduct or its Code of Ethics on Form 8-K.</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Independent Directors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Each Independent Director receives an annual payment of $110,000 for services performed on behalf of the Company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the Company has purchased directors’ and officers’ liability insurance on behalf of its directors and officers and indemnifies such persons against certain losses.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 and Executive Officer</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paid by (i) the Company and (ii) all of the companies in the Fund Complex, including the Company, in the aggregate, to our directors for the fiscal year ended September 30, 2024. No compensation is paid directly by the Company to any interested director or executive officer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3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or</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 accrued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from the</w:t>
            </w:r>
          </w:p>
        </w:tc>
        <w:tc>
          <w:tcPr>
            <w:tcW w:w="320" w:type="dxa"/>
            <w:vAlign w:val="bottom"/>
          </w:tcPr>
          <w:p>
            <w:pPr>
              <w:spacing w:after="0"/>
              <w:rPr>
                <w:sz w:val="12"/>
                <w:szCs w:val="12"/>
                <w:color w:val="auto"/>
              </w:rPr>
            </w:pP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part of our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from the Fund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5"/>
                <w:szCs w:val="15"/>
                <w:color w:val="auto"/>
              </w:rPr>
            </w:pPr>
          </w:p>
        </w:tc>
        <w:tc>
          <w:tcPr>
            <w:tcW w:w="14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20" w:type="dxa"/>
            <w:vAlign w:val="bottom"/>
          </w:tcPr>
          <w:p>
            <w:pPr>
              <w:spacing w:after="0"/>
              <w:rPr>
                <w:sz w:val="15"/>
                <w:szCs w:val="15"/>
                <w:color w:val="auto"/>
              </w:rPr>
            </w:pPr>
          </w:p>
        </w:tc>
        <w:tc>
          <w:tcPr>
            <w:tcW w:w="182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expense</w:t>
            </w:r>
            <w:r>
              <w:rPr>
                <w:rFonts w:ascii="Times New Roman" w:cs="Times New Roman" w:eastAsia="Times New Roman" w:hAnsi="Times New Roman"/>
                <w:sz w:val="19"/>
                <w:szCs w:val="19"/>
                <w:b w:val="1"/>
                <w:bCs w:val="1"/>
                <w:color w:val="auto"/>
                <w:w w:val="94"/>
                <w:vertAlign w:val="superscript"/>
              </w:rPr>
              <w:t>(1)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from the Company</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Complex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Independent directors</w:t>
            </w:r>
          </w:p>
        </w:tc>
        <w:tc>
          <w:tcPr>
            <w:tcW w:w="26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FF0FC"/>
            </w:tcBorders>
          </w:tcPr>
          <w:p>
            <w:pPr>
              <w:spacing w:after="0"/>
              <w:rPr>
                <w:sz w:val="18"/>
                <w:szCs w:val="18"/>
                <w:color w:val="auto"/>
              </w:rPr>
            </w:pPr>
          </w:p>
        </w:tc>
        <w:tc>
          <w:tcPr>
            <w:tcW w:w="17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Adam K. Bernstein</w:t>
            </w:r>
          </w:p>
        </w:tc>
        <w:tc>
          <w:tcPr>
            <w:tcW w:w="174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320" w:type="dxa"/>
            <w:vAlign w:val="bottom"/>
            <w:tcBorders>
              <w:top w:val="single" w:sz="8" w:color="CFF0FC"/>
            </w:tcBorders>
          </w:tcPr>
          <w:p>
            <w:pPr>
              <w:spacing w:after="0"/>
              <w:rPr>
                <w:sz w:val="18"/>
                <w:szCs w:val="18"/>
                <w:color w:val="auto"/>
              </w:rPr>
            </w:pPr>
          </w:p>
        </w:tc>
        <w:tc>
          <w:tcPr>
            <w:tcW w:w="1820" w:type="dxa"/>
            <w:vAlign w:val="bottom"/>
            <w:tcBorders>
              <w:top w:val="single" w:sz="8" w:color="CFF0FC"/>
            </w:tcBorders>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54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251,250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Marshall Brozost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320" w:type="dxa"/>
            <w:vAlign w:val="bottom"/>
            <w:shd w:val="clear" w:color="auto" w:fill="CFF0FC"/>
          </w:tcPr>
          <w:p>
            <w:pPr>
              <w:spacing w:after="0"/>
              <w:rPr>
                <w:sz w:val="18"/>
                <w:szCs w:val="18"/>
                <w:color w:val="auto"/>
              </w:rPr>
            </w:pPr>
          </w:p>
        </w:tc>
        <w:tc>
          <w:tcPr>
            <w:tcW w:w="18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Jeffrey Flug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137,500</w:t>
            </w:r>
          </w:p>
        </w:tc>
        <w:tc>
          <w:tcPr>
            <w:tcW w:w="320" w:type="dxa"/>
            <w:vAlign w:val="bottom"/>
          </w:tcPr>
          <w:p>
            <w:pPr>
              <w:spacing w:after="0"/>
              <w:rPr>
                <w:sz w:val="18"/>
                <w:szCs w:val="18"/>
                <w:color w:val="auto"/>
              </w:rPr>
            </w:pPr>
          </w:p>
        </w:tc>
        <w:tc>
          <w:tcPr>
            <w:tcW w:w="18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Samuel L. Katz</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137,500</w:t>
            </w:r>
          </w:p>
        </w:tc>
        <w:tc>
          <w:tcPr>
            <w:tcW w:w="320" w:type="dxa"/>
            <w:vAlign w:val="bottom"/>
            <w:shd w:val="clear" w:color="auto" w:fill="CFF0FC"/>
          </w:tcPr>
          <w:p>
            <w:pPr>
              <w:spacing w:after="0"/>
              <w:rPr>
                <w:sz w:val="18"/>
                <w:szCs w:val="18"/>
                <w:color w:val="auto"/>
              </w:rPr>
            </w:pPr>
          </w:p>
        </w:tc>
        <w:tc>
          <w:tcPr>
            <w:tcW w:w="18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6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Interested director</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Arthur H. Penn</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shd w:val="clear" w:color="auto" w:fill="CFF0FC"/>
          </w:tcPr>
          <w:p>
            <w:pPr>
              <w:spacing w:after="0"/>
              <w:rPr>
                <w:sz w:val="18"/>
                <w:szCs w:val="18"/>
                <w:color w:val="auto"/>
              </w:rPr>
            </w:pPr>
          </w:p>
        </w:tc>
        <w:tc>
          <w:tcPr>
            <w:tcW w:w="18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3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José A. Briones, Jr.</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tcPr>
          <w:p>
            <w:pPr>
              <w:spacing w:after="0"/>
              <w:rPr>
                <w:sz w:val="18"/>
                <w:szCs w:val="18"/>
                <w:color w:val="auto"/>
              </w:rPr>
            </w:pPr>
          </w:p>
        </w:tc>
        <w:tc>
          <w:tcPr>
            <w:tcW w:w="18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Executive officer</w:t>
            </w:r>
          </w:p>
        </w:tc>
        <w:tc>
          <w:tcPr>
            <w:tcW w:w="2140" w:type="dxa"/>
            <w:vAlign w:val="bottom"/>
            <w:tcBorders>
              <w:bottom w:val="single" w:sz="8" w:color="CFF0FC"/>
            </w:tcBorders>
            <w:gridSpan w:val="3"/>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8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3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Richard T. Allorto, Jr.</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tcPr>
          <w:p>
            <w:pPr>
              <w:spacing w:after="0"/>
              <w:rPr>
                <w:sz w:val="24"/>
                <w:szCs w:val="24"/>
                <w:color w:val="auto"/>
              </w:rPr>
            </w:pPr>
          </w:p>
        </w:tc>
        <w:tc>
          <w:tcPr>
            <w:tcW w:w="18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profit sharing or retirement plan, and directors do not receive any pension or retirement benefits from us.</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Allorto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6630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Party Transactions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investment activities are managed by the Adviser and supervised by the Board, of which two-thirds of the members are Independent Directors. The Company’s Investment Advisory Management Agreement with the Adviser (the “Investment Management Agreement”) was most recently amended and restated in April 2019 and re-approved by the Board, including a majority of the Independent Directors, in May 2024. Under the Investment Management Agreement, the Adviser, subject to the overall supervision of the Board, manages the day-to-day operations of and provides investment advisory services to the Company. For providing these services, the Adviser receives a fee from the Company, consisting of two components: a base management fee and an incentive fee. For the fiscal year ended September 30, 2024, the Adviser earned a base management fee of $16.7 million and an incentive fee of $12.7 million from the Company.</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Administration Agreement with the Administrator was re-approved by the Board, including a majority of the Independent Directors, in May 2024 and was amended (as amended, the "Administration Agreement") with Board approval, including a majority of the Independent Directors, on July 1, 2022. Under the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Corporate Counsel and their respective staffs. The Company’s Chief Financial Officer is a Managing Director of the Administrator. For the fiscal year ended September 30, 2024, the Adviser and the Administrator, collectively, were reimbursed $1.2 million from the Company for the services described above.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Adviser has granted a non-exclusive, royalty-free license to the Company to use the name “PennantPark.”</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pursuant to the terms of the Administration Agreement, the Administrator provides the Company with the office facilities and administrative services necessary to conduct its day-to-day operations. Arthur H. Penn is the managing member of the Adviser and the Administrator.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in consultation with the Company’s Chief Executive Officer, CCO and legal counsel, has established a written policy to govern the review of potential related party transactions. The Audit Committee of the Board conducts quarterly reviews of any potential related party transactions and, during these reviews, it also considers any conflicts of interest brought to its attention pursuant to the Company’s Code of Conduct or Joint Code of Ethics.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SELECTION OF INDEPENDENT REGISTERED PUBLIC ACCOUNTING FIRM</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RSM has been selected as the independent registered public accounting firm to audit the consolidated financial statements of the Company and its subsidiaries on and during the Company’s fiscal year ending September 30, 2025. RSM was selected by the Audit Committee, and that selection was ratified by a majority of the Board, including all of the Independent Directors, by a vote cast during the Company’s most recent Board meeting. This selection is subject to ratification or rejection by the Stockholders of the Company. The Company does not know of any direct or indirect financial interest of RSM in the Company. Representative(s) of RSM will attend the Annual Meeting and will have the opportunity to make a statement if they desire to do so and will be available to answer questions.</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aggregate fees by RSM were billed to the Company for work attributed to audit, tax and other services provided to the Company for the fiscal years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118745</wp:posOffset>
            </wp:positionV>
            <wp:extent cx="93980" cy="136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118745</wp:posOffset>
            </wp:positionV>
            <wp:extent cx="93980" cy="136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3652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62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3160" w:type="dxa"/>
            <w:vAlign w:val="bottom"/>
            <w:tcBorders>
              <w:top w:val="single" w:sz="8" w:color="auto"/>
              <w:bottom w:val="single" w:sz="8" w:color="auto"/>
            </w:tcBorders>
          </w:tcPr>
          <w:p>
            <w:pPr>
              <w:jc w:val="right"/>
              <w:ind w:right="1253"/>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4"/>
                <w:szCs w:val="14"/>
                <w:color w:val="auto"/>
              </w:rPr>
            </w:pPr>
          </w:p>
        </w:tc>
      </w:tr>
      <w:tr>
        <w:trPr>
          <w:trHeight w:val="210"/>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2620" w:type="dxa"/>
            <w:vAlign w:val="bottom"/>
            <w:shd w:val="clear" w:color="auto" w:fill="CFF0FC"/>
          </w:tcPr>
          <w:p>
            <w:pPr>
              <w:jc w:val="right"/>
              <w:ind w:right="24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620,210</w:t>
            </w:r>
          </w:p>
        </w:tc>
        <w:tc>
          <w:tcPr>
            <w:tcW w:w="110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535,775</w:t>
            </w:r>
          </w:p>
        </w:tc>
        <w:tc>
          <w:tcPr>
            <w:tcW w:w="100" w:type="dxa"/>
            <w:vAlign w:val="bottom"/>
            <w:shd w:val="clear" w:color="auto" w:fill="CFF0FC"/>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Related Fees</w:t>
            </w:r>
          </w:p>
        </w:tc>
        <w:tc>
          <w:tcPr>
            <w:tcW w:w="2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26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shd w:val="clear" w:color="auto" w:fill="CFF0FC"/>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26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shd w:val="clear" w:color="auto" w:fill="CFF0FC"/>
          </w:tcPr>
          <w:p>
            <w:pPr>
              <w:jc w:val="right"/>
              <w:ind w:right="24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705,541</w:t>
            </w:r>
          </w:p>
        </w:tc>
        <w:tc>
          <w:tcPr>
            <w:tcW w:w="110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555,275</w:t>
            </w:r>
          </w:p>
        </w:tc>
        <w:tc>
          <w:tcPr>
            <w:tcW w:w="100" w:type="dxa"/>
            <w:vAlign w:val="bottom"/>
            <w:shd w:val="clear" w:color="auto" w:fill="CFF0FC"/>
          </w:tcPr>
          <w:p>
            <w:pPr>
              <w:spacing w:after="0"/>
              <w:rPr>
                <w:sz w:val="18"/>
                <w:szCs w:val="18"/>
                <w:color w:val="auto"/>
              </w:rPr>
            </w:pPr>
          </w:p>
        </w:tc>
      </w:tr>
    </w:tbl>
    <w:p>
      <w:pPr>
        <w:spacing w:after="0" w:line="223"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professional services rendered for the audit of our year-end financial statements and services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normally provided in connection with statutory and regulatory filings.</w:t>
      </w:r>
    </w:p>
    <w:p>
      <w:pPr>
        <w:spacing w:after="0" w:line="15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7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fees billed for professional services for tax compliance. These services include assistance regarding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tax compliance.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Other fees would include fees billed for products and services other than the services reported above.</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Company during the fiscal year ended September 30, 2024 were approved by the Audit Committee in accordance with such policy.</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of the Company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Company management.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spacing w:after="0" w:line="298"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RATIFICATION OF RSM AS INDEPENDENT REGISTERED PUBLIC ACCOUNTING FIRM TO THE COMPANY FOR THE FISCAL YEAR ENDING SEPTEMBER 30,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Report </w:t>
      </w:r>
      <w:r>
        <w:rPr>
          <w:rFonts w:ascii="Times New Roman" w:cs="Times New Roman" w:eastAsia="Times New Roman" w:hAnsi="Times New Roman"/>
          <w:sz w:val="24"/>
          <w:szCs w:val="24"/>
          <w:b w:val="1"/>
          <w:bCs w:val="1"/>
          <w:i w:val="1"/>
          <w:iCs w:val="1"/>
          <w:color w:val="auto"/>
          <w:vertAlign w:val="superscript"/>
        </w:rPr>
        <w:t>(1)</w:t>
      </w:r>
    </w:p>
    <w:p>
      <w:pPr>
        <w:spacing w:after="0" w:line="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the report of the Audit Committee with respect to the Company’s audited financial statements for the fiscal year ended September 30, 2024.</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with management and RSM, the Company’s independent registered public accounting firm, with and without management present. The Audit Committee included in its review results of RSM’s audits,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systems are adequate and that the Company employs appropriate accounting procedures.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the Audit Committee has discussed with RSM its independence from management and the Company, as well as the matters in the written disclosures received from RSM and required by Public Company Accounting Oversight Board Rule 3520 (Auditor Independence). The Audit Committee received a report from RSM confirming its independence and discussed the report with RSM. The Audit Committee discussed and reviewed with RSM the Company’s critical accounting policies and practices, internal controls, other material written communications to management and the scope of RSM’s audits and all fees paid to RSM during the fiscal year. The Audit Committee adopted guidelines requiring review and pre-approval by the Audit Committee of audit and non-audit services performed by RSM for the Company. The Audit Committee has reviewed and considered the compatibility of RSM’s performance of non-audit services with the maintenance of RSM’s independence as the Company’s independent registered public accounting firm.</w:t>
      </w:r>
    </w:p>
    <w:p>
      <w:pPr>
        <w:spacing w:after="0" w:line="18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Based on the Audit Committee’s review and discussions referred to above, the Audit Committee recommended to the Board (and the Board has approved) that the Company’s audited financial statements be included in the Annual Report for filing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Jeffrey Flug,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Samuel L. Katz,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Marshall Brozost</w:t>
      </w:r>
    </w:p>
    <w:p>
      <w:pPr>
        <w:spacing w:after="0" w:line="261" w:lineRule="exact"/>
        <w:rPr>
          <w:sz w:val="20"/>
          <w:szCs w:val="20"/>
          <w:color w:val="auto"/>
        </w:rPr>
      </w:pPr>
    </w:p>
    <w:p>
      <w:pPr>
        <w:ind w:left="520" w:right="1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into any filing of the Company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16630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OTHER BUSINESS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 that is likely to come before the Annual Meeting or that may properly come before the Annual Meeting, apart from the consideration of an adjournment or postponement. If any other matter properly comes before the Annual Meeting, however, the persons named in the proxies will vote on such matter in their discretion.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 sufficient number of shares are not present to establish a quorum for the Annual Meeting or there are not sufficient votes to approve a proposal at the Annual Meeting, the chairman of the Annual Meeting may adjourn the Annual Meeting with respect to the Company to permit the further solicitation of proxies.</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ANNUAL AND QUARTERLY REPORTS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Copies of the Company’s Annual Reports on Form 10-K, Quarterly Reports on Form 10-Q and Current Reports on Form 8-K are available at our website (http://www.pennantpark.com) or without charge upon request. Please direct your request to PennantPark, Attention: Investor Relations, 1691 Michigan Avenue Miami Beach, Florida 33139. Copies of such reports are also posted via the SEC’s Electronic Data Gathering, Analysis, and Retrieval system available on the SEC’s website (http://www.sec.gov).</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Whether or not you expect to participate in the virtual Annual Meeting, please follow the instructions on the Notice of Internet Availability of Proxy Materials to authorize your proxy via the Internet or telephone, or request, sign, date and return a proxy card so that you may be represented at the Annual Meeting. The Annual Meeting will be a completely virtual meeting of Stockholders and will be conducted exclusively by webcast. To participate in the Annual Meeting, visit www.virtualshareholdermeeting.com/PNNT2025, and enter the 16-digit Control Number included in your Notice of Internet Availability of Proxy Materials. Online check-in will begin at 9:15 a.m., Eastern Time. Please allow time for online check-in procedures. For questions regarding the virtual Annual Meeting please call the support number that will be posted on the virtual Annual Meeting platform log-in page atwww.virtualshareholdermeeting.com/PNNT2025.</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SUBMISSION OF STOCKHOLDER PROPOSALS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expects to hold its 2026 Annual Meeting of Stockholders in February 2026, but the exact date, time and location of such meeting have yet to be determined. Pursuant to Rule 14a-8 of the Exchange Act, a Stockholder of the Company who intends to present a proposal at that meeting, including nomination of a director, must submit the proposal in writing addressed to Thomas J. Friedmann, Secretary, c/o PennantPark, 1691 Michigan Avenue, Miami Beach, Florida 33139. Such proposal must also comply with the requirements as to form and substance established by the SEC if such proposal is to be included in the proxy statement and form of proxy. In addition, our Bylaws require that notices of intention to present proposals, including nomination of a director, at the 2026 Annual Meeting of Stockholders must be received by the Company between July 28, 2025 and August 27, 2025 and contain the information required therein. The submission of a proposal does not guarantee its inclusion in the Company’s proxy statement or presentation at the meeting unless certain securities law requirements are met. The Company reserves the right to reject, rule out of order or to take other appropriate action with respect to any proposal that does not comply with these and other applicable requirements.</w:t>
      </w:r>
    </w:p>
    <w:p>
      <w:pPr>
        <w:spacing w:after="0" w:line="188"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The Audit Committee of the Board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involving the CCO, may submit complaints directly to the Audit Committee’s Co-Chairs. Complaints may be submitted on an anonymous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CCO may be contacted at: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Co-Chairs may be contacted at: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Messrs. Jeffrey Flug and/or Samuel L. Katz</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Audit Committee Co-Chair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200" w:lineRule="exact"/>
        <w:rPr>
          <w:sz w:val="20"/>
          <w:szCs w:val="20"/>
          <w:color w:val="auto"/>
        </w:rPr>
      </w:pPr>
    </w:p>
    <w:p>
      <w:pPr>
        <w:spacing w:after="0" w:line="22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in person (virtually). Whether or not you plan to attend the Annual Meeting, you are requested to vote in accordance with the voting instructions in the Notice of Internet Availability of Proxy Materials, or by requesting and promptly returning a completed, dated and signed proxy card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020" cy="4032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02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8957310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8862695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9128760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8948420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upperLetter"/>
      <w:start w:val="35"/>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2024-12-11T15:10:18Z</dcterms:created>
  <dcterms:modified xsi:type="dcterms:W3CDTF">2024-12-11T15:10:18Z</dcterms:modified>
</cp:coreProperties>
</file>