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30, 2008.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No. 333-150033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1 </w:t>
      </w:r>
      <w:r>
        <w:rPr>
          <w:rFonts w:ascii="MS PGothic" w:cs="MS PGothic" w:eastAsia="MS PGothic" w:hAnsi="MS PGothic"/>
          <w:sz w:val="18"/>
          <w:szCs w:val="18"/>
          <w:color w:val="auto"/>
          <w:highlight w:val="black"/>
        </w:rPr>
        <w:t>☑</w:t>
      </w:r>
    </w:p>
    <w:p>
      <w:pPr>
        <w:spacing w:after="0" w:line="1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Friedmann, Esq.</w:t>
      </w:r>
    </w:p>
    <w:p>
      <w:pPr>
        <w:jc w:val="center"/>
        <w:spacing w:after="0" w:line="223"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31" w:lineRule="exact"/>
        <w:rPr>
          <w:sz w:val="24"/>
          <w:szCs w:val="24"/>
          <w:color w:val="auto"/>
        </w:rPr>
      </w:pPr>
    </w:p>
    <w:p>
      <w:pPr>
        <w:ind w:left="540" w:hanging="19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600" w:type="dxa"/>
            <w:vAlign w:val="bottom"/>
            <w:tcBorders>
              <w:right w:val="single" w:sz="8" w:color="auto"/>
            </w:tcBorders>
          </w:tcPr>
          <w:p>
            <w:pPr>
              <w:jc w:val="center"/>
              <w:ind w:left="15"/>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5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6"/>
              <w:spacing w:after="0"/>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5"/>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16"/>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69"/>
        </w:trPr>
        <w:tc>
          <w:tcPr>
            <w:tcW w:w="20" w:type="dxa"/>
            <w:vAlign w:val="bottom"/>
            <w:tcBorders>
              <w:bottom w:val="single" w:sz="8" w:color="auto"/>
            </w:tcBorders>
          </w:tcPr>
          <w:p>
            <w:pPr>
              <w:spacing w:after="0"/>
              <w:rPr>
                <w:sz w:val="14"/>
                <w:szCs w:val="14"/>
                <w:color w:val="auto"/>
              </w:rPr>
            </w:pPr>
          </w:p>
        </w:tc>
        <w:tc>
          <w:tcPr>
            <w:tcW w:w="50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Common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5"/>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color w:val="auto"/>
              </w:rPr>
              <w:t>$</w:t>
            </w: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Preferred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Warrants</w:t>
            </w:r>
            <w:r>
              <w:rPr>
                <w:rFonts w:ascii="Arial" w:cs="Arial" w:eastAsia="Arial" w:hAnsi="Arial"/>
                <w:sz w:val="19"/>
                <w:szCs w:val="19"/>
                <w:color w:val="auto"/>
                <w:vertAlign w:val="superscript"/>
              </w:rPr>
              <w:t>(3)</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Subscription Rights</w:t>
            </w:r>
            <w:r>
              <w:rPr>
                <w:rFonts w:ascii="Arial" w:cs="Arial" w:eastAsia="Arial" w:hAnsi="Arial"/>
                <w:sz w:val="19"/>
                <w:szCs w:val="19"/>
                <w:color w:val="auto"/>
                <w:vertAlign w:val="superscript"/>
              </w:rPr>
              <w:t>(4)</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Debt Securities</w:t>
            </w:r>
            <w:r>
              <w:rPr>
                <w:rFonts w:ascii="Arial" w:cs="Arial" w:eastAsia="Arial" w:hAnsi="Arial"/>
                <w:sz w:val="19"/>
                <w:szCs w:val="19"/>
                <w:color w:val="auto"/>
                <w:vertAlign w:val="superscript"/>
              </w:rPr>
              <w:t>(5)</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5"/>
              <w:spacing w:after="0" w:line="169" w:lineRule="exact"/>
              <w:rPr>
                <w:sz w:val="20"/>
                <w:szCs w:val="20"/>
                <w:color w:val="auto"/>
              </w:rPr>
            </w:pPr>
            <w:r>
              <w:rPr>
                <w:rFonts w:ascii="Arial" w:cs="Arial" w:eastAsia="Arial" w:hAnsi="Arial"/>
                <w:sz w:val="12"/>
                <w:szCs w:val="12"/>
                <w:color w:val="auto"/>
                <w:w w:val="97"/>
              </w:rPr>
              <w:t>250,000,000</w:t>
            </w:r>
            <w:r>
              <w:rPr>
                <w:rFonts w:ascii="Arial" w:cs="Arial" w:eastAsia="Arial" w:hAnsi="Arial"/>
                <w:sz w:val="19"/>
                <w:szCs w:val="19"/>
                <w:color w:val="auto"/>
                <w:w w:val="97"/>
                <w:vertAlign w:val="superscript"/>
              </w:rPr>
              <w:t>(6)</w:t>
            </w:r>
          </w:p>
        </w:tc>
        <w:tc>
          <w:tcPr>
            <w:tcW w:w="1560" w:type="dxa"/>
            <w:vAlign w:val="bottom"/>
          </w:tcPr>
          <w:p>
            <w:pPr>
              <w:jc w:val="center"/>
              <w:ind w:left="16"/>
              <w:spacing w:after="0" w:line="169" w:lineRule="exact"/>
              <w:rPr>
                <w:sz w:val="20"/>
                <w:szCs w:val="20"/>
                <w:color w:val="auto"/>
              </w:rPr>
            </w:pPr>
            <w:r>
              <w:rPr>
                <w:rFonts w:ascii="Arial" w:cs="Arial" w:eastAsia="Arial" w:hAnsi="Arial"/>
                <w:sz w:val="12"/>
                <w:szCs w:val="12"/>
                <w:color w:val="auto"/>
                <w:w w:val="96"/>
              </w:rPr>
              <w:t>9,825</w:t>
            </w:r>
            <w:r>
              <w:rPr>
                <w:rFonts w:ascii="Arial" w:cs="Arial" w:eastAsia="Arial" w:hAnsi="Arial"/>
                <w:sz w:val="19"/>
                <w:szCs w:val="19"/>
                <w:color w:val="auto"/>
                <w:w w:val="96"/>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120"/>
        <w:spacing w:after="0" w:line="249" w:lineRule="auto"/>
        <w:rPr>
          <w:sz w:val="20"/>
          <w:szCs w:val="20"/>
          <w:color w:val="auto"/>
        </w:rPr>
      </w:pPr>
      <w:r>
        <w:rPr>
          <w:rFonts w:ascii="Arial" w:cs="Arial" w:eastAsia="Arial" w:hAnsi="Arial"/>
          <w:sz w:val="18"/>
          <w:szCs w:val="18"/>
          <w:b w:val="1"/>
          <w:bCs w:val="1"/>
          <w:color w:val="DE1A1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May 30, 2008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(the “1940 Act”).</w:t>
      </w:r>
    </w:p>
    <w:p>
      <w:pPr>
        <w:ind w:right="240" w:firstLine="456"/>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We fund a portion of our investments with borrowed money, a practice commonly known as leverage. We can offer no assurances that we will achieve our investment objectives.</w:t>
      </w:r>
    </w:p>
    <w:p>
      <w:pPr>
        <w:spacing w:after="0" w:line="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under the symbol “PNNT”. The last reported closing price for our common stock on May 21, 2008 was $8.15 per share.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This prospectus and any accompanying prospectus supplement contains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0"/>
          <w:szCs w:val="20"/>
          <w:color w:val="auto"/>
        </w:rPr>
      </w:pPr>
    </w:p>
    <w:p>
      <w:pPr>
        <w:ind w:right="1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a high degree of risk, including the risk of the use of leverage. Before buying any shares of our common stock, you should read the discussion of the material risks of investing in the Company in “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dated (May 30, 2008)</w:t>
      </w:r>
    </w:p>
    <w:p>
      <w:pPr>
        <w:sectPr>
          <w:pgSz w:w="11900" w:h="16838" w:orient="portrait"/>
          <w:cols w:equalWidth="0" w:num="1">
            <w:col w:w="11420"/>
          </w:cols>
          <w:pgMar w:left="240" w:top="269" w:right="239" w:bottom="1440" w:gutter="0" w:footer="0" w:header="0"/>
        </w:sectPr>
      </w:pPr>
    </w:p>
    <w:bookmarkStart w:id="2" w:name="page3"/>
    <w:bookmarkEnd w:id="2"/>
    <w:p>
      <w:pPr>
        <w:ind w:right="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PRICE RANGE OF COMMON STOCK</w:t>
              </w:r>
            </w:hyperlink>
          </w:p>
        </w:tc>
        <w:tc>
          <w:tcPr>
            <w:tcW w:w="5800" w:type="dxa"/>
            <w:vAlign w:val="bottom"/>
            <w:tcBorders>
              <w:top w:val="single" w:sz="8" w:color="0000EE"/>
            </w:tcBorders>
            <w:gridSpan w:val="14"/>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BUSINESS</w:t>
              </w:r>
            </w:hyperlink>
          </w:p>
        </w:tc>
        <w:tc>
          <w:tcPr>
            <w:tcW w:w="1022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Part C OTHER INFORMATION</w:t>
              </w:r>
            </w:hyperlink>
          </w:p>
        </w:tc>
        <w:tc>
          <w:tcPr>
            <w:tcW w:w="87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SUMMARY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 w:name="page6"/>
    <w:bookmarkEnd w:id="5"/>
    <w:p>
      <w:pPr>
        <w:ind w:right="4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 having served for a decade as a Director at BlackRock, Inc., a leading investment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60" w:hanging="325"/>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believe the in-depth coverage and experience of Mr. Penn, as well as that of the other investment professionals of our Investment Adviser, enable us to invest throughout various stages of the economic cycle and provide us with ongoing market insights in addition to a significant investment sourcing engine.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opportunities generally has increased prior to downturn in the credit market which began in mid-2007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had intensified. However, we believe that there has been a reduction in the amount of debt capital available for lending in leveraged buyout transactions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five-year, multi-currency $300 million senior secured credit facility with a group of lenders, under which we had $10 million and $194.5 million of indebtedness outstanding (including an $80.0 million temporary draw) at September 30, 2007 and March 31, 2008 , respectively. Pricing on borrowings under our credit facility is set at 100 basis points over LIBOR. We expect that our substantial debt capital resources will provide us with the flexibility to take advantage of market opportunities when they arise. See note 11 to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PennantPark.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We have elected to be treated for federal income tax purposes as a regulated investment company or “RIC.” For more information, see “Material U.S. Federal Income Tax Considerations.”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March 31, 2008,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may offer, from time to time, up to $250,000,000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right="200" w:firstLine="456"/>
        <w:spacing w:after="0" w:line="227"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Our common stock is quoted on NASDAQ under the symbol “PNNT”. Our Internet website address is www.pennantpark.com.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Sales load (as a percentage of offering price) %</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10820" w:type="dxa"/>
            <w:vAlign w:val="bottom"/>
            <w:vMerge w:val="restart"/>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 %</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20" w:type="dxa"/>
            <w:vAlign w:val="bottom"/>
            <w:vMerge w:val="continue"/>
          </w:tcPr>
          <w:p>
            <w:pPr>
              <w:spacing w:after="0"/>
              <w:rPr>
                <w:sz w:val="24"/>
                <w:szCs w:val="24"/>
                <w:color w:val="auto"/>
              </w:rPr>
            </w:pPr>
          </w:p>
        </w:tc>
        <w:tc>
          <w:tcPr>
            <w:tcW w:w="600" w:type="dxa"/>
            <w:vAlign w:val="bottom"/>
            <w:gridSpan w:val="2"/>
          </w:tcPr>
          <w:p>
            <w:pPr>
              <w:jc w:val="right"/>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22"/>
                <w:szCs w:val="22"/>
                <w:b w:val="1"/>
                <w:bCs w:val="1"/>
                <w:color w:val="auto"/>
                <w:vertAlign w:val="superscript"/>
              </w:rPr>
              <w:t>(4)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Management fees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3.18%</w:t>
            </w:r>
            <w:r>
              <w:rPr>
                <w:rFonts w:ascii="Arial" w:cs="Arial" w:eastAsia="Arial" w:hAnsi="Arial"/>
                <w:sz w:val="22"/>
                <w:szCs w:val="22"/>
                <w:color w:val="auto"/>
                <w:w w:val="84"/>
                <w:vertAlign w:val="superscript"/>
              </w:rPr>
              <w:t>(5)</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1.34%</w:t>
            </w:r>
            <w:r>
              <w:rPr>
                <w:rFonts w:ascii="Arial" w:cs="Arial" w:eastAsia="Arial" w:hAnsi="Arial"/>
                <w:sz w:val="22"/>
                <w:szCs w:val="22"/>
                <w:color w:val="auto"/>
                <w:w w:val="84"/>
                <w:vertAlign w:val="superscript"/>
              </w:rPr>
              <w:t>(6)</w:t>
            </w: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2.55%</w:t>
            </w:r>
            <w:r>
              <w:rPr>
                <w:rFonts w:ascii="Arial" w:cs="Arial" w:eastAsia="Arial" w:hAnsi="Arial"/>
                <w:sz w:val="22"/>
                <w:szCs w:val="22"/>
                <w:color w:val="auto"/>
                <w:w w:val="84"/>
                <w:vertAlign w:val="superscript"/>
              </w:rPr>
              <w:t>(7)</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2.20%</w:t>
            </w:r>
            <w:r>
              <w:rPr>
                <w:rFonts w:ascii="Arial" w:cs="Arial" w:eastAsia="Arial" w:hAnsi="Arial"/>
                <w:sz w:val="22"/>
                <w:szCs w:val="22"/>
                <w:color w:val="auto"/>
                <w:w w:val="84"/>
                <w:vertAlign w:val="superscript"/>
              </w:rPr>
              <w:t>(8)</w:t>
            </w:r>
          </w:p>
        </w:tc>
        <w:tc>
          <w:tcPr>
            <w:tcW w:w="0" w:type="dxa"/>
            <w:vAlign w:val="bottom"/>
          </w:tcPr>
          <w:p>
            <w:pPr>
              <w:spacing w:after="0"/>
              <w:rPr>
                <w:sz w:val="1"/>
                <w:szCs w:val="1"/>
                <w:color w:val="auto"/>
              </w:rPr>
            </w:pPr>
          </w:p>
        </w:tc>
      </w:tr>
      <w:tr>
        <w:trPr>
          <w:trHeight w:val="398"/>
        </w:trPr>
        <w:tc>
          <w:tcPr>
            <w:tcW w:w="10820" w:type="dxa"/>
            <w:vAlign w:val="bottom"/>
          </w:tcPr>
          <w:p>
            <w:pPr>
              <w:spacing w:after="0"/>
              <w:rPr>
                <w:sz w:val="20"/>
                <w:szCs w:val="20"/>
                <w:color w:val="auto"/>
              </w:rPr>
            </w:pPr>
            <w:r>
              <w:rPr>
                <w:rFonts w:ascii="Arial" w:cs="Arial" w:eastAsia="Arial" w:hAnsi="Arial"/>
                <w:sz w:val="18"/>
                <w:szCs w:val="18"/>
                <w:b w:val="1"/>
                <w:bCs w:val="1"/>
                <w:color w:val="auto"/>
              </w:rPr>
              <w:t>Total annual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4"/>
              </w:rPr>
              <w:t>9.27%</w:t>
            </w:r>
            <w:r>
              <w:rPr>
                <w:rFonts w:ascii="Arial" w:cs="Arial" w:eastAsia="Arial" w:hAnsi="Arial"/>
                <w:sz w:val="22"/>
                <w:szCs w:val="22"/>
                <w:color w:val="auto"/>
                <w:w w:val="84"/>
                <w:vertAlign w:val="superscript"/>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right="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of our dividend reinvestment plan are included in “other expenses” because they are not material expenses.</w:t>
      </w:r>
    </w:p>
    <w:p>
      <w:pPr>
        <w:spacing w:after="0" w:line="76" w:lineRule="exact"/>
        <w:rPr>
          <w:rFonts w:ascii="Arial" w:cs="Arial" w:eastAsia="Arial" w:hAnsi="Arial"/>
          <w:sz w:val="18"/>
          <w:szCs w:val="18"/>
          <w:color w:val="auto"/>
        </w:rPr>
      </w:pPr>
    </w:p>
    <w:p>
      <w:pPr>
        <w:ind w:left="460" w:right="14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assets attributable to common shares” equal net assets at March 31, 2008. We intend to use proceeds from an offering of securities under this prospectus to repay outstanding obligations under our credit facility. Any such repayments would reduce our indebtedness and interest payments on borrowings under our credit facility. We plan to continue to borrow amounts under our credit facility to make portfolio investments after completing any such offering and are permitted to do so under the terms of our credit facility. The timing of such investments and any such incurrence of debt is uncertain and will depend on the size of such offering, prevailing interest rates and our rate of investment. Accordingly, we believe that our capital structure as of March 31, 2008 provides a useful approximation of interest payments and credit facility expenses attributable to our common shares.</w:t>
      </w:r>
    </w:p>
    <w:p>
      <w:pPr>
        <w:spacing w:after="0" w:line="25" w:lineRule="exact"/>
        <w:rPr>
          <w:rFonts w:ascii="Arial" w:cs="Arial" w:eastAsia="Arial" w:hAnsi="Arial"/>
          <w:sz w:val="16"/>
          <w:szCs w:val="16"/>
          <w:color w:val="auto"/>
        </w:rPr>
      </w:pPr>
    </w:p>
    <w:p>
      <w:pPr>
        <w:ind w:left="460" w:right="6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six months ended March 31, 2008, annualized for a full year. However, such incentive fees are based on performance, will vary from year to year and will not be paid unless our performance exceeds specified thresholds. Incentive fees in respect of net investment income do not include net capital gains, to which the Investment Adviser is entitled to a 20% incentive fee with no threshold. As we cannot predict whether we will meet these thresholds, the incentive fee paid in future years, if any, may be substantially different than the fee earned during the six months ended March 31,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ind w:left="460" w:right="1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payments on borrowed funds” represents interest and other credit facility related fees incurred and amortization of debt issuance costs during the six months ended March 31, 2008 annualized for a full year. As of March 31, 2008, we had $105.5 million unused and $194.5 million in borrowings outstanding (including an $80.0 million temporary draw) under our $300.0 million credit facility. For more information, see “Risk Factors—We currently use borrowed funds to make investments and are exposed to the typical risks associated with leverage.”</w:t>
      </w:r>
    </w:p>
    <w:p>
      <w:pPr>
        <w:spacing w:after="0" w:line="18"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six months ended March 31, 2008 annualized for a full year. See our “Consolidated Statement of Operations” in our financial statements.</w:t>
      </w:r>
    </w:p>
    <w:p>
      <w:pPr>
        <w:spacing w:after="0" w:line="4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5.83% of total assets. For a presentation and calculation of total annual expenses based on total assets, see page 28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7.93%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$ 119</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$ 262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$ 397</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700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objectives and that the value of our common stock could decline substantially.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10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make long-term, subordinated loans and invest in equity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which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financial condition and results of operation will depend on our ability to manage future growth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middle-market companies. As a result of these new entrants, competition for investment opportunities at middle-market companies has intensified.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PennantPark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or thinly traded public companies, cash, cash equivalents, U.S. government securities and other high quality debt investments that mature in one year or less. These constraints may hinder our Investment Adviser’s ability to take advantage of attractive investment opportunities and to achieve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3" w:name="page14"/>
    <w:bookmarkEnd w:id="1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objectives. Mr. Penn, our Chief Executive Officer and the Managing Member of our Investment Adviser, has had more than one year of experience managing the investments of PennantPark and approximately three years of experience managing another business development company. However, current market conditions and the current stage of the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for any reason and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to purchase certain of our securities, the issuance of subscription rights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40" w:hanging="325"/>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taking into account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the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3"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Securitization. </w:t>
      </w:r>
      <w:r>
        <w:rPr>
          <w:rFonts w:ascii="Arial" w:cs="Arial" w:eastAsia="Arial" w:hAnsi="Arial"/>
          <w:sz w:val="18"/>
          <w:szCs w:val="18"/>
          <w:color w:val="auto"/>
        </w:rPr>
        <w:t>In addition to issuing securities to raise capital as described above, we anticipate that in the future, as market conditions permit,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 w:name="page16"/>
    <w:bookmarkEnd w:id="15"/>
    <w:p>
      <w:pPr>
        <w:ind w:left="920"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our loan portfolio might expose us to losses as the residual loans in which we do not sell interests will tend to be those that are riskier and more apt to generate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value of our common stock than it would if we did not use debt. Our ability to pay distributions is restricted when our asset coverage ratio is not at least 200% and any amounts that we use to service our indebtedness is not available for distribution to our common stockholders.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indebtedness outstanding pursuant to our $300 million revolving credit facility and expect in the future to borrow additional amounts under our credit facility and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March 31, 2008 we had outstanding borrowings of $194.5 million (including an $80.0 million temporary draw) under our credit facility with an annual interest rate at that time of 5.41%. Accordingly, to cover the annual interest on our borrowings outstanding at March 31, 2008 at the then current rate we would have to receive an annual return of at least 1.3%. This projection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BDC,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 w:name="page17"/>
    <w:bookmarkEnd w:id="16"/>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is designed to illustrate the effect on return to a holder of our common stock of the leverage created by our use of borrowing at March 31, 2008 of 33% of our total assets (including such borrowed funds), at the weighted average annual interest rate of 5.41%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22"/>
                <w:szCs w:val="22"/>
                <w:color w:val="auto"/>
                <w:vertAlign w:val="superscript"/>
              </w:rPr>
              <w:t>(1)</w:t>
            </w:r>
          </w:p>
        </w:tc>
        <w:tc>
          <w:tcPr>
            <w:tcW w:w="2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3"/>
        </w:trPr>
        <w:tc>
          <w:tcPr>
            <w:tcW w:w="54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76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March 31, 2008, the applicable LIBOR rate has decreased from 5.32% to 2.69%.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w:t>
      </w:r>
    </w:p>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must take preference over any dividends or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to our common stockholders, and preferred stockholders are not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8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dividends on such preferred stock are in arrears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if the subscription price or warrant price is less than our net asset value per share of common stock at the time of such offering, then our stockholders would experience an immediate dilution of the aggregate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partners of our Investment Adviser may serve as officers, directors or principals of entities that operate in the same or a related line of business as we do or of investment funds managed by affiliates of PennantPark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0" w:name="page21"/>
    <w:bookmarkEnd w:id="20"/>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will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of our investments are recorded using broker/dealers quotes, or at fair value as determined in good faith by our board of directors. As a result, there will be uncertainty as to the value of our portfolio investments. We expect that a large percentage of our portfolio investments will be in the form of securities that have no broker/dealers quotes. The fair value of such securities may not be readily determinable. We value these securities quarterly at fair value as determined in good faith by our board of directors.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At March 31, 2008, most of our portfolio assets were recorded using broker/dealers quotes.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4" w:right="259" w:bottom="1440" w:gutter="0" w:footer="0" w:header="0"/>
        </w:sectPr>
      </w:pPr>
    </w:p>
    <w:bookmarkStart w:id="21" w:name="page22"/>
    <w:bookmarkEnd w:id="2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value each individual investment on a quarterly basis and record unrealized depreciation for an investment that we believe has become impaired, including where collection of a loan or realization of an equity investment is doubtful, or when the enterprise value of the portfolio company does not currently support the cost of our debt or equity investment. Enterprise value means the entire value of the company to a potential buyer, including the sum of the values of debt and equity investments used to capitalize the enterprise at a point in time. We will record unrealized appreciation if we believe that the underlying portfolio company has appreciated in value. Without a readily available market value and because of the inherent uncertainty of valuation, the fair value of our investments determined in good faith by the board of directors may differ significantly from the values that would have been used had a ready market existed for the investments, and the differences could be material. Our net asset value could be affected if our determination of the fair value of our investments is materially different than the value that we ultimately realize.</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2" w:name="page23"/>
    <w:bookmarkEnd w:id="2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Even the market for senior secured debt securities and other over-the-counter traded securities has weakened as the viability of any over-the-counter secondary market depends on the continued willingness of dealers and other participants to purchase the securities, which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effective July 2008,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 w:name="page25"/>
    <w:bookmarkEnd w:id="24"/>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financial experts believe that we are about to enter into a recession or are already in a recession. 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8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 w:name="page27"/>
    <w:bookmarkEnd w:id="26"/>
    <w:p>
      <w:pPr>
        <w:ind w:right="4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7" w:name="page28"/>
    <w:bookmarkEnd w:id="27"/>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80"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at $8.51 and $13.40 as of March 31, 2008 and September 30, 2007, respectively. Our NAV was $10.26 and $12.83, as of March 31, 2008 and September 30, 2007,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(“SEC”), including annual reports on Form 10-K,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2008, we had $105.5 million unused and $194.5 million (including an $80.0 million temporary draw) in borrowings outstanding under our $300 million credit facility. Borrowings under our credit facility bear an interest rate equal to LIBOR + 100 basis points, per annum. At March 31, 2008, this corresponded to an interest rate of 5.41%. The credit facility is a five-year revolving facility with a stated maturity date of June 25, 2012 and is secured by substantially all of the assets in our investment portfolio. See “Credit Facility” in notes to the financial statements for more information.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invest proceeds from an offering of securities in new or existing portfolio companies, such investments may take up to two years from the closing of such offering, in part because privately negotiated investments in illiquid securities or private middle-market companies require substantial due diligence and structuring. During this period, we would expect to invest such proceeds in first lien secured debt, cash or cash equivalents. We expect to earn yields on such proceeds that are substantially lower than the interest income that we anticipate receiving in respect of investments in our core assets. As a result, any distributions we make during this period may be lower than the distributions that we would expect to pay when such proceeds are fully invested in core assets. The management fee payable by us will not be reduced while our assets are invested in such securities. See “Regulation—Temporary Investments” for additional information about temporary investments we may make prior to investing in core assets.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1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Quarterly financial information is derived from unaudited financial data and, in the opinion of management, reflects all adjustments (consisting of normal recurring adjustments) that are necessary to present fairly the results of such interim periods. Interim results as of and for the six months ended March 31, 2008 are not necessarily indicative of the results that may be expected for the year ending September 30, 2008. The Statement of Operations, Per Share Data and Balance Sheet Data for the period from January 11, 2007 (inception )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234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4"/>
              </w:rPr>
              <w:t>March 31, 2008</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76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2"/>
              </w:rPr>
              <w:t>(Unaudited)</w:t>
            </w:r>
          </w:p>
        </w:tc>
        <w:tc>
          <w:tcPr>
            <w:tcW w:w="1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1"/>
              </w:rPr>
              <w:t>(audited)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18,718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9,958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7" w:lineRule="exact"/>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9,537</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9,181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tcPr>
          <w:p>
            <w:pPr>
              <w:spacing w:after="0"/>
              <w:rPr>
                <w:sz w:val="18"/>
                <w:szCs w:val="18"/>
                <w:color w:val="auto"/>
              </w:rPr>
            </w:pPr>
          </w:p>
        </w:tc>
        <w:tc>
          <w:tcPr>
            <w:tcW w:w="2220" w:type="dxa"/>
            <w:vAlign w:val="bottom"/>
            <w:gridSpan w:val="2"/>
          </w:tcPr>
          <w:p>
            <w:pPr>
              <w:jc w:val="right"/>
              <w:ind w:right="1260"/>
              <w:spacing w:after="0"/>
              <w:rPr>
                <w:sz w:val="20"/>
                <w:szCs w:val="20"/>
                <w:color w:val="auto"/>
              </w:rPr>
            </w:pPr>
            <w:r>
              <w:rPr>
                <w:rFonts w:ascii="Arial" w:cs="Arial" w:eastAsia="Arial" w:hAnsi="Arial"/>
                <w:sz w:val="18"/>
                <w:szCs w:val="18"/>
                <w:color w:val="auto"/>
              </w:rPr>
              <w:t>(54,046)</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(44,865)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spacing w:after="0"/>
              <w:rPr>
                <w:sz w:val="18"/>
                <w:szCs w:val="18"/>
                <w:color w:val="auto"/>
              </w:rPr>
            </w:pPr>
          </w:p>
        </w:tc>
        <w:tc>
          <w:tcPr>
            <w:tcW w:w="2220" w:type="dxa"/>
            <w:vAlign w:val="bottom"/>
            <w:gridSpan w:val="2"/>
          </w:tcPr>
          <w:p>
            <w:pPr>
              <w:jc w:val="right"/>
              <w:ind w:right="12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423,700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7" w:lineRule="exact"/>
              <w:rPr>
                <w:sz w:val="20"/>
                <w:szCs w:val="20"/>
                <w:color w:val="auto"/>
              </w:rPr>
            </w:pPr>
            <w:r>
              <w:rPr>
                <w:rFonts w:ascii="Arial" w:cs="Arial" w:eastAsia="Arial" w:hAnsi="Arial"/>
                <w:sz w:val="18"/>
                <w:szCs w:val="18"/>
                <w:color w:val="auto"/>
              </w:rPr>
              <w:t>Total investment portfolio</w:t>
            </w:r>
            <w:r>
              <w:rPr>
                <w:rFonts w:ascii="Arial" w:cs="Arial" w:eastAsia="Arial" w:hAnsi="Arial"/>
                <w:sz w:val="22"/>
                <w:szCs w:val="22"/>
                <w:color w:val="auto"/>
                <w:vertAlign w:val="superscript"/>
              </w:rPr>
              <w:t>(3)</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417,134</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548,976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194,500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Payable for investments and cash equivalents purchased</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8,620</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4,322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Total net asset value</w:t>
            </w:r>
          </w:p>
        </w:tc>
        <w:tc>
          <w:tcPr>
            <w:tcW w:w="120" w:type="dxa"/>
            <w:vAlign w:val="bottom"/>
          </w:tcPr>
          <w:p>
            <w:pPr>
              <w:spacing w:after="0"/>
              <w:rPr>
                <w:sz w:val="19"/>
                <w:szCs w:val="19"/>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216,258</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7"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20" w:type="dxa"/>
            <w:vAlign w:val="bottom"/>
          </w:tcPr>
          <w:p>
            <w:pPr>
              <w:spacing w:after="0"/>
              <w:rPr>
                <w:sz w:val="18"/>
                <w:szCs w:val="18"/>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Value of long-term investments (at period end)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335,884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base management fee waiver was in effect through March 31, 2008. See “Certain Relationships and Transactions-Investment Advisory Fees.”</w:t>
      </w:r>
    </w:p>
    <w:p>
      <w:pPr>
        <w:spacing w:after="0" w:line="72" w:lineRule="exact"/>
        <w:rPr>
          <w:rFonts w:ascii="Arial" w:cs="Arial" w:eastAsia="Arial" w:hAnsi="Arial"/>
          <w:sz w:val="16"/>
          <w:szCs w:val="16"/>
          <w:color w:val="auto"/>
        </w:rPr>
      </w:pPr>
    </w:p>
    <w:p>
      <w:pPr>
        <w:ind w:left="460" w:right="80" w:hanging="452"/>
        <w:spacing w:after="0" w:line="27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return is based on the change in market price per share and takes into account dividends and distributions, if any, reinvested in accordance with our dividend reinvestment plan. Total return would have been (33.66)%</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and (8.49)%</w:t>
      </w:r>
      <w:r>
        <w:rPr>
          <w:rFonts w:ascii="Arial" w:cs="Arial" w:eastAsia="Arial" w:hAnsi="Arial"/>
          <w:sz w:val="20"/>
          <w:szCs w:val="20"/>
          <w:color w:val="auto"/>
          <w:vertAlign w:val="superscript"/>
        </w:rPr>
        <w:t>(4)</w:t>
      </w:r>
      <w:r>
        <w:rPr>
          <w:rFonts w:ascii="Arial" w:cs="Arial" w:eastAsia="Arial" w:hAnsi="Arial"/>
          <w:sz w:val="16"/>
          <w:szCs w:val="16"/>
          <w:color w:val="auto"/>
        </w:rPr>
        <w:t>, respectively, for the six months ended March 31, 2008 and the period from January 11, 2007 (inception) to September 30, 2007 without the base management fee waiver. Total return is not annualized.</w:t>
      </w:r>
    </w:p>
    <w:p>
      <w:pPr>
        <w:spacing w:after="0" w:line="14"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cash equivalent.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6"/>
              </w:rPr>
              <w:t>Q2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6"/>
              </w:rPr>
              <w:t>Q1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5"/>
              </w:rPr>
              <w:t>Q4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Q3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99"/>
              </w:rPr>
              <w:t>Q2*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4,449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4,732</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3,208</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(37,778)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(16,269)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(5,152)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(33,329)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(11,537)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(14,522)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(1,944)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12.07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13.74</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stock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142"/>
        </w:trPr>
        <w:tc>
          <w:tcPr>
            <w:tcW w:w="8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2008</w:t>
            </w: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Second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20"/>
              <w:spacing w:after="0" w:line="149" w:lineRule="exact"/>
              <w:rPr>
                <w:sz w:val="20"/>
                <w:szCs w:val="20"/>
                <w:color w:val="auto"/>
              </w:rPr>
            </w:pPr>
            <w:r>
              <w:rPr>
                <w:rFonts w:ascii="Arial" w:cs="Arial" w:eastAsia="Arial" w:hAnsi="Arial"/>
                <w:sz w:val="14"/>
                <w:szCs w:val="14"/>
                <w:color w:val="auto"/>
                <w:w w:val="80"/>
              </w:rPr>
              <w:t>0.22</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First quarter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0"/>
              </w:rPr>
              <w:t>0.22</w:t>
            </w:r>
          </w:p>
        </w:tc>
        <w:tc>
          <w:tcPr>
            <w:tcW w:w="60" w:type="dxa"/>
            <w:vAlign w:val="bottom"/>
            <w:shd w:val="clear" w:color="auto" w:fill="CCEEFF"/>
          </w:tcPr>
          <w:p>
            <w:pPr>
              <w:spacing w:after="0"/>
              <w:rPr>
                <w:sz w:val="12"/>
                <w:szCs w:val="12"/>
                <w:color w:val="auto"/>
              </w:rPr>
            </w:pPr>
          </w:p>
        </w:tc>
      </w:tr>
      <w:tr>
        <w:trPr>
          <w:trHeight w:val="257"/>
        </w:trPr>
        <w:tc>
          <w:tcPr>
            <w:tcW w:w="8980" w:type="dxa"/>
            <w:vAlign w:val="bottom"/>
          </w:tcPr>
          <w:p>
            <w:pPr>
              <w:spacing w:after="0"/>
              <w:rPr>
                <w:sz w:val="20"/>
                <w:szCs w:val="20"/>
                <w:color w:val="auto"/>
              </w:rPr>
            </w:pPr>
            <w:r>
              <w:rPr>
                <w:rFonts w:ascii="Arial" w:cs="Arial" w:eastAsia="Arial" w:hAnsi="Arial"/>
                <w:sz w:val="14"/>
                <w:szCs w:val="14"/>
                <w:b w:val="1"/>
                <w:bCs w:val="1"/>
                <w:color w:val="auto"/>
              </w:rPr>
              <w:t>Fiscal year ended September 30, 2007</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Fourth quarter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0"/>
              </w:rPr>
              <w:t>0.22</w:t>
            </w:r>
          </w:p>
        </w:tc>
        <w:tc>
          <w:tcPr>
            <w:tcW w:w="60" w:type="dxa"/>
            <w:vAlign w:val="bottom"/>
            <w:shd w:val="clear" w:color="auto" w:fill="CCEEFF"/>
          </w:tcPr>
          <w:p>
            <w:pPr>
              <w:spacing w:after="0"/>
              <w:rPr>
                <w:sz w:val="12"/>
                <w:szCs w:val="12"/>
                <w:color w:val="auto"/>
              </w:rPr>
            </w:pPr>
          </w:p>
        </w:tc>
      </w:tr>
      <w:tr>
        <w:trPr>
          <w:trHeight w:val="156"/>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Third quarter</w:t>
            </w: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w w:val="80"/>
              </w:rPr>
              <w:t>0.14</w:t>
            </w:r>
          </w:p>
        </w:tc>
        <w:tc>
          <w:tcPr>
            <w:tcW w:w="60" w:type="dxa"/>
            <w:vAlign w:val="bottom"/>
          </w:tcPr>
          <w:p>
            <w:pPr>
              <w:spacing w:after="0"/>
              <w:rPr>
                <w:sz w:val="13"/>
                <w:szCs w:val="13"/>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fiscal year ended September 30, 2007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1"/>
                <w:szCs w:val="11"/>
                <w:color w:val="auto"/>
              </w:rPr>
              <w:t>0.36</w:t>
            </w:r>
            <w:r>
              <w:rPr>
                <w:rFonts w:ascii="Arial" w:cs="Arial" w:eastAsia="Arial" w:hAnsi="Arial"/>
                <w:sz w:val="17"/>
                <w:szCs w:val="17"/>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or thinly traded public companies, cash, cash equivalents, U.S. government securities and high-quality debt investments that mature in one year or less.</w:t>
      </w:r>
    </w:p>
    <w:p>
      <w:pPr>
        <w:spacing w:after="0" w:line="9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availability of credit to finance transactions, the general economic environment and the competitive environment for the types of investments we make. Although we have used, and will continue to use, the proceeds of our initial public offering and borrowings under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payment-in-kind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recorded on the ex-dividend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6" w:name="page37"/>
    <w:bookmarkEnd w:id="36"/>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base management fee is 2.00% of average adjusted gross total assets, the Investment Adviser has agreed to waive a portion of the base management fee such that the base management fee equaled 1.50% from the consummation of the initial public offering through September 30, 2007 and 1.75% from October 1, 2007 through March 31, 2008. The base management fee will equal 2.00% after March 31, 2008. For the period from the commencement of operations to the consummation of the initial public offering there were no Management Fees.</w:t>
      </w:r>
    </w:p>
    <w:p>
      <w:pPr>
        <w:spacing w:after="0" w:line="11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rather than as a percentage of total assets. Total assets includes assets that have been funded with borrowed monies (leverage). For reference, the chart below illustrates our “Total Annual Expenses” as a percentage of total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87"/>
              </w:rPr>
              <w:t>Estimated Annual Expenses (as a Percentage of Total Assets)</w:t>
            </w: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400" w:type="dxa"/>
            <w:vAlign w:val="bottom"/>
            <w:gridSpan w:val="3"/>
            <w:shd w:val="clear" w:color="auto" w:fill="CCEEFF"/>
          </w:tcPr>
          <w:p>
            <w:pPr>
              <w:ind w:left="3800"/>
              <w:spacing w:after="0" w:line="209" w:lineRule="exact"/>
              <w:rPr>
                <w:sz w:val="20"/>
                <w:szCs w:val="20"/>
                <w:color w:val="auto"/>
              </w:rPr>
            </w:pPr>
            <w:r>
              <w:rPr>
                <w:rFonts w:ascii="Arial" w:cs="Arial" w:eastAsia="Arial" w:hAnsi="Arial"/>
                <w:sz w:val="18"/>
                <w:szCs w:val="18"/>
                <w:color w:val="auto"/>
                <w:w w:val="84"/>
              </w:rPr>
              <w:t>2.00%</w:t>
            </w:r>
            <w:r>
              <w:rPr>
                <w:rFonts w:ascii="Arial" w:cs="Arial" w:eastAsia="Arial" w:hAnsi="Arial"/>
                <w:sz w:val="22"/>
                <w:szCs w:val="22"/>
                <w:color w:val="auto"/>
                <w:w w:val="84"/>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4400" w:type="dxa"/>
            <w:vAlign w:val="bottom"/>
            <w:gridSpan w:val="3"/>
          </w:tcPr>
          <w:p>
            <w:pPr>
              <w:ind w:left="3800"/>
              <w:spacing w:after="0" w:line="217" w:lineRule="exact"/>
              <w:rPr>
                <w:sz w:val="20"/>
                <w:szCs w:val="20"/>
                <w:color w:val="auto"/>
              </w:rPr>
            </w:pPr>
            <w:r>
              <w:rPr>
                <w:rFonts w:ascii="Arial" w:cs="Arial" w:eastAsia="Arial" w:hAnsi="Arial"/>
                <w:sz w:val="18"/>
                <w:szCs w:val="18"/>
                <w:color w:val="auto"/>
                <w:w w:val="84"/>
              </w:rPr>
              <w:t>0.84%</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4400" w:type="dxa"/>
            <w:vAlign w:val="bottom"/>
            <w:gridSpan w:val="3"/>
            <w:shd w:val="clear" w:color="auto" w:fill="CCEEFF"/>
          </w:tcPr>
          <w:p>
            <w:pPr>
              <w:ind w:left="3800"/>
              <w:spacing w:after="0" w:line="217" w:lineRule="exact"/>
              <w:rPr>
                <w:sz w:val="20"/>
                <w:szCs w:val="20"/>
                <w:color w:val="auto"/>
              </w:rPr>
            </w:pPr>
            <w:r>
              <w:rPr>
                <w:rFonts w:ascii="Arial" w:cs="Arial" w:eastAsia="Arial" w:hAnsi="Arial"/>
                <w:sz w:val="18"/>
                <w:szCs w:val="18"/>
                <w:color w:val="auto"/>
                <w:w w:val="84"/>
              </w:rPr>
              <w:t>1.61%</w:t>
            </w:r>
            <w:r>
              <w:rPr>
                <w:rFonts w:ascii="Arial" w:cs="Arial" w:eastAsia="Arial" w:hAnsi="Arial"/>
                <w:sz w:val="22"/>
                <w:szCs w:val="22"/>
                <w:color w:val="auto"/>
                <w:w w:val="84"/>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800" w:type="dxa"/>
            <w:vAlign w:val="bottom"/>
          </w:tcPr>
          <w:p>
            <w:pPr>
              <w:spacing w:after="0"/>
              <w:rPr>
                <w:sz w:val="18"/>
                <w:szCs w:val="18"/>
                <w:color w:val="auto"/>
              </w:rPr>
            </w:pPr>
          </w:p>
        </w:tc>
        <w:tc>
          <w:tcPr>
            <w:tcW w:w="600" w:type="dxa"/>
            <w:vAlign w:val="bottom"/>
            <w:gridSpan w:val="2"/>
          </w:tcPr>
          <w:p>
            <w:pPr>
              <w:spacing w:after="0" w:line="217" w:lineRule="exact"/>
              <w:rPr>
                <w:sz w:val="20"/>
                <w:szCs w:val="20"/>
                <w:color w:val="auto"/>
              </w:rPr>
            </w:pPr>
            <w:r>
              <w:rPr>
                <w:rFonts w:ascii="Arial" w:cs="Arial" w:eastAsia="Arial" w:hAnsi="Arial"/>
                <w:sz w:val="18"/>
                <w:szCs w:val="18"/>
                <w:color w:val="auto"/>
                <w:w w:val="84"/>
              </w:rPr>
              <w:t>1.38%</w:t>
            </w:r>
            <w:r>
              <w:rPr>
                <w:rFonts w:ascii="Arial" w:cs="Arial" w:eastAsia="Arial" w:hAnsi="Arial"/>
                <w:sz w:val="22"/>
                <w:szCs w:val="22"/>
                <w:color w:val="auto"/>
                <w:w w:val="84"/>
                <w:vertAlign w:val="superscript"/>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six months ended March 31, 2008, annualized for a full year. However, such incentive fees are based on performance, will vary from year to year and will not be paid unless our performance exceeds specified thresholds. Incentive fees in respect of net investment income do not include net capital gains, to which the Investment Adviser is entitled to a 20% incentive fee with no threshold. As we cannot predict whether we will meet these thresholds, the incentive fee paid in future years, if any, may be substantially different than the fee earned during the six months ended March 31,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23"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payments on borrowed funds” represents interest and other credit facility related fees incurred and amortization of debt issuance costs during the six months ended March 31, 2008 annualized for a full year. As of March 31, 2008, we had $105.5 million available and $194.5 million (including an $80.0 million temporary draw) in borrowings outstanding under our $300.0 million credit facility. For more information, see “Risk Factors—We currently use borrowed funds to make investments and are exposed to the typical risks associated with leverage” in this prospectus.</w:t>
      </w:r>
    </w:p>
    <w:p>
      <w:pPr>
        <w:spacing w:after="0" w:line="18" w:lineRule="exact"/>
        <w:rPr>
          <w:rFonts w:ascii="Arial" w:cs="Arial" w:eastAsia="Arial" w:hAnsi="Arial"/>
          <w:sz w:val="16"/>
          <w:szCs w:val="16"/>
          <w:color w:val="auto"/>
        </w:rPr>
      </w:pPr>
    </w:p>
    <w:p>
      <w:pPr>
        <w:ind w:left="460" w:right="14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Expenses” includes, among other expenses,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six months ended March 31, 2008 annualized for a full year. See our “Consolidated Statement of Operations” in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7" w:name="page38"/>
    <w:bookmarkEnd w:id="3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investments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makes its own independent assessment;</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generally will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The PIK interest is added to the principal balance of the investment and is recorded as income. For the Company to maintain its status as a RIC, substantially all of this income must be paid out to stockholders in the form of dividends, even though the Company has not collected any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of March 31, 2008, our portfolio consisted of $92.6 million of subordinated debt, $100.6 million of second lien secured debt, $8.6 million of equity investments and $134.1 million of senior secured loans. Our core assets totaled $201.8 million and consisted of investments in fourteen different companies with an average investment size of $14.4 million per company and a weighted average yield of 11.7% on the debt investments. On March 31, 2008, our senior secured loan portfolio totaled $134.1 million and consisted of twenty-eight different companies (including two companies also in our core portfolio) with an average investment size of $4.8 million, and a weighted average yield of 5.3%. The overall portfolio had a weighted average yield on debt investments of 9.2%. Due to continued erosion in market prices of leveraged finance instruments and a significant reduction in LIBOR, the portfolio had unrealized depreciation of $77.7 million. As of March 31, 2008, our portfolio consisted of forty companies and was invested 28% in subordinated debt, 30% in second lien secured debt, 2% in equity investments and 40% in senior secured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9" w:name="page40"/>
    <w:bookmarkEnd w:id="39"/>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 10.1%. On September 30, 2007, our portfolio consisted of thirty-eight companies and was invested 20% in subordinated debt, 23% in second lien secured debt, 2% in equity investments and 55% in senior secured loans.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Set forth below are our results of operations for the six months ended March 31, 2008 and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Investment income totaled $18.7 million and $13.1 million for the six months ended March 31, 2008 and the period from January 11, 2007 (inception) through September 30, 2007,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Investment income for the six months ended March 31, 2008, was $18.7 million and was primarily attributed to $7.9 million of interest income from senior secured loan investments; $6.8 million from our second lien secured debt investments; and $3.5 million from our subordinated debt investments. The remaining investment income was primarily attributed to interest income from short-term investments and to accretion of discount and amortization of premium.</w:t>
      </w:r>
    </w:p>
    <w:p>
      <w:pPr>
        <w:spacing w:after="0" w:line="10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expenses totaled $9.5 million and $5.8 million for the six months ended March 31, 2008 and the period January 11, 2007 (inception) through September 30, 2007, respectively. Of these totals, $2.8 million and $1.8 million was attributable to credit facility related expenses for the six months ended March 31, 2008 and the period January 11, 2007 (inception) through September 30, 2007, respectively, and $2.4 million and $2.0 million to general and administrative expenses for the six months ended March 31, 2008 and the period January 11, 2007 (inception) through September 30, 2007, respectively. Net base management fee totaled $2.9 million and $ 1.9 million for the six months ended March 31, 2008 and the period January 11, 2007 (inception) through September 30, 2007, respectively. The performance-based incentive fee totaled approximately $1.4 million for the six months ended March 31, 2008. We paid no performance-based incentive fees for the period January 11, 2007 (inception) through September 30,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net investment income totaled $9.2 million and $7.3 million or $0.44 and $0.35 per share, for the six months ended March 31, 2008 and the period January 11, 2007 (inception) through September 30, 2007,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Realized Loss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Sales and paydowns of long-term investments totaled $5.2 million and $99.6 million, and net realized losses totaled approximately $219,000 and $82,000 for the six months ended March 31, 2008 and the period January 11, 2007 (inception) through September 30,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Depreciation on Investments and Cash Equivalents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six months ended March 31, 2008, the Company’s investments and cash equivalents had a net increase in unrealized depreciation of $53.8 million. On March 31, 2008, net unrealized depreciation on investments and cash equivalents totaled $77.7 million, primarily due to the continued downturn in the leveraged finance credit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 From Operations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$44.9 million and $16.7 million, or $2.13 and $0.80 per share, for the six months ended March 31, 2008 and the period January 11, 2007 (inception) through September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March 31, 2008, we had outstanding borrowings of $194.5 million under the Credit Agreement, with an annual interest rate of 5.41%.</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March 31, 2008, we had $81.2 million in cash equivalents. During the six months ended March 31,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use of cash of $351.9 million, for the six months ended March 31, 2008, and our financing activities resulted in a net inflow of cash of $175.2 million for the same period, primarily from borrowings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Payments due by period (millions)</w:t>
            </w:r>
          </w:p>
        </w:tc>
        <w:tc>
          <w:tcPr>
            <w:tcW w:w="720" w:type="dxa"/>
            <w:vAlign w:val="bottom"/>
            <w:tcBorders>
              <w:bottom w:val="single" w:sz="8" w:color="auto"/>
            </w:tcBorders>
          </w:tcPr>
          <w:p>
            <w:pPr>
              <w:spacing w:after="0"/>
              <w:rPr>
                <w:sz w:val="14"/>
                <w:szCs w:val="14"/>
                <w:color w:val="auto"/>
              </w:rPr>
            </w:pPr>
          </w:p>
        </w:tc>
      </w:tr>
      <w:tr>
        <w:trPr>
          <w:trHeight w:val="129"/>
        </w:trPr>
        <w:tc>
          <w:tcPr>
            <w:tcW w:w="6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920" w:type="dxa"/>
            <w:vAlign w:val="bottom"/>
            <w:gridSpan w:val="2"/>
          </w:tcPr>
          <w:p>
            <w:pPr>
              <w:ind w:left="660"/>
              <w:spacing w:after="0" w:line="129" w:lineRule="exact"/>
              <w:rPr>
                <w:sz w:val="20"/>
                <w:szCs w:val="20"/>
                <w:color w:val="auto"/>
              </w:rPr>
            </w:pPr>
            <w:r>
              <w:rPr>
                <w:rFonts w:ascii="Arial" w:cs="Arial" w:eastAsia="Arial" w:hAnsi="Arial"/>
                <w:sz w:val="14"/>
                <w:szCs w:val="14"/>
                <w:b w:val="1"/>
                <w:bCs w:val="1"/>
                <w:color w:val="auto"/>
              </w:rPr>
              <w:t>1-</w:t>
            </w:r>
          </w:p>
        </w:tc>
        <w:tc>
          <w:tcPr>
            <w:tcW w:w="94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3-</w:t>
            </w:r>
          </w:p>
        </w:tc>
        <w:tc>
          <w:tcPr>
            <w:tcW w:w="6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65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w:t>
            </w:r>
          </w:p>
        </w:tc>
        <w:tc>
          <w:tcPr>
            <w:tcW w:w="5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8"/>
              </w:rPr>
              <w:t>3 years</w:t>
            </w:r>
          </w:p>
        </w:tc>
        <w:tc>
          <w:tcPr>
            <w:tcW w:w="52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5 years</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65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$194.5</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194.5</w:t>
            </w:r>
            <w:r>
              <w:rPr>
                <w:rFonts w:ascii="Arial" w:cs="Arial" w:eastAsia="Arial" w:hAnsi="Arial"/>
                <w:sz w:val="11"/>
                <w:szCs w:val="11"/>
                <w:color w:val="auto"/>
              </w:rPr>
              <w:t>(2)</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31, 2008, $105.5 million remained unused under our senior secured revolving credit facility.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Including an $80.0 million temporary draw.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1" w:name="page42"/>
    <w:bookmarkEnd w:id="41"/>
    <w:p>
      <w:pPr>
        <w:ind w:right="1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entered into certain contracts under which we have material future commitments. On April 17, 2007 we entered into an Investment Management Agreement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our Administration Agreement, dated April 17, 2007,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which clarifies the definition of fair value and requires companies to expand their disclosure about the use of fair value to measure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is in the process of reviewing SFAS 157 against its valuation policies to determine future applicability.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At this time, PennantPark is in the process of reviewing SFAS 159 against its valuation policies to determine future applicability.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order to qualify as a regulated investment company and to avoid corporate level tax on income, we are required, under Subchapter M of the Code, to distribute at least 90% of our ordinary income and net short-term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2" w:name="page43"/>
    <w:bookmarkEnd w:id="4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gains in excess of realized net long-term capital losses, if any, to our stockholders on an annual basis. Additionally, we must distribute at least 98% of our income (both ordinary income and net capital gains) to avoid an excise tax.</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six months ended March 31, 2008 we paid to stockholders distributions of $0.44 per share, for a total dividend of $9.3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March 31, 2008, approximately $731,000 was reinvested under our dividend reinvestment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323"/>
        </w:trPr>
        <w:tc>
          <w:tcPr>
            <w:tcW w:w="89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223"/>
        </w:trPr>
        <w:tc>
          <w:tcPr>
            <w:tcW w:w="89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0.14</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year ended September 30, 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0.36</w:t>
            </w:r>
            <w:r>
              <w:rPr>
                <w:rFonts w:ascii="Arial" w:cs="Arial" w:eastAsia="Arial" w:hAnsi="Arial"/>
                <w:sz w:val="11"/>
                <w:szCs w:val="11"/>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did not experience any compromised liquidity during the recent turmoil in the global credit markets because of our ability to liquidate our portfolio of senior secured loans, which totaled $134.1 million as of March 31, 2008, and availability under our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Quantitative and qualitative disclosure about market risk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RANGE OF COMMON STOCK</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May 21, 2008, the last reported closing price of our common stock was $8.15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Premium/</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Premium/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Discount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Discount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rPr>
              <w:t>Closing Sales Price</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of High</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Low</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460"/>
              <w:spacing w:after="0" w:line="116" w:lineRule="exact"/>
              <w:rPr>
                <w:sz w:val="20"/>
                <w:szCs w:val="20"/>
                <w:color w:val="auto"/>
              </w:rPr>
            </w:pPr>
            <w:r>
              <w:rPr>
                <w:rFonts w:ascii="Arial" w:cs="Arial" w:eastAsia="Arial" w:hAnsi="Arial"/>
                <w:sz w:val="12"/>
                <w:szCs w:val="12"/>
                <w:b w:val="1"/>
                <w:bCs w:val="1"/>
                <w:color w:val="auto"/>
                <w:w w:val="95"/>
              </w:rPr>
              <w:t>Sales</w:t>
            </w:r>
          </w:p>
        </w:tc>
        <w:tc>
          <w:tcPr>
            <w:tcW w:w="880" w:type="dxa"/>
            <w:vAlign w:val="bottom"/>
            <w:gridSpan w:val="2"/>
          </w:tcPr>
          <w:p>
            <w:pPr>
              <w:jc w:val="center"/>
              <w:ind w:right="300"/>
              <w:spacing w:after="0" w:line="116" w:lineRule="exact"/>
              <w:rPr>
                <w:sz w:val="20"/>
                <w:szCs w:val="20"/>
                <w:color w:val="auto"/>
              </w:rPr>
            </w:pPr>
            <w:r>
              <w:rPr>
                <w:rFonts w:ascii="Arial" w:cs="Arial" w:eastAsia="Arial" w:hAnsi="Arial"/>
                <w:sz w:val="12"/>
                <w:szCs w:val="12"/>
                <w:b w:val="1"/>
                <w:bCs w:val="1"/>
                <w:color w:val="auto"/>
                <w:w w:val="95"/>
              </w:rPr>
              <w:t>Sales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Price to</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 to</w:t>
            </w:r>
          </w:p>
        </w:tc>
        <w:tc>
          <w:tcPr>
            <w:tcW w:w="1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76"/>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88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 (through 5/21/08)</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7.06</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14.49</w:t>
            </w:r>
          </w:p>
        </w:tc>
        <w:tc>
          <w:tcPr>
            <w:tcW w:w="1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9.08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14.76</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12.61</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14.04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(“BDC”) under the Investment Company Act of 1940 (the “1940 Act”).</w:t>
      </w:r>
    </w:p>
    <w:p>
      <w:pPr>
        <w:spacing w:after="0" w:line="6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provides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having served for a decade as a Director at BlackRock, Inc., a leading investment firm.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47" w:name="page48"/>
    <w:bookmarkEnd w:id="47"/>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20" w:hanging="325"/>
        <w:spacing w:after="0" w:line="25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80" w:hanging="325"/>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80" w:hanging="325"/>
        <w:spacing w:after="0" w:line="30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48" w:name="page49"/>
    <w:bookmarkEnd w:id="48"/>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diligence is designed to ensure that each prospective portfolio company will be able to meet its debt service obligations. See “Business-Investment Process-Investment Selection Criteria” and “Business-Investment Process-Due Diligence.”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expect that the in-depth coverage and experience of Mr. Penn, as well as that of the other investment professionals of our Investment Adviser, will enable us to invest throughout various stages of the economic cycle and will provide us with ongoing market insights in addition to a significant investment sourcing engine.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has intensified. However, we believe that there has been a reduction in the amount of debt capital available for lending in leveraged buyout transactions since the downturn in the credit markets, which began in mid-2007. This has resulted in a less competitive environment.</w:t>
      </w:r>
    </w:p>
    <w:p>
      <w:pPr>
        <w:spacing w:after="0" w:line="10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9" w:name="page50"/>
    <w:bookmarkEnd w:id="49"/>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25, 2007, we entered into a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September 30, 2007 and March 31, 2008, we had outstanding borrowings of $10.0 million and $194.5 million (including an $80 million temporary draw) respectively, under our credit agreement, with an annual interest rate of 6.15% and 5.41%,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the credit agreement is set at 100 basis points over LIBOR.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for the six months ended March 31, 2008 and the period January 11, 2007 (inception) through September 30, 2007. The information for the period January 11, 2007 (inception) through September 30, 2007 has been derived from our financial statements which have been audited by KPMG LLP. The “—” indicates information which the SEC expressly does not require to be disclosed for certain types of senior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Involuntary</w:t>
            </w:r>
          </w:p>
        </w:tc>
        <w:tc>
          <w:tcPr>
            <w:tcW w:w="6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Asset</w:t>
            </w:r>
          </w:p>
        </w:tc>
        <w:tc>
          <w:tcPr>
            <w:tcW w:w="3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Liquidating</w:t>
            </w:r>
          </w:p>
        </w:tc>
        <w:tc>
          <w:tcPr>
            <w:tcW w:w="6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8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Total Amount</w:t>
            </w:r>
          </w:p>
        </w:tc>
        <w:tc>
          <w:tcPr>
            <w:tcW w:w="300" w:type="dxa"/>
            <w:vAlign w:val="bottom"/>
          </w:tcPr>
          <w:p>
            <w:pPr>
              <w:spacing w:after="0"/>
              <w:rPr>
                <w:sz w:val="12"/>
                <w:szCs w:val="12"/>
                <w:color w:val="auto"/>
              </w:rPr>
            </w:pPr>
          </w:p>
        </w:tc>
        <w:tc>
          <w:tcPr>
            <w:tcW w:w="92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Coverage</w:t>
            </w:r>
          </w:p>
        </w:tc>
        <w:tc>
          <w:tcPr>
            <w:tcW w:w="30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4"/>
                <w:szCs w:val="14"/>
                <w:b w:val="1"/>
                <w:bCs w:val="1"/>
                <w:color w:val="auto"/>
                <w:w w:val="88"/>
              </w:rPr>
              <w:t>Preference</w:t>
            </w:r>
          </w:p>
        </w:tc>
        <w:tc>
          <w:tcPr>
            <w:tcW w:w="62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93"/>
        </w:trPr>
        <w:tc>
          <w:tcPr>
            <w:tcW w:w="682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180" w:type="dxa"/>
            <w:vAlign w:val="bottom"/>
            <w:gridSpan w:val="3"/>
          </w:tcPr>
          <w:p>
            <w:pPr>
              <w:ind w:left="20"/>
              <w:spacing w:after="0" w:line="193"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22"/>
                <w:szCs w:val="22"/>
                <w:b w:val="1"/>
                <w:bCs w:val="1"/>
                <w:color w:val="auto"/>
                <w:vertAlign w:val="superscript"/>
              </w:rPr>
              <w:t>(1)</w:t>
            </w:r>
          </w:p>
        </w:tc>
        <w:tc>
          <w:tcPr>
            <w:tcW w:w="300" w:type="dxa"/>
            <w:vAlign w:val="bottom"/>
          </w:tcPr>
          <w:p>
            <w:pPr>
              <w:spacing w:after="0"/>
              <w:rPr>
                <w:sz w:val="16"/>
                <w:szCs w:val="16"/>
                <w:color w:val="auto"/>
              </w:rPr>
            </w:pPr>
          </w:p>
        </w:tc>
        <w:tc>
          <w:tcPr>
            <w:tcW w:w="9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22"/>
                <w:szCs w:val="22"/>
                <w:b w:val="1"/>
                <w:bCs w:val="1"/>
                <w:color w:val="auto"/>
                <w:vertAlign w:val="superscript"/>
              </w:rPr>
              <w:t>(2)</w:t>
            </w:r>
          </w:p>
        </w:tc>
        <w:tc>
          <w:tcPr>
            <w:tcW w:w="300" w:type="dxa"/>
            <w:vAlign w:val="bottom"/>
          </w:tcPr>
          <w:p>
            <w:pPr>
              <w:spacing w:after="0"/>
              <w:rPr>
                <w:sz w:val="16"/>
                <w:szCs w:val="16"/>
                <w:color w:val="auto"/>
              </w:rPr>
            </w:pPr>
          </w:p>
        </w:tc>
        <w:tc>
          <w:tcPr>
            <w:tcW w:w="720" w:type="dxa"/>
            <w:vAlign w:val="bottom"/>
            <w:gridSpan w:val="2"/>
          </w:tcPr>
          <w:p>
            <w:pPr>
              <w:ind w:left="40"/>
              <w:spacing w:after="0" w:line="193" w:lineRule="exact"/>
              <w:rPr>
                <w:sz w:val="20"/>
                <w:szCs w:val="20"/>
                <w:color w:val="auto"/>
              </w:rPr>
            </w:pPr>
            <w:r>
              <w:rPr>
                <w:rFonts w:ascii="Arial" w:cs="Arial" w:eastAsia="Arial" w:hAnsi="Arial"/>
                <w:sz w:val="14"/>
                <w:szCs w:val="14"/>
                <w:b w:val="1"/>
                <w:bCs w:val="1"/>
                <w:color w:val="auto"/>
                <w:w w:val="92"/>
              </w:rPr>
              <w:t>Per Unit</w:t>
            </w:r>
            <w:r>
              <w:rPr>
                <w:rFonts w:ascii="Arial" w:cs="Arial" w:eastAsia="Arial" w:hAnsi="Arial"/>
                <w:sz w:val="22"/>
                <w:szCs w:val="22"/>
                <w:b w:val="1"/>
                <w:bCs w:val="1"/>
                <w:color w:val="auto"/>
                <w:w w:val="92"/>
                <w:vertAlign w:val="superscript"/>
              </w:rPr>
              <w:t>(3)</w:t>
            </w:r>
          </w:p>
        </w:tc>
        <w:tc>
          <w:tcPr>
            <w:tcW w:w="620" w:type="dxa"/>
            <w:vAlign w:val="bottom"/>
          </w:tcPr>
          <w:p>
            <w:pPr>
              <w:spacing w:after="0"/>
              <w:rPr>
                <w:sz w:val="16"/>
                <w:szCs w:val="16"/>
                <w:color w:val="auto"/>
              </w:rPr>
            </w:pPr>
          </w:p>
        </w:tc>
        <w:tc>
          <w:tcPr>
            <w:tcW w:w="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4"/>
              </w:rPr>
              <w:t>Unit</w:t>
            </w:r>
            <w:r>
              <w:rPr>
                <w:rFonts w:ascii="Arial" w:cs="Arial" w:eastAsia="Arial" w:hAnsi="Arial"/>
                <w:sz w:val="22"/>
                <w:szCs w:val="22"/>
                <w:b w:val="1"/>
                <w:bCs w:val="1"/>
                <w:color w:val="auto"/>
                <w:w w:val="84"/>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March 31, 2008,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194,500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2,112</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28,039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3" w:name="page54"/>
    <w:bookmarkEnd w:id="5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4" w:name="page55"/>
    <w:bookmarkEnd w:id="54"/>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description of the steps we take each quarter to determine the value of our portfolio.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With respect to investments for which market quotations are not readily available or are readily available but believed to not reflect the value of an investment, our board of directors undertakes a multi-step valuation process each quarter, as described below:</w:t>
      </w:r>
    </w:p>
    <w:p>
      <w:pPr>
        <w:spacing w:after="0" w:line="37" w:lineRule="exact"/>
        <w:rPr>
          <w:sz w:val="20"/>
          <w:szCs w:val="20"/>
          <w:color w:val="auto"/>
        </w:rPr>
      </w:pPr>
    </w:p>
    <w:p>
      <w:pPr>
        <w:ind w:left="900" w:right="4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not reflect the value of an investment. The independent valuation firm reviews management’s preliminary valuations in light of its own independent assessment;</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5" w:name="page56"/>
    <w:bookmarkEnd w:id="5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that request this assistance.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59"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Aerospace Defense</w:t>
            </w:r>
          </w:p>
        </w:tc>
        <w:tc>
          <w:tcPr>
            <w:tcW w:w="6740" w:type="dxa"/>
            <w:vAlign w:val="bottom"/>
            <w:gridSpan w:val="2"/>
          </w:tcPr>
          <w:p>
            <w:pPr>
              <w:ind w:left="1600"/>
              <w:spacing w:after="0"/>
              <w:rPr>
                <w:sz w:val="20"/>
                <w:szCs w:val="20"/>
                <w:color w:val="auto"/>
              </w:rPr>
            </w:pPr>
            <w:r>
              <w:rPr>
                <w:rFonts w:ascii="Arial" w:cs="Arial" w:eastAsia="Arial" w:hAnsi="Arial"/>
                <w:sz w:val="18"/>
                <w:szCs w:val="18"/>
                <w:color w:val="auto"/>
                <w:w w:val="89"/>
              </w:rPr>
              <w:t>• Home &amp; Office Furnishings, Housewares, Durable Consumer Products</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Broadcasting &amp; Entertainment</w:t>
            </w:r>
          </w:p>
        </w:tc>
        <w:tc>
          <w:tcPr>
            <w:tcW w:w="6740" w:type="dxa"/>
            <w:vAlign w:val="bottom"/>
            <w:gridSpan w:val="2"/>
          </w:tcPr>
          <w:p>
            <w:pPr>
              <w:ind w:left="1600"/>
              <w:spacing w:after="0"/>
              <w:rPr>
                <w:sz w:val="20"/>
                <w:szCs w:val="20"/>
                <w:color w:val="auto"/>
              </w:rPr>
            </w:pPr>
            <w:r>
              <w:rPr>
                <w:rFonts w:ascii="Arial" w:cs="Arial" w:eastAsia="Arial" w:hAnsi="Arial"/>
                <w:sz w:val="18"/>
                <w:szCs w:val="18"/>
                <w:color w:val="auto"/>
              </w:rPr>
              <w:t>• Leisure, Amusement, Motion Pictures, Entertainment</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Buildings &amp; Real Estate</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Manufacturing/Basic Industry</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Business Services</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Media</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Cable TV</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Oil &amp; Gas</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Cargo Transport</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Other Media</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Chemical, Plastics, &amp; Rubber</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Printing &amp; Publishing</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Consumer Products</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Telecommunications</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Containers, Packaging, &amp; Glass</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Retail Store</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Education</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Transportation</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Energy/Utilities</w:t>
            </w:r>
          </w:p>
        </w:tc>
        <w:tc>
          <w:tcPr>
            <w:tcW w:w="1700" w:type="dxa"/>
            <w:vAlign w:val="bottom"/>
          </w:tcPr>
          <w:p>
            <w:pPr>
              <w:ind w:left="1600"/>
              <w:spacing w:after="0"/>
              <w:rPr>
                <w:sz w:val="20"/>
                <w:szCs w:val="20"/>
                <w:color w:val="auto"/>
              </w:rPr>
            </w:pPr>
            <w:r>
              <w:rPr>
                <w:rFonts w:ascii="Arial" w:cs="Arial" w:eastAsia="Arial" w:hAnsi="Arial"/>
                <w:sz w:val="18"/>
                <w:szCs w:val="18"/>
                <w:color w:val="auto"/>
              </w:rPr>
              <w:t>•</w:t>
            </w:r>
          </w:p>
        </w:tc>
        <w:tc>
          <w:tcPr>
            <w:tcW w:w="5040" w:type="dxa"/>
            <w:vAlign w:val="bottom"/>
          </w:tcPr>
          <w:p>
            <w:pPr>
              <w:ind w:left="60"/>
              <w:spacing w:after="0"/>
              <w:rPr>
                <w:sz w:val="20"/>
                <w:szCs w:val="20"/>
                <w:color w:val="auto"/>
              </w:rPr>
            </w:pPr>
            <w:r>
              <w:rPr>
                <w:rFonts w:ascii="Arial" w:cs="Arial" w:eastAsia="Arial" w:hAnsi="Arial"/>
                <w:sz w:val="18"/>
                <w:szCs w:val="18"/>
                <w:color w:val="auto"/>
              </w:rPr>
              <w:t>Utilities</w:t>
            </w:r>
          </w:p>
        </w:tc>
      </w:tr>
      <w:tr>
        <w:trPr>
          <w:trHeight w:val="297"/>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60"/>
              <w:spacing w:after="0"/>
              <w:rPr>
                <w:sz w:val="20"/>
                <w:szCs w:val="20"/>
                <w:color w:val="auto"/>
              </w:rPr>
            </w:pPr>
            <w:r>
              <w:rPr>
                <w:rFonts w:ascii="Arial" w:cs="Arial" w:eastAsia="Arial" w:hAnsi="Arial"/>
                <w:sz w:val="18"/>
                <w:szCs w:val="18"/>
                <w:color w:val="auto"/>
              </w:rPr>
              <w:t>Healthcare, Education &amp; Childcare</w:t>
            </w:r>
          </w:p>
        </w:tc>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56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Brand Energy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Realogy Corp.</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UP Acquisition Sub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Saint Acquisition Corp.</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Interdynamics Holdings,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Specialized Technology Resources,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Affinion Group Holding,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Advanstar,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Affinion Group Holdings,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Specialized Technology Resources,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Charter Communications Operating, L.L.C.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Communications Operating, L.L.C.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Performance Holdings,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Questex Media Group,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Univision Communications, Inc.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Realogy Crop.</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TransFirst Holdings,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410"/>
        </w:trPr>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420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Media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Healthcare, Education &amp; Childcare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Auto Sector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Chemical, Plastics &amp; Rubber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Durable Consumer Products</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Home and Office Furnishings, Housewares, &amp;</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Durable Consumer Products</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Leisure, Amusement, Motion Pictures,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Entertainment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Leisure, Amusement, Motion Picture, Entertainment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5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w:t>
            </w:r>
          </w:p>
        </w:tc>
      </w:tr>
    </w:tbl>
    <w:p>
      <w:pPr>
        <w:spacing w:after="0" w:line="3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31, 2008, our portfolio consisted of forty companies and was invested 28% in subordinated debt, 30% in second lien secured debt, 2% in equity investments and 40% in senior secured loans.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26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PORTFOLIO COMPANIES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March 31, 2008.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As of March 31, 2008 we held no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94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None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w:t>
            </w:r>
          </w:p>
        </w:tc>
        <w:tc>
          <w:tcPr>
            <w:tcW w:w="304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8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6.3%</w:t>
            </w:r>
          </w:p>
        </w:tc>
      </w:tr>
      <w:tr>
        <w:trPr>
          <w:trHeight w:val="216"/>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ICTURES</w:t>
            </w:r>
            <w:r>
              <w:rPr>
                <w:rFonts w:ascii="Arial" w:cs="Arial" w:eastAsia="Arial" w:hAnsi="Arial"/>
                <w:sz w:val="18"/>
                <w:szCs w:val="18"/>
                <w:color w:val="auto"/>
                <w:w w:val="98"/>
              </w:rPr>
              <w:t>, E</w:t>
            </w:r>
            <w:r>
              <w:rPr>
                <w:rFonts w:ascii="Arial" w:cs="Arial" w:eastAsia="Arial" w:hAnsi="Arial"/>
                <w:sz w:val="14"/>
                <w:szCs w:val="14"/>
                <w:color w:val="auto"/>
                <w:w w:val="98"/>
              </w:rPr>
              <w:t>NTERTAINMENT</w:t>
            </w: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VSS-AHC H</w:t>
            </w:r>
            <w:r>
              <w:rPr>
                <w:rFonts w:ascii="Arial" w:cs="Arial" w:eastAsia="Arial" w:hAnsi="Arial"/>
                <w:sz w:val="14"/>
                <w:szCs w:val="14"/>
                <w:color w:val="auto"/>
              </w:rPr>
              <w:t>OLDINGS</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8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0.9%</w:t>
            </w:r>
          </w:p>
        </w:tc>
      </w:tr>
      <w:tr>
        <w:trPr>
          <w:trHeight w:val="222"/>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641 L</w:t>
            </w:r>
            <w:r>
              <w:rPr>
                <w:rFonts w:ascii="Arial" w:cs="Arial" w:eastAsia="Arial" w:hAnsi="Arial"/>
                <w:sz w:val="14"/>
                <w:szCs w:val="14"/>
                <w:color w:val="auto"/>
              </w:rPr>
              <w:t>EXINGTON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FLOOR</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10022</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ONTAINERS</w:t>
            </w:r>
            <w:r>
              <w:rPr>
                <w:rFonts w:ascii="Arial" w:cs="Arial" w:eastAsia="Arial" w:hAnsi="Arial"/>
                <w:sz w:val="18"/>
                <w:szCs w:val="18"/>
                <w:color w:val="auto"/>
                <w:w w:val="99"/>
              </w:rPr>
              <w:t>, P</w:t>
            </w:r>
            <w:r>
              <w:rPr>
                <w:rFonts w:ascii="Arial" w:cs="Arial" w:eastAsia="Arial" w:hAnsi="Arial"/>
                <w:sz w:val="14"/>
                <w:szCs w:val="14"/>
                <w:color w:val="auto"/>
                <w:w w:val="99"/>
              </w:rPr>
              <w:t>ACKAGING</w:t>
            </w:r>
            <w:r>
              <w:rPr>
                <w:rFonts w:ascii="Arial" w:cs="Arial" w:eastAsia="Arial" w:hAnsi="Arial"/>
                <w:sz w:val="18"/>
                <w:szCs w:val="18"/>
                <w:color w:val="auto"/>
                <w:w w:val="99"/>
              </w:rPr>
              <w:t xml:space="preserve"> &amp; G</w:t>
            </w:r>
            <w:r>
              <w:rPr>
                <w:rFonts w:ascii="Arial" w:cs="Arial" w:eastAsia="Arial" w:hAnsi="Arial"/>
                <w:sz w:val="14"/>
                <w:szCs w:val="14"/>
                <w:color w:val="auto"/>
                <w:w w:val="99"/>
              </w:rPr>
              <w:t>LASS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101 O</w:t>
            </w:r>
            <w:r>
              <w:rPr>
                <w:rFonts w:ascii="Arial" w:cs="Arial" w:eastAsia="Arial" w:hAnsi="Arial"/>
                <w:sz w:val="14"/>
                <w:szCs w:val="14"/>
                <w:color w:val="auto"/>
              </w:rPr>
              <w:t>AKLEY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VANSVILLE</w:t>
            </w:r>
            <w:r>
              <w:rPr>
                <w:rFonts w:ascii="Arial" w:cs="Arial" w:eastAsia="Arial" w:hAnsi="Arial"/>
                <w:sz w:val="18"/>
                <w:szCs w:val="18"/>
                <w:color w:val="auto"/>
              </w:rPr>
              <w:t>, IN 47710</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30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 Second Lien</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Secured Debt</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40" w:type="dxa"/>
            <w:vAlign w:val="bottom"/>
          </w:tcPr>
          <w:p>
            <w:pPr>
              <w:jc w:val="right"/>
              <w:ind w:right="995"/>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8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17"/>
                <w:szCs w:val="17"/>
                <w:color w:val="auto"/>
              </w:rPr>
            </w:pP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12405 P</w:t>
            </w:r>
            <w:r>
              <w:rPr>
                <w:rFonts w:ascii="Arial" w:cs="Arial" w:eastAsia="Arial" w:hAnsi="Arial"/>
                <w:sz w:val="14"/>
                <w:szCs w:val="14"/>
                <w:color w:val="auto"/>
              </w:rPr>
              <w:t>OWERSCOURT</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w:t>
            </w:r>
            <w:r>
              <w:rPr>
                <w:rFonts w:ascii="Arial" w:cs="Arial" w:eastAsia="Arial" w:hAnsi="Arial"/>
                <w:sz w:val="18"/>
                <w:szCs w:val="18"/>
                <w:color w:val="auto"/>
              </w:rPr>
              <w:t>. L</w:t>
            </w:r>
            <w:r>
              <w:rPr>
                <w:rFonts w:ascii="Arial" w:cs="Arial" w:eastAsia="Arial" w:hAnsi="Arial"/>
                <w:sz w:val="14"/>
                <w:szCs w:val="14"/>
                <w:color w:val="auto"/>
              </w:rPr>
              <w:t>OUIS</w:t>
            </w:r>
            <w:r>
              <w:rPr>
                <w:rFonts w:ascii="Arial" w:cs="Arial" w:eastAsia="Arial" w:hAnsi="Arial"/>
                <w:sz w:val="18"/>
                <w:szCs w:val="18"/>
                <w:color w:val="auto"/>
              </w:rPr>
              <w:t>, M</w:t>
            </w:r>
            <w:r>
              <w:rPr>
                <w:rFonts w:ascii="Arial" w:cs="Arial" w:eastAsia="Arial" w:hAnsi="Arial"/>
                <w:sz w:val="14"/>
                <w:szCs w:val="14"/>
                <w:color w:val="auto"/>
              </w:rPr>
              <w:t>O</w:t>
            </w:r>
            <w:r>
              <w:rPr>
                <w:rFonts w:ascii="Arial" w:cs="Arial" w:eastAsia="Arial" w:hAnsi="Arial"/>
                <w:sz w:val="18"/>
                <w:szCs w:val="18"/>
                <w:color w:val="auto"/>
              </w:rPr>
              <w:t xml:space="preserve"> 63131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21540 P</w:t>
            </w:r>
            <w:r>
              <w:rPr>
                <w:rFonts w:ascii="Arial" w:cs="Arial" w:eastAsia="Arial" w:hAnsi="Arial"/>
                <w:sz w:val="14"/>
                <w:szCs w:val="14"/>
                <w:color w:val="auto"/>
              </w:rPr>
              <w:t>LUMMER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400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HATSWORTH</w:t>
            </w:r>
            <w:r>
              <w:rPr>
                <w:rFonts w:ascii="Arial" w:cs="Arial" w:eastAsia="Arial" w:hAnsi="Arial"/>
                <w:sz w:val="18"/>
                <w:szCs w:val="18"/>
                <w:color w:val="auto"/>
              </w:rPr>
              <w:t>, CA 91311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Subordinate Debt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350 W</w:t>
            </w:r>
            <w:r>
              <w:rPr>
                <w:rFonts w:ascii="Arial" w:cs="Arial" w:eastAsia="Arial" w:hAnsi="Arial"/>
                <w:sz w:val="14"/>
                <w:szCs w:val="14"/>
                <w:color w:val="auto"/>
              </w:rPr>
              <w:t>ILLOWBROOK</w:t>
            </w:r>
            <w:r>
              <w:rPr>
                <w:rFonts w:ascii="Arial" w:cs="Arial" w:eastAsia="Arial" w:hAnsi="Arial"/>
                <w:sz w:val="18"/>
                <w:szCs w:val="18"/>
                <w:color w:val="auto"/>
              </w:rPr>
              <w:t xml:space="preserve"> O</w:t>
            </w:r>
            <w:r>
              <w:rPr>
                <w:rFonts w:ascii="Arial" w:cs="Arial" w:eastAsia="Arial" w:hAnsi="Arial"/>
                <w:sz w:val="14"/>
                <w:szCs w:val="14"/>
                <w:color w:val="auto"/>
              </w:rPr>
              <w:t>FFICE</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AIRPORT</w:t>
            </w:r>
            <w:r>
              <w:rPr>
                <w:rFonts w:ascii="Arial" w:cs="Arial" w:eastAsia="Arial" w:hAnsi="Arial"/>
                <w:sz w:val="18"/>
                <w:szCs w:val="18"/>
                <w:color w:val="auto"/>
              </w:rPr>
              <w:t>, NY 14450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300 S</w:t>
            </w:r>
            <w:r>
              <w:rPr>
                <w:rFonts w:ascii="Arial" w:cs="Arial" w:eastAsia="Arial" w:hAnsi="Arial"/>
                <w:sz w:val="14"/>
                <w:szCs w:val="14"/>
                <w:color w:val="auto"/>
              </w:rPr>
              <w:t>IXTH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ITTSBURGH</w:t>
            </w:r>
            <w:r>
              <w:rPr>
                <w:rFonts w:ascii="Arial" w:cs="Arial" w:eastAsia="Arial" w:hAnsi="Arial"/>
                <w:sz w:val="18"/>
                <w:szCs w:val="18"/>
                <w:color w:val="auto"/>
              </w:rPr>
              <w:t>, PA 15222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P.O. B</w:t>
            </w:r>
            <w:r>
              <w:rPr>
                <w:rFonts w:ascii="Arial" w:cs="Arial" w:eastAsia="Arial" w:hAnsi="Arial"/>
                <w:sz w:val="14"/>
                <w:szCs w:val="14"/>
                <w:color w:val="auto"/>
              </w:rPr>
              <w:t>OX</w:t>
            </w:r>
            <w:r>
              <w:rPr>
                <w:rFonts w:ascii="Arial" w:cs="Arial" w:eastAsia="Arial" w:hAnsi="Arial"/>
                <w:sz w:val="18"/>
                <w:szCs w:val="18"/>
                <w:color w:val="auto"/>
              </w:rPr>
              <w:t xml:space="preserve"> 85</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ICHITA</w:t>
            </w:r>
            <w:r>
              <w:rPr>
                <w:rFonts w:ascii="Arial" w:cs="Arial" w:eastAsia="Arial" w:hAnsi="Arial"/>
                <w:sz w:val="18"/>
                <w:szCs w:val="18"/>
                <w:color w:val="auto"/>
              </w:rPr>
              <w:t>, KS 67201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5811 P</w:t>
            </w:r>
            <w:r>
              <w:rPr>
                <w:rFonts w:ascii="Arial" w:cs="Arial" w:eastAsia="Arial" w:hAnsi="Arial"/>
                <w:sz w:val="14"/>
                <w:szCs w:val="14"/>
                <w:color w:val="auto"/>
              </w:rPr>
              <w:t>ELICAN</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APLES</w:t>
            </w:r>
            <w:r>
              <w:rPr>
                <w:rFonts w:ascii="Arial" w:cs="Arial" w:eastAsia="Arial" w:hAnsi="Arial"/>
                <w:sz w:val="18"/>
                <w:szCs w:val="18"/>
                <w:color w:val="auto"/>
              </w:rPr>
              <w:t>, FL 34108</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0" w:type="dxa"/>
            <w:vAlign w:val="bottom"/>
          </w:tcPr>
          <w:p>
            <w:pPr>
              <w:jc w:val="right"/>
              <w:ind w:right="893"/>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40" w:type="dxa"/>
            <w:vAlign w:val="bottom"/>
          </w:tcPr>
          <w:p>
            <w:pPr>
              <w:spacing w:after="0"/>
              <w:rPr>
                <w:sz w:val="15"/>
                <w:szCs w:val="15"/>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10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40" w:type="dxa"/>
            <w:vAlign w:val="bottom"/>
          </w:tcPr>
          <w:p>
            <w:pPr>
              <w:spacing w:after="0"/>
              <w:rPr>
                <w:sz w:val="17"/>
                <w:szCs w:val="17"/>
                <w:color w:val="auto"/>
              </w:rPr>
            </w:pPr>
          </w:p>
        </w:tc>
        <w:tc>
          <w:tcPr>
            <w:tcW w:w="306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1040 G</w:t>
            </w:r>
            <w:r>
              <w:rPr>
                <w:rFonts w:ascii="Arial" w:cs="Arial" w:eastAsia="Arial" w:hAnsi="Arial"/>
                <w:sz w:val="14"/>
                <w:szCs w:val="14"/>
                <w:color w:val="auto"/>
              </w:rPr>
              <w:t>REAT</w:t>
            </w:r>
            <w:r>
              <w:rPr>
                <w:rFonts w:ascii="Arial" w:cs="Arial" w:eastAsia="Arial" w:hAnsi="Arial"/>
                <w:sz w:val="18"/>
                <w:szCs w:val="18"/>
                <w:color w:val="auto"/>
              </w:rPr>
              <w:t xml:space="preserve"> P</w:t>
            </w:r>
            <w:r>
              <w:rPr>
                <w:rFonts w:ascii="Arial" w:cs="Arial" w:eastAsia="Arial" w:hAnsi="Arial"/>
                <w:sz w:val="14"/>
                <w:szCs w:val="14"/>
                <w:color w:val="auto"/>
              </w:rPr>
              <w:t>LAIN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EEDHAM</w:t>
            </w:r>
            <w:r>
              <w:rPr>
                <w:rFonts w:ascii="Arial" w:cs="Arial" w:eastAsia="Arial" w:hAnsi="Arial"/>
                <w:sz w:val="18"/>
                <w:szCs w:val="18"/>
                <w:color w:val="auto"/>
              </w:rPr>
              <w:t>, MA 02492</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9300 US H</w:t>
            </w:r>
            <w:r>
              <w:rPr>
                <w:rFonts w:ascii="Arial" w:cs="Arial" w:eastAsia="Arial" w:hAnsi="Arial"/>
                <w:sz w:val="14"/>
                <w:szCs w:val="14"/>
                <w:color w:val="auto"/>
              </w:rPr>
              <w:t>IGHWAY</w:t>
            </w:r>
            <w:r>
              <w:rPr>
                <w:rFonts w:ascii="Arial" w:cs="Arial" w:eastAsia="Arial" w:hAnsi="Arial"/>
                <w:sz w:val="18"/>
                <w:szCs w:val="18"/>
                <w:color w:val="auto"/>
              </w:rPr>
              <w:t xml:space="preserve"> 9W</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THENS</w:t>
            </w:r>
            <w:r>
              <w:rPr>
                <w:rFonts w:ascii="Arial" w:cs="Arial" w:eastAsia="Arial" w:hAnsi="Arial"/>
                <w:sz w:val="18"/>
                <w:szCs w:val="18"/>
                <w:color w:val="auto"/>
              </w:rPr>
              <w:t>, NY 12015</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LEASANTVILLE</w:t>
            </w:r>
            <w:r>
              <w:rPr>
                <w:rFonts w:ascii="Arial" w:cs="Arial" w:eastAsia="Arial" w:hAnsi="Arial"/>
                <w:sz w:val="18"/>
                <w:szCs w:val="18"/>
                <w:color w:val="auto"/>
              </w:rPr>
              <w:t>, NY 10570</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8"/>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00" w:type="dxa"/>
            <w:vAlign w:val="bottom"/>
          </w:tcPr>
          <w:p>
            <w:pPr>
              <w:jc w:val="right"/>
              <w:ind w:right="953"/>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80" w:type="dxa"/>
            <w:vAlign w:val="bottom"/>
          </w:tcPr>
          <w:p>
            <w:pPr>
              <w:spacing w:after="0"/>
              <w:rPr>
                <w:sz w:val="17"/>
                <w:szCs w:val="17"/>
                <w:color w:val="auto"/>
              </w:rPr>
            </w:pPr>
          </w:p>
        </w:tc>
        <w:tc>
          <w:tcPr>
            <w:tcW w:w="3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r>
              <w:rPr>
                <w:rFonts w:ascii="Arial" w:cs="Arial" w:eastAsia="Arial" w:hAnsi="Arial"/>
                <w:sz w:val="18"/>
                <w:szCs w:val="18"/>
                <w:color w:val="auto"/>
              </w:rPr>
              <w:t xml:space="preserve"> E</w:t>
            </w:r>
            <w:r>
              <w:rPr>
                <w:rFonts w:ascii="Arial" w:cs="Arial" w:eastAsia="Arial" w:hAnsi="Arial"/>
                <w:sz w:val="14"/>
                <w:szCs w:val="14"/>
                <w:color w:val="auto"/>
              </w:rPr>
              <w:t>STATE</w:t>
            </w:r>
          </w:p>
        </w:tc>
        <w:tc>
          <w:tcPr>
            <w:tcW w:w="4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xml:space="preserve"> &amp; R</w:t>
            </w:r>
            <w:r>
              <w:rPr>
                <w:rFonts w:ascii="Arial" w:cs="Arial" w:eastAsia="Arial" w:hAnsi="Arial"/>
                <w:sz w:val="14"/>
                <w:szCs w:val="14"/>
                <w:color w:val="auto"/>
                <w:w w:val="99"/>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 E</w:t>
            </w:r>
            <w:r>
              <w:rPr>
                <w:rFonts w:ascii="Arial" w:cs="Arial" w:eastAsia="Arial" w:hAnsi="Arial"/>
                <w:sz w:val="14"/>
                <w:szCs w:val="14"/>
                <w:color w:val="auto"/>
              </w:rPr>
              <w:t>NTERTAINMENT</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1999 A</w:t>
            </w:r>
            <w:r>
              <w:rPr>
                <w:rFonts w:ascii="Arial" w:cs="Arial" w:eastAsia="Arial" w:hAnsi="Arial"/>
                <w:sz w:val="14"/>
                <w:szCs w:val="14"/>
                <w:color w:val="auto"/>
              </w:rPr>
              <w:t>VENUE OF THE</w:t>
            </w:r>
            <w:r>
              <w:rPr>
                <w:rFonts w:ascii="Arial" w:cs="Arial" w:eastAsia="Arial" w:hAnsi="Arial"/>
                <w:sz w:val="18"/>
                <w:szCs w:val="18"/>
                <w:color w:val="auto"/>
              </w:rPr>
              <w:t xml:space="preserve"> S</w:t>
            </w:r>
            <w:r>
              <w:rPr>
                <w:rFonts w:ascii="Arial" w:cs="Arial" w:eastAsia="Arial" w:hAnsi="Arial"/>
                <w:sz w:val="14"/>
                <w:szCs w:val="14"/>
                <w:color w:val="auto"/>
              </w:rPr>
              <w:t>TARS</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OS</w:t>
            </w:r>
            <w:r>
              <w:rPr>
                <w:rFonts w:ascii="Arial" w:cs="Arial" w:eastAsia="Arial" w:hAnsi="Arial"/>
                <w:sz w:val="18"/>
                <w:szCs w:val="18"/>
                <w:color w:val="auto"/>
              </w:rPr>
              <w:t xml:space="preserve"> A</w:t>
            </w:r>
            <w:r>
              <w:rPr>
                <w:rFonts w:ascii="Arial" w:cs="Arial" w:eastAsia="Arial" w:hAnsi="Arial"/>
                <w:sz w:val="14"/>
                <w:szCs w:val="14"/>
                <w:color w:val="auto"/>
              </w:rPr>
              <w:t>NGELES</w:t>
            </w:r>
            <w:r>
              <w:rPr>
                <w:rFonts w:ascii="Arial" w:cs="Arial" w:eastAsia="Arial" w:hAnsi="Arial"/>
                <w:sz w:val="18"/>
                <w:szCs w:val="18"/>
                <w:color w:val="auto"/>
              </w:rPr>
              <w:t>, CA 90067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 Debt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w:t>
            </w:r>
            <w:r>
              <w:rPr>
                <w:rFonts w:ascii="Arial" w:cs="Arial" w:eastAsia="Arial" w:hAnsi="Arial"/>
                <w:sz w:val="14"/>
                <w:szCs w:val="14"/>
                <w:color w:val="auto"/>
              </w:rPr>
              <w:t>O</w:t>
            </w:r>
            <w:r>
              <w:rPr>
                <w:rFonts w:ascii="Arial" w:cs="Arial" w:eastAsia="Arial" w:hAnsi="Arial"/>
                <w:sz w:val="18"/>
                <w:szCs w:val="18"/>
                <w:color w:val="auto"/>
              </w:rPr>
              <w:t>. 80202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19975 V</w:t>
            </w:r>
            <w:r>
              <w:rPr>
                <w:rFonts w:ascii="Arial" w:cs="Arial" w:eastAsia="Arial" w:hAnsi="Arial"/>
                <w:sz w:val="14"/>
                <w:szCs w:val="14"/>
                <w:color w:val="auto"/>
              </w:rPr>
              <w:t>ICTOR</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IVONIA</w:t>
            </w:r>
            <w:r>
              <w:rPr>
                <w:rFonts w:ascii="Arial" w:cs="Arial" w:eastAsia="Arial" w:hAnsi="Arial"/>
                <w:sz w:val="18"/>
                <w:szCs w:val="18"/>
                <w:color w:val="auto"/>
              </w:rPr>
              <w:t>, MI 48152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23733 N</w:t>
            </w:r>
            <w:r>
              <w:rPr>
                <w:rFonts w:ascii="Arial" w:cs="Arial" w:eastAsia="Arial" w:hAnsi="Arial"/>
                <w:sz w:val="14"/>
                <w:szCs w:val="14"/>
                <w:color w:val="auto"/>
              </w:rPr>
              <w:t>ORTH</w:t>
            </w:r>
            <w:r>
              <w:rPr>
                <w:rFonts w:ascii="Arial" w:cs="Arial" w:eastAsia="Arial" w:hAnsi="Arial"/>
                <w:sz w:val="18"/>
                <w:szCs w:val="18"/>
                <w:color w:val="auto"/>
              </w:rPr>
              <w:t xml:space="preserve"> S</w:t>
            </w:r>
            <w:r>
              <w:rPr>
                <w:rFonts w:ascii="Arial" w:cs="Arial" w:eastAsia="Arial" w:hAnsi="Arial"/>
                <w:sz w:val="14"/>
                <w:szCs w:val="14"/>
                <w:color w:val="auto"/>
              </w:rPr>
              <w:t>COTTSDALE</w:t>
            </w:r>
            <w:r>
              <w:rPr>
                <w:rFonts w:ascii="Arial" w:cs="Arial" w:eastAsia="Arial" w:hAnsi="Arial"/>
                <w:sz w:val="18"/>
                <w:szCs w:val="18"/>
                <w:color w:val="auto"/>
              </w:rPr>
              <w:t xml:space="preserve"> R</w:t>
            </w:r>
            <w:r>
              <w:rPr>
                <w:rFonts w:ascii="Arial" w:cs="Arial" w:eastAsia="Arial" w:hAnsi="Arial"/>
                <w:sz w:val="14"/>
                <w:szCs w:val="14"/>
                <w:color w:val="auto"/>
              </w:rPr>
              <w:t>D</w:t>
            </w:r>
            <w:r>
              <w:rPr>
                <w:rFonts w:ascii="Arial" w:cs="Arial" w:eastAsia="Arial" w:hAnsi="Arial"/>
                <w:sz w:val="18"/>
                <w:szCs w:val="18"/>
                <w:color w:val="auto"/>
              </w:rPr>
              <w: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COTTSDALE</w:t>
            </w:r>
            <w:r>
              <w:rPr>
                <w:rFonts w:ascii="Arial" w:cs="Arial" w:eastAsia="Arial" w:hAnsi="Arial"/>
                <w:sz w:val="18"/>
                <w:szCs w:val="18"/>
                <w:color w:val="auto"/>
              </w:rPr>
              <w:t>, AZ 85255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4140" w:hanging="5612"/>
        <w:spacing w:after="0" w:line="440"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 58</w:t>
      </w:r>
    </w:p>
    <w:p>
      <w:pPr>
        <w:sectPr>
          <w:pgSz w:w="11900" w:h="16838" w:orient="portrait"/>
          <w:cols w:equalWidth="0" w:num="1">
            <w:col w:w="11420"/>
          </w:cols>
          <w:pgMar w:left="240" w:top="263" w:right="239" w:bottom="1440" w:gutter="0" w:footer="0" w:header="0"/>
        </w:sectPr>
      </w:pPr>
    </w:p>
    <w:bookmarkStart w:id="62" w:name="page63"/>
    <w:bookmarkEnd w:id="6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 forth below is a brief description of each portfolio company in which we have made an investment that represents greater than 5% of our total assets at March 31,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is a diversified provider of specialty services, including scaffolding, industrial coatings, insulation, refractory, and forming and shoring solutions, to North America’s energy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Specialized Technology Resources,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 leader in the consumer testing and inspection market, as well as the leading global provider of solar encapsulants.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280" w:right="339" w:bottom="1440" w:gutter="0" w:footer="0" w:header="0"/>
        </w:sectPr>
      </w:pPr>
    </w:p>
    <w:bookmarkStart w:id="63" w:name="page64"/>
    <w:bookmarkEnd w:id="6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industry composition of the portfolio at fair value on September 30, 2007 and March 31, 2008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March 31,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9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102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40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&amp; Rubber</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0"/>
              </w:rPr>
              <w:t>Home and Office Furnishings, Housewares, &amp; Durable Consumer Products</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Manufacturing/Basic Industry</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Media</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9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vMerge w:val="restart"/>
          </w:tcPr>
          <w:p>
            <w:pPr>
              <w:jc w:val="right"/>
              <w:ind w:right="2933"/>
              <w:spacing w:after="0"/>
              <w:rPr>
                <w:sz w:val="20"/>
                <w:szCs w:val="20"/>
                <w:color w:val="auto"/>
              </w:rPr>
            </w:pPr>
            <w:r>
              <w:rPr>
                <w:rFonts w:ascii="Arial" w:cs="Arial" w:eastAsia="Arial" w:hAnsi="Arial"/>
                <w:sz w:val="18"/>
                <w:szCs w:val="18"/>
                <w:color w:val="auto"/>
              </w:rPr>
              <w:t>60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our charter, our directors are divided into three classes. Each class of directors holds office for a three-year term. However, the initial members of classes II and III have initial terms of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44</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for each executive officer is 590 Madison Avenue,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 or by telephone at (212) 905-1000.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Adam K. Bernstein (44), Director. Mr. Bernstein became a director of PennantPark in February 2007. Mr. Bernstein is currently President of The Bernstein Companies, a Washington, D.C.-based real estate firm which he founded in 1985.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5" w:name="page66"/>
    <w:bookmarkEnd w:id="65"/>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Marshall Brozost (40), Director. Mr. Brozost became a director of PennantPark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Jeffrey Flug (45), Director. Mr. Flug became a director of PennantPark in February 2007. Mr. Flug has been the Chief Executive Officer and Executive Director of Millennium Promise Alliance, Inc. since 2006. Millennium Promise is a non-profit organization whose mission is to eradicate extreme global poverty. Prior to joining Millennium Promise, Mr. Flug was Managing Director and Head of North American Institutional Sales at JP Morgan’s Investment Bank from 2000 to 2006. From 1988 to 2000, Mr. Flug was Managing Director for Goldman Sachs &amp; Co. in its Fixed Income Division.</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Samuel L. Katz (42), Director. Mr. Katz became a director of PennantPark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Arthur H. Penn (44) Founder, Chief Executive Officer and Chairman of the Board of Directors. Mr. Penn became the chief executive officer and a director of PennantPark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Aviv Efrat (44), Chief Financial Officer and Treasurer. Mr. Efrat joined PennantPark in February 2007 as its Chief Financial Officer and Treasurer.</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Efrat is also a Managing Director of PennantPark Investment Administration, LLC. Mr. Efrat was a Director at BlackRock, Inc., a leading investment firm,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Guy Talarico (51) Chief Compliance Officer. Mr. Talarico became PennantPark’s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Committees of the Board of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fiscal year ended September 30, 2007, we held six board meetings, three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The Company’s Board of Directors has determined that Mr. Flug is our “Audit Committee financial expert” as that term is defined under Item 401 of Regulation S-K under the Securities Exchange Act of 1934, as amended (the “Exchange Act”). The Audit Committee Charter is available on the Company’s website: 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http://www.pennantpark.com.</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the Company’s common stock owned, if any; and, a written consent of the individual to stand for election if nominated by the Board of Directors and to serve if elected by the stockholders.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67" w:name="page68"/>
    <w:bookmarkEnd w:id="67"/>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2007.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to</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the</w:t>
            </w:r>
          </w:p>
        </w:tc>
        <w:tc>
          <w:tcPr>
            <w:tcW w:w="4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officer</w:t>
            </w:r>
          </w:p>
        </w:tc>
      </w:tr>
      <w:tr>
        <w:trPr>
          <w:trHeight w:val="201"/>
        </w:trPr>
        <w:tc>
          <w:tcPr>
            <w:tcW w:w="85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30,625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30,625</w:t>
            </w: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28,750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28,750</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line="217" w:lineRule="exact"/>
              <w:rPr>
                <w:sz w:val="20"/>
                <w:szCs w:val="20"/>
                <w:color w:val="auto"/>
              </w:rPr>
            </w:pPr>
            <w:r>
              <w:rPr>
                <w:rFonts w:ascii="Arial" w:cs="Arial" w:eastAsia="Arial" w:hAnsi="Arial"/>
                <w:sz w:val="18"/>
                <w:szCs w:val="18"/>
                <w:color w:val="auto"/>
              </w:rPr>
              <w:t>Aviv Eftrat</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38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PERSONS AND PRINCIPAL STOCKHOLDERS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March 31, 2008, to our knowledge, no person would be deemed to control us, as such term is defined in the Investment Company Act of 1940, as amended (the “1940 Act”).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w:t>
      </w:r>
    </w:p>
    <w:p>
      <w:pPr>
        <w:spacing w:after="0" w:line="13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The following table sets forth, as of March 31, 2008, certain ownership information with respect to our common stock for those persons who directly or indirectly own, control or hold with the power to vote, 5 percent or more of our outstanding common stock and all officers and directors, as a group.</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center"/>
              <w:ind w:right="160"/>
              <w:spacing w:after="0" w:line="13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Type of ownership</w:t>
            </w:r>
            <w:r>
              <w:rPr>
                <w:rFonts w:ascii="Arial" w:cs="Arial" w:eastAsia="Arial" w:hAnsi="Arial"/>
                <w:sz w:val="22"/>
                <w:szCs w:val="22"/>
                <w:b w:val="1"/>
                <w:bCs w:val="1"/>
                <w:color w:val="auto"/>
                <w:w w:val="83"/>
                <w:vertAlign w:val="superscript"/>
              </w:rPr>
              <w:t>(4)</w:t>
            </w:r>
          </w:p>
        </w:tc>
        <w:tc>
          <w:tcPr>
            <w:tcW w:w="460" w:type="dxa"/>
            <w:vAlign w:val="bottom"/>
          </w:tcPr>
          <w:p>
            <w:pPr>
              <w:spacing w:after="0"/>
              <w:rPr>
                <w:sz w:val="12"/>
                <w:szCs w:val="12"/>
                <w:color w:val="auto"/>
              </w:rPr>
            </w:pPr>
          </w:p>
        </w:tc>
        <w:tc>
          <w:tcPr>
            <w:tcW w:w="700" w:type="dxa"/>
            <w:vAlign w:val="bottom"/>
          </w:tcPr>
          <w:p>
            <w:pPr>
              <w:jc w:val="right"/>
              <w:ind w:right="86"/>
              <w:spacing w:after="0" w:line="149"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6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4"/>
                <w:szCs w:val="14"/>
                <w:b w:val="1"/>
                <w:bCs w:val="1"/>
                <w:color w:val="auto"/>
              </w:rPr>
              <w:t>owned</w:t>
            </w:r>
          </w:p>
        </w:tc>
        <w:tc>
          <w:tcPr>
            <w:tcW w:w="4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2500 Westchester Avenue, Suite 215</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color w:val="auto"/>
              </w:rPr>
              <w:t>Bank of America Corporation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1,826,800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North Tryon Street, Floor 25</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Bank of America Corporate Center</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28255</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color w:val="auto"/>
              </w:rPr>
              <w:t>Clough Capital Partners</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1,248,618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1,493,287</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Uetlibergstrasse 231</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 Box 900</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 8070 Zurich, Switzerland</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2,298,452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 UBS Global Asset Management (Americas), Inc.</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North Wacker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Chicago, Illinois 60606</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1,748,008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Adam K. Bernstein</w:t>
            </w:r>
            <w:r>
              <w:rPr>
                <w:rFonts w:ascii="Arial" w:cs="Arial" w:eastAsia="Arial" w:hAnsi="Arial"/>
                <w:sz w:val="22"/>
                <w:szCs w:val="22"/>
                <w:color w:val="auto"/>
                <w:vertAlign w:val="superscript"/>
              </w:rPr>
              <w:t>(2)</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71,601</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7,168</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71,676</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10,751</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(3)</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259,065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13,318</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Guy Talarico</w:t>
            </w:r>
          </w:p>
        </w:tc>
        <w:tc>
          <w:tcPr>
            <w:tcW w:w="1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(7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433,579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right="700" w:hanging="5612"/>
        <w:spacing w:after="0" w:line="371" w:lineRule="auto"/>
        <w:tabs>
          <w:tab w:leader="none" w:pos="3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65</w:t>
      </w:r>
    </w:p>
    <w:p>
      <w:pPr>
        <w:sectPr>
          <w:pgSz w:w="11900" w:h="16838" w:orient="portrait"/>
          <w:cols w:equalWidth="0" w:num="1">
            <w:col w:w="11420"/>
          </w:cols>
          <w:pgMar w:left="240" w:top="274" w:right="239" w:bottom="1440" w:gutter="0" w:footer="0" w:header="0"/>
        </w:sectPr>
      </w:pPr>
    </w:p>
    <w:bookmarkStart w:id="69" w:name="page70"/>
    <w:bookmarkEnd w:id="69"/>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Bernstein is the President of JAM Investments, LLC and may therefore be deemed to own beneficially the 64,434 shares held by JAM Investments, LLC</w:t>
      </w:r>
    </w:p>
    <w:p>
      <w:pPr>
        <w:spacing w:after="0" w:line="99" w:lineRule="exact"/>
        <w:rPr>
          <w:rFonts w:ascii="Arial" w:cs="Arial" w:eastAsia="Arial" w:hAnsi="Arial"/>
          <w:sz w:val="16"/>
          <w:szCs w:val="16"/>
          <w:color w:val="auto"/>
        </w:rPr>
      </w:pPr>
    </w:p>
    <w:p>
      <w:pPr>
        <w:ind w:left="340" w:right="100" w:hanging="332"/>
        <w:spacing w:after="0" w:line="26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223,733 shares held by PennantPark Investment Advisers, LLC.</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340" w:hanging="2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 Officers and Portfolio Managers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March 31, 2008. Information as to the beneficial ownerships based on information furnished to the company by such persons. We are not part of a “family of investment companies,” as that term is defined in the 1940 Act.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line="217" w:lineRule="exact"/>
              <w:rPr>
                <w:sz w:val="20"/>
                <w:szCs w:val="20"/>
                <w:color w:val="auto"/>
              </w:rPr>
            </w:pPr>
            <w:r>
              <w:rPr>
                <w:rFonts w:ascii="Arial" w:cs="Arial" w:eastAsia="Arial" w:hAnsi="Arial"/>
                <w:sz w:val="18"/>
                <w:szCs w:val="18"/>
                <w:color w:val="auto"/>
                <w:w w:val="86"/>
              </w:rPr>
              <w:t>$500,001 - $1,000,000</w:t>
            </w:r>
            <w:r>
              <w:rPr>
                <w:rFonts w:ascii="Arial" w:cs="Arial" w:eastAsia="Arial" w:hAnsi="Arial"/>
                <w:sz w:val="22"/>
                <w:szCs w:val="22"/>
                <w:color w:val="auto"/>
                <w:w w:val="86"/>
                <w:vertAlign w:val="superscript"/>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PennantPark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consisting of two components—a base management fee and an incentive fee (collectively, “Management Fees”).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is</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1.75% from October 1, 2007 through March 31, 2008. Our base management fee will be 2.00% after March 31, 2008. For services rendered under our Investment Management Agreement during the period commencing from the closing of the initial public offering through and including September 30, 2007, the base management fee was payable monthly in arrears. For services rendered under our Investment Management Agreement after September 30, 2007,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six months ended March 31, 2008 and the period January 11, 2007 (inception) to September 30, 2007, the Investment Adviser earned a base management fee, after fee waiver, of $2.9 million and $1.9 million, respectively.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71" w:name="page72"/>
    <w:bookmarkEnd w:id="71"/>
    <w:p>
      <w:pPr>
        <w:jc w:val="both"/>
        <w:ind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1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Demonstrating Quarterly Income-Related Incentive Fee</w:t>
      </w:r>
    </w:p>
    <w:tbl>
      <w:tblPr>
        <w:tblLayout w:type="fixed"/>
        <w:tblInd w:w="0" w:type="dxa"/>
        <w:tblCellMar>
          <w:top w:w="0" w:type="dxa"/>
          <w:left w:w="0" w:type="dxa"/>
          <w:bottom w:w="0" w:type="dxa"/>
          <w:right w:w="0" w:type="dxa"/>
        </w:tblCellMar>
      </w:tblPr>
      <w:tr>
        <w:trPr>
          <w:trHeight w:val="153"/>
        </w:trPr>
        <w:tc>
          <w:tcPr>
            <w:tcW w:w="1260" w:type="dxa"/>
            <w:vAlign w:val="bottom"/>
          </w:tcPr>
          <w:p>
            <w:pPr>
              <w:spacing w:after="0"/>
              <w:rPr>
                <w:sz w:val="13"/>
                <w:szCs w:val="13"/>
                <w:color w:val="auto"/>
              </w:rPr>
            </w:pPr>
          </w:p>
        </w:tc>
        <w:tc>
          <w:tcPr>
            <w:tcW w:w="3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Quarterly pre-incentive fee net investment income</w:t>
            </w:r>
          </w:p>
        </w:tc>
        <w:tc>
          <w:tcPr>
            <w:tcW w:w="2600" w:type="dxa"/>
            <w:vAlign w:val="bottom"/>
          </w:tcPr>
          <w:p>
            <w:pPr>
              <w:spacing w:after="0"/>
              <w:rPr>
                <w:sz w:val="13"/>
                <w:szCs w:val="13"/>
                <w:color w:val="auto"/>
              </w:rPr>
            </w:pPr>
          </w:p>
        </w:tc>
        <w:tc>
          <w:tcPr>
            <w:tcW w:w="4220" w:type="dxa"/>
            <w:vAlign w:val="bottom"/>
            <w:gridSpan w:val="2"/>
          </w:tcPr>
          <w:p>
            <w:pPr>
              <w:jc w:val="center"/>
              <w:ind w:right="1140"/>
              <w:spacing w:after="0" w:line="153" w:lineRule="exact"/>
              <w:rPr>
                <w:sz w:val="20"/>
                <w:szCs w:val="20"/>
                <w:color w:val="auto"/>
              </w:rPr>
            </w:pPr>
            <w:r>
              <w:rPr>
                <w:rFonts w:ascii="Arial" w:cs="Arial" w:eastAsia="Arial" w:hAnsi="Arial"/>
                <w:sz w:val="14"/>
                <w:szCs w:val="14"/>
                <w:b w:val="1"/>
                <w:bCs w:val="1"/>
                <w:color w:val="auto"/>
                <w:w w:val="85"/>
              </w:rPr>
              <w:t>Portion of pre-incentive fee net investment income</w:t>
            </w:r>
          </w:p>
        </w:tc>
      </w:tr>
      <w:tr>
        <w:trPr>
          <w:trHeight w:val="168"/>
        </w:trPr>
        <w:tc>
          <w:tcPr>
            <w:tcW w:w="1260" w:type="dxa"/>
            <w:vAlign w:val="bottom"/>
          </w:tcPr>
          <w:p>
            <w:pPr>
              <w:spacing w:after="0"/>
              <w:rPr>
                <w:sz w:val="14"/>
                <w:szCs w:val="1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(expressed as a rate of return of the value of net assets)</w:t>
            </w:r>
          </w:p>
        </w:tc>
        <w:tc>
          <w:tcPr>
            <w:tcW w:w="260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allocated to income-related incentive fee</w:t>
            </w:r>
          </w:p>
        </w:tc>
        <w:tc>
          <w:tcPr>
            <w:tcW w:w="1140" w:type="dxa"/>
            <w:vAlign w:val="bottom"/>
          </w:tcPr>
          <w:p>
            <w:pPr>
              <w:spacing w:after="0"/>
              <w:rPr>
                <w:sz w:val="14"/>
                <w:szCs w:val="14"/>
                <w:color w:val="auto"/>
              </w:rPr>
            </w:pPr>
          </w:p>
        </w:tc>
      </w:tr>
      <w:tr>
        <w:trPr>
          <w:trHeight w:val="216"/>
        </w:trPr>
        <w:tc>
          <w:tcPr>
            <w:tcW w:w="126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 – 1.75%</w:t>
            </w:r>
          </w:p>
        </w:tc>
        <w:tc>
          <w:tcPr>
            <w:tcW w:w="5680" w:type="dxa"/>
            <w:vAlign w:val="bottom"/>
            <w:gridSpan w:val="2"/>
            <w:shd w:val="clear" w:color="auto" w:fill="CCEEFF"/>
          </w:tcPr>
          <w:p>
            <w:pPr>
              <w:jc w:val="center"/>
              <w:ind w:left="2512"/>
              <w:spacing w:after="0"/>
              <w:rPr>
                <w:sz w:val="20"/>
                <w:szCs w:val="20"/>
                <w:color w:val="auto"/>
              </w:rPr>
            </w:pPr>
            <w:r>
              <w:rPr>
                <w:rFonts w:ascii="Arial" w:cs="Arial" w:eastAsia="Arial" w:hAnsi="Arial"/>
                <w:sz w:val="18"/>
                <w:szCs w:val="18"/>
                <w:color w:val="auto"/>
                <w:w w:val="92"/>
              </w:rPr>
              <w:t>0%</w:t>
            </w:r>
          </w:p>
        </w:tc>
        <w:tc>
          <w:tcPr>
            <w:tcW w:w="114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1.75% – 2.1875%</w:t>
            </w:r>
          </w:p>
        </w:tc>
        <w:tc>
          <w:tcPr>
            <w:tcW w:w="5680" w:type="dxa"/>
            <w:vAlign w:val="bottom"/>
            <w:gridSpan w:val="2"/>
          </w:tcPr>
          <w:p>
            <w:pPr>
              <w:jc w:val="center"/>
              <w:ind w:left="2512"/>
              <w:spacing w:after="0"/>
              <w:rPr>
                <w:sz w:val="20"/>
                <w:szCs w:val="20"/>
                <w:color w:val="auto"/>
              </w:rPr>
            </w:pPr>
            <w:r>
              <w:rPr>
                <w:rFonts w:ascii="Arial" w:cs="Arial" w:eastAsia="Arial" w:hAnsi="Arial"/>
                <w:sz w:val="18"/>
                <w:szCs w:val="18"/>
                <w:color w:val="auto"/>
                <w:w w:val="86"/>
              </w:rPr>
              <w:t>100%</w:t>
            </w:r>
          </w:p>
        </w:tc>
        <w:tc>
          <w:tcPr>
            <w:tcW w:w="114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More than 2.1875%</w:t>
            </w:r>
          </w:p>
        </w:tc>
        <w:tc>
          <w:tcPr>
            <w:tcW w:w="5680" w:type="dxa"/>
            <w:vAlign w:val="bottom"/>
            <w:gridSpan w:val="2"/>
            <w:shd w:val="clear" w:color="auto" w:fill="CCEEFF"/>
          </w:tcPr>
          <w:p>
            <w:pPr>
              <w:jc w:val="center"/>
              <w:ind w:left="2512"/>
              <w:spacing w:after="0"/>
              <w:rPr>
                <w:sz w:val="20"/>
                <w:szCs w:val="20"/>
                <w:color w:val="auto"/>
              </w:rPr>
            </w:pPr>
            <w:r>
              <w:rPr>
                <w:rFonts w:ascii="Arial" w:cs="Arial" w:eastAsia="Arial" w:hAnsi="Arial"/>
                <w:sz w:val="18"/>
                <w:szCs w:val="18"/>
                <w:color w:val="auto"/>
                <w:w w:val="88"/>
              </w:rPr>
              <w:t>20%</w:t>
            </w:r>
          </w:p>
        </w:tc>
        <w:tc>
          <w:tcPr>
            <w:tcW w:w="1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March 31, 2008,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six months ended March 31, 2008 and the period January 11, 2007 (inception) to September 30, 2007, the Investment Adviser earned $1.4 million and zero, respectively, in incentive fees.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Pre-incentive net investment income does not exceed Hurdle; therefore there is no incentive fee.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274" w:right="1440" w:bottom="1440" w:gutter="0" w:footer="0" w:header="0"/>
        </w:sectPr>
      </w:pPr>
    </w:p>
    <w:bookmarkStart w:id="73" w:name="page74"/>
    <w:bookmarkEnd w:id="7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Catch-up = 2.1875% - 1.75%</w:t>
      </w:r>
    </w:p>
    <w:p>
      <w:pPr>
        <w:spacing w:after="0" w:line="90" w:lineRule="exact"/>
        <w:rPr>
          <w:sz w:val="20"/>
          <w:szCs w:val="20"/>
          <w:color w:val="auto"/>
        </w:rPr>
      </w:pPr>
    </w:p>
    <w:p>
      <w:pPr>
        <w:ind w:left="1040" w:hanging="13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will be 2.00% of our average adjusted gross total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PennantPark, on February 13, 2007. Unless terminated earlier as described below, our Investment Management Agreement will continue in effect for a period of two years from its execution date through April 17, 2009.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00" w:firstLine="456"/>
        <w:spacing w:after="0" w:line="304"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 For the six months ended March 31, 2008 and the period January 11, 2007 (inception) to September 30, 2007, the Investment Adviser was reimbursed $1.1 million and approximately $490,000, respectively, from the Company, including expenses it incurred on behalf of the Administrator for the services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6" w:name="page77"/>
    <w:bookmarkEnd w:id="7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(see Part C —“Undertakings”),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77" w:name="page78"/>
    <w:bookmarkEnd w:id="77"/>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our stockholders at a price equivalent to less than the then current net asset value per share of common stock, taking into account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280" w:right="4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REINVESTMENT PLAN</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on the valuation date for such distribution. Market price per share on that date will be the closing price for such shares on NASDAQ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On March 31, 2008 our authorized capital stock consisted of 100,000,000 shares of stock, par value $0.001 per share, all of which is classified as common stock. Our common stock is quoted on NASDAQ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last reported closing market price of our common stock on May 21, 2008 was $8.15 per share. As of May 21, 2008, we had 15 stockholders of record.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May 21,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0" w:name="page81"/>
    <w:bookmarkEnd w:id="8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81" w:name="page82"/>
    <w:bookmarkEnd w:id="81"/>
    <w:p>
      <w:pPr>
        <w:ind w:right="1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and in each case, those directors will serve until their successors are duly elected and qualify.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82" w:name="page83"/>
    <w:bookmarkEnd w:id="82"/>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share acquisitions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80"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PREFERRED STOCK</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generally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274" w:right="339" w:bottom="1440" w:gutter="0" w:footer="0" w:header="0"/>
        </w:sectPr>
      </w:pPr>
    </w:p>
    <w:bookmarkStart w:id="87" w:name="page88"/>
    <w:bookmarkEnd w:id="87"/>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SUBSCRIPTION RIGHTS</w:t>
      </w:r>
    </w:p>
    <w:p>
      <w:pPr>
        <w:spacing w:after="0" w:line="177"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taking into account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74" w:right="2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0" w:name="page91"/>
    <w:bookmarkEnd w:id="90"/>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91" w:name="page92"/>
    <w:bookmarkEnd w:id="91"/>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80"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274" w:right="299" w:bottom="1440" w:gutter="0" w:footer="0" w:header="0"/>
        </w:sectPr>
      </w:pPr>
    </w:p>
    <w:bookmarkStart w:id="94" w:name="page95"/>
    <w:bookmarkEnd w:id="94"/>
    <w:p>
      <w:pPr>
        <w:ind w:left="900" w:right="2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240" w:top="280"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74" w:right="279" w:bottom="1440" w:gutter="0" w:footer="0" w:header="0"/>
        </w:sectPr>
      </w:pPr>
    </w:p>
    <w:bookmarkStart w:id="100" w:name="page101"/>
    <w:bookmarkEnd w:id="100"/>
    <w:p>
      <w:pPr>
        <w:ind w:left="900" w:right="18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80"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66"/>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jc w:val="both"/>
        <w:ind w:left="920" w:right="440" w:firstLine="421"/>
        <w:spacing w:after="0" w:line="259" w:lineRule="auto"/>
        <w:tabs>
          <w:tab w:leader="none" w:pos="1579" w:val="left"/>
        </w:tabs>
        <w:numPr>
          <w:ilvl w:val="1"/>
          <w:numId w:val="6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03" w:name="page104"/>
    <w:bookmarkEnd w:id="103"/>
    <w:p>
      <w:pPr>
        <w:ind w:left="460" w:right="16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Effective mid-July, 2008, the definition of eligible portfolio company will be expanded to include any domestic operating company that has a class of securities listed on a national securities exchange provided it has a market capitalization of less than $250 million. Market capitalization will be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104" w:name="page105"/>
    <w:bookmarkEnd w:id="10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Voting Records</w:t>
      </w:r>
    </w:p>
    <w:p>
      <w:pPr>
        <w:spacing w:after="0" w:line="90" w:lineRule="exact"/>
        <w:rPr>
          <w:sz w:val="20"/>
          <w:szCs w:val="20"/>
          <w:color w:val="auto"/>
        </w:rPr>
      </w:pPr>
    </w:p>
    <w:p>
      <w:pPr>
        <w:ind w:right="80" w:firstLine="456"/>
        <w:spacing w:after="0" w:line="304"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and PennantPark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280" w:right="299" w:bottom="1440" w:gutter="0" w:footer="0" w:header="0"/>
        </w:sectPr>
      </w:pPr>
    </w:p>
    <w:bookmarkStart w:id="106" w:name="page107"/>
    <w:bookmarkEnd w:id="106"/>
    <w:p>
      <w:pPr>
        <w:ind w:left="900" w:right="10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80"/>
          </w:cols>
          <w:pgMar w:left="240" w:top="280" w:right="37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BROKERAGE ALLOCATIONS AND OTHER PRACTICES</w:t>
      </w:r>
    </w:p>
    <w:p>
      <w:pPr>
        <w:spacing w:after="0" w:line="1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order to qualify as a RIC for federal income tax purposes, we must, among other things:</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446"/>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80" w:hanging="446"/>
        <w:spacing w:after="0" w:line="306" w:lineRule="auto"/>
        <w:tabs>
          <w:tab w:leader="none" w:pos="14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Qualify as a RIC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112" w:name="page113"/>
    <w:bookmarkEnd w:id="11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113" w:name="page114"/>
    <w:bookmarkEnd w:id="113"/>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of our “investment company taxable income” to Non-U.S. stockholders (including interest income and net short-term capital gain, which generally would be free of withholding if paid to Non-U.S. stockholders directly)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280" w:right="29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274" w:right="279" w:bottom="1440" w:gutter="0" w:footer="0" w:header="0"/>
        </w:sectPr>
      </w:pPr>
    </w:p>
    <w:bookmarkStart w:id="115" w:name="page116"/>
    <w:bookmarkEnd w:id="1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280" w:right="31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CUSTODIAN, TRANSFER AGENT AND TRUSTEE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PFPC,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Certain legal matters regarding the securities offered by this prospectus will be passed upon for PennantPark by Dechert LLP, Washington, D.C.</w:t>
      </w: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March 31, 2008, and for the six-month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274" w:right="2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78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9"/>
              </w:rPr>
              <w:t>I 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18"/>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18"/>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10900" w:type="dxa"/>
            <w:vAlign w:val="bottom"/>
            <w:gridSpan w:val="18"/>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1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Statements of Assets and Liabilities at September 30, 2007</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1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Statements of Operations for the period from January 11, 2007 (inception) through September 30, 2007</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1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Statements of Changes in Net Assets for the period from January 11, 2007 (inception) through September 30, 2007</w:t>
              </w:r>
            </w:hyperlink>
          </w:p>
        </w:tc>
        <w:tc>
          <w:tcPr>
            <w:tcW w:w="520" w:type="dxa"/>
            <w:vAlign w:val="bottom"/>
          </w:tcPr>
          <w:p>
            <w:pPr>
              <w:spacing w:after="0"/>
              <w:rPr>
                <w:sz w:val="24"/>
                <w:szCs w:val="24"/>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86"/>
        </w:trPr>
        <w:tc>
          <w:tcPr>
            <w:tcW w:w="10900" w:type="dxa"/>
            <w:vAlign w:val="bottom"/>
            <w:gridSpan w:val="18"/>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Statements of Cash Flows for the period from January 11, 2007 (inception) through September 30, 2007</w:t>
              </w:r>
            </w:hyperlink>
          </w:p>
        </w:tc>
        <w:tc>
          <w:tcPr>
            <w:tcW w:w="520" w:type="dxa"/>
            <w:vAlign w:val="bottom"/>
          </w:tcPr>
          <w:p>
            <w:pPr>
              <w:spacing w:after="0"/>
              <w:rPr>
                <w:sz w:val="24"/>
                <w:szCs w:val="24"/>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86"/>
        </w:trPr>
        <w:tc>
          <w:tcPr>
            <w:tcW w:w="10900" w:type="dxa"/>
            <w:vAlign w:val="bottom"/>
            <w:gridSpan w:val="18"/>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Schedules of Investments at September 30, 2007</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21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Notes to Financial Statements</w:t>
              </w:r>
            </w:hyperlink>
          </w:p>
        </w:tc>
        <w:tc>
          <w:tcPr>
            <w:tcW w:w="1300" w:type="dxa"/>
            <w:vAlign w:val="bottom"/>
            <w:tcBorders>
              <w:top w:val="single" w:sz="8" w:color="0000EE"/>
            </w:tcBorders>
            <w:gridSpan w:val="2"/>
          </w:tcPr>
          <w:p>
            <w:pPr>
              <w:spacing w:after="0"/>
              <w:rPr>
                <w:sz w:val="24"/>
                <w:szCs w:val="24"/>
                <w:color w:val="auto"/>
              </w:rPr>
            </w:pPr>
          </w:p>
        </w:tc>
        <w:tc>
          <w:tcPr>
            <w:tcW w:w="74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43"/>
        </w:trPr>
        <w:tc>
          <w:tcPr>
            <w:tcW w:w="10900" w:type="dxa"/>
            <w:vAlign w:val="bottom"/>
            <w:gridSpan w:val="18"/>
          </w:tcPr>
          <w:p>
            <w:pPr>
              <w:spacing w:after="0"/>
              <w:rPr>
                <w:sz w:val="20"/>
                <w:szCs w:val="20"/>
                <w:color w:val="auto"/>
              </w:rPr>
            </w:pPr>
            <w:r>
              <w:rPr>
                <w:rFonts w:ascii="Arial" w:cs="Arial" w:eastAsia="Arial" w:hAnsi="Arial"/>
                <w:sz w:val="18"/>
                <w:szCs w:val="18"/>
                <w:b w:val="1"/>
                <w:bCs w:val="1"/>
                <w:color w:val="auto"/>
              </w:rPr>
              <w:t>Interim Financial Statements</w:t>
            </w:r>
          </w:p>
        </w:tc>
        <w:tc>
          <w:tcPr>
            <w:tcW w:w="520" w:type="dxa"/>
            <w:vAlign w:val="bottom"/>
          </w:tcPr>
          <w:p>
            <w:pPr>
              <w:spacing w:after="0"/>
              <w:rPr>
                <w:sz w:val="24"/>
                <w:szCs w:val="24"/>
                <w:color w:val="auto"/>
              </w:rPr>
            </w:pPr>
          </w:p>
        </w:tc>
      </w:tr>
      <w:tr>
        <w:trPr>
          <w:trHeight w:val="286"/>
        </w:trPr>
        <w:tc>
          <w:tcPr>
            <w:tcW w:w="10900" w:type="dxa"/>
            <w:vAlign w:val="bottom"/>
            <w:gridSpan w:val="18"/>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F-20</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64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Statements of Assets and Liabilities at March 31, 2008 (unaudited) and September 30, 2007</w:t>
              </w:r>
            </w:hyperlink>
          </w:p>
        </w:tc>
        <w:tc>
          <w:tcPr>
            <w:tcW w:w="44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F-21</w:t>
            </w:r>
          </w:p>
        </w:tc>
      </w:tr>
      <w:tr>
        <w:trPr>
          <w:trHeight w:val="304"/>
        </w:trPr>
        <w:tc>
          <w:tcPr>
            <w:tcW w:w="10900" w:type="dxa"/>
            <w:vAlign w:val="bottom"/>
            <w:gridSpan w:val="18"/>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Statements of Operations (unaudited) for the three and six months ended March 31, 2008 and period from January 11, 2007 (inception) through March</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39">
              <w:r>
                <w:rPr>
                  <w:rFonts w:ascii="Arial" w:cs="Arial" w:eastAsia="Arial" w:hAnsi="Arial"/>
                  <w:sz w:val="18"/>
                  <w:szCs w:val="18"/>
                  <w:color w:val="0000EE"/>
                  <w:w w:val="85"/>
                </w:rPr>
                <w:t>31, 2007</w:t>
              </w:r>
            </w:hyperlink>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304"/>
        </w:trPr>
        <w:tc>
          <w:tcPr>
            <w:tcW w:w="103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40">
              <w:r>
                <w:rPr>
                  <w:rFonts w:ascii="Arial" w:cs="Arial" w:eastAsia="Arial" w:hAnsi="Arial"/>
                  <w:sz w:val="18"/>
                  <w:szCs w:val="18"/>
                  <w:color w:val="0000EE"/>
                  <w:w w:val="87"/>
                </w:rPr>
                <w:t>Statements of Changes in Net Assets for the three and six months ended March 31, 2008 (unaudited) and period from January 11, 2007 (inception)</w:t>
              </w:r>
            </w:hyperlink>
          </w:p>
        </w:tc>
        <w:tc>
          <w:tcPr>
            <w:tcW w:w="58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680" w:type="dxa"/>
            <w:vAlign w:val="bottom"/>
            <w:gridSpan w:val="1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through September 30, 2007</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18"/>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Statements of Cash Flows (unaudited) for the six months ended March 31, 2008 and for the period from January 11, 2007 (inception) through March 31,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1">
              <w:r>
                <w:rPr>
                  <w:rFonts w:ascii="Arial" w:cs="Arial" w:eastAsia="Arial" w:hAnsi="Arial"/>
                  <w:sz w:val="18"/>
                  <w:szCs w:val="18"/>
                  <w:color w:val="0000EE"/>
                  <w:w w:val="84"/>
                </w:rPr>
                <w:t>2007</w:t>
              </w:r>
            </w:hyperlink>
          </w:p>
        </w:tc>
        <w:tc>
          <w:tcPr>
            <w:tcW w:w="2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304"/>
        </w:trPr>
        <w:tc>
          <w:tcPr>
            <w:tcW w:w="57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42">
              <w:r>
                <w:rPr>
                  <w:rFonts w:ascii="Arial" w:cs="Arial" w:eastAsia="Arial" w:hAnsi="Arial"/>
                  <w:sz w:val="18"/>
                  <w:szCs w:val="18"/>
                  <w:color w:val="0000EE"/>
                  <w:w w:val="87"/>
                </w:rPr>
                <w:t>Schedules of Investments at March 31, 2008 (unaudited) and September 30, 2007</w:t>
              </w:r>
            </w:hyperlink>
          </w:p>
        </w:tc>
        <w:tc>
          <w:tcPr>
            <w:tcW w:w="516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304"/>
        </w:trPr>
        <w:tc>
          <w:tcPr>
            <w:tcW w:w="10900" w:type="dxa"/>
            <w:vAlign w:val="bottom"/>
            <w:gridSpan w:val="1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Notes to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9"/>
          </w:tcPr>
          <w:p>
            <w:pPr>
              <w:jc w:val="center"/>
              <w:ind w:right="360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 of assets and liabilities of PennantPark Investment Corporation (the “Company”), including the schedule of investments, as of September 30, 2007 and the related consolidated statements of operations, changes in net assets, and cash flows for the period from January 11, 2007 (inception) through September 30, 2007. These consolidated financial statements are the responsibility of the Company’s management. Our responsibility is to express an opinion on these consolidated financial statements based on our audit.</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 in accordance with the auditing standards of the Public Company Accounting Oversight Board (United States). These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as of September 30, 2007, and the results of its operations, changes in its net assets and its cash flows for the period from January 11, 2007 (inception) through September 30, 2007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3375" cy="360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4"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line="217" w:lineRule="exact"/>
              <w:rPr>
                <w:sz w:val="20"/>
                <w:szCs w:val="20"/>
                <w:color w:val="auto"/>
              </w:rPr>
            </w:pPr>
            <w:r>
              <w:rPr>
                <w:rFonts w:ascii="Arial" w:cs="Arial" w:eastAsia="Arial" w:hAnsi="Arial"/>
                <w:sz w:val="18"/>
                <w:szCs w:val="18"/>
                <w:color w:val="auto"/>
              </w:rPr>
              <w:t>Investments, at fair value (cost—$314,881,870)</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(cost—$258,016,351)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 100,000,000 shares authorized and 21,068,772 shares issued and outstanding</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4" w:right="239" w:bottom="1440" w:gutter="0" w:footer="0" w:header="0"/>
        </w:sectPr>
      </w:pPr>
    </w:p>
    <w:bookmarkStart w:id="120" w:name="page121"/>
    <w:bookmarkEnd w:id="120"/>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Organizational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Expenses before management fee waiver and 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Management fee waiver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Net expenses</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(24,003,747)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(See note 6)</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121" w:name="page122"/>
    <w:bookmarkEnd w:id="121"/>
    <w:p>
      <w:pPr>
        <w:jc w:val="center"/>
        <w:ind w:left="190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ind w:left="1901"/>
        <w:spacing w:after="0"/>
        <w:rPr>
          <w:sz w:val="20"/>
          <w:szCs w:val="20"/>
          <w:color w:val="auto"/>
        </w:rPr>
      </w:pPr>
      <w:r>
        <w:rPr>
          <w:rFonts w:ascii="Arial" w:cs="Arial" w:eastAsia="Arial" w:hAnsi="Arial"/>
          <w:sz w:val="16"/>
          <w:szCs w:val="16"/>
          <w:b w:val="1"/>
          <w:bCs w:val="1"/>
          <w:color w:val="auto"/>
        </w:rPr>
        <w:t>CONSOLIDATED STATEMENT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 in net assets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realized loss on investments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Dividends from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Return of capital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Offering costs related to public share offerings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Reinvestment of dividends (43,772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Period from</w:t>
      </w:r>
    </w:p>
    <w:p>
      <w:pPr>
        <w:jc w:val="center"/>
        <w:ind w:right="59"/>
        <w:spacing w:after="0" w:line="223" w:lineRule="auto"/>
        <w:rPr>
          <w:sz w:val="20"/>
          <w:szCs w:val="20"/>
          <w:color w:val="auto"/>
        </w:rPr>
      </w:pPr>
      <w:r>
        <w:rPr>
          <w:rFonts w:ascii="Arial" w:cs="Arial" w:eastAsia="Arial" w:hAnsi="Arial"/>
          <w:sz w:val="14"/>
          <w:szCs w:val="14"/>
          <w:b w:val="1"/>
          <w:bCs w:val="1"/>
          <w:color w:val="auto"/>
        </w:rPr>
        <w:t>January 11,</w:t>
      </w:r>
    </w:p>
    <w:p>
      <w:pPr>
        <w:jc w:val="center"/>
        <w:ind w:right="59"/>
        <w:spacing w:after="0" w:line="222" w:lineRule="auto"/>
        <w:rPr>
          <w:sz w:val="20"/>
          <w:szCs w:val="20"/>
          <w:color w:val="auto"/>
        </w:rPr>
      </w:pPr>
      <w:r>
        <w:rPr>
          <w:rFonts w:ascii="Arial" w:cs="Arial" w:eastAsia="Arial" w:hAnsi="Arial"/>
          <w:sz w:val="14"/>
          <w:szCs w:val="14"/>
          <w:b w:val="1"/>
          <w:bCs w:val="1"/>
          <w:color w:val="auto"/>
        </w:rPr>
        <w:t>2007 (inception)</w:t>
      </w:r>
    </w:p>
    <w:p>
      <w:pPr>
        <w:jc w:val="center"/>
        <w:ind w:right="59"/>
        <w:spacing w:after="0" w:line="221" w:lineRule="auto"/>
        <w:rPr>
          <w:sz w:val="20"/>
          <w:szCs w:val="20"/>
          <w:color w:val="auto"/>
        </w:rPr>
      </w:pPr>
      <w:r>
        <w:rPr>
          <w:rFonts w:ascii="Arial" w:cs="Arial" w:eastAsia="Arial" w:hAnsi="Arial"/>
          <w:sz w:val="14"/>
          <w:szCs w:val="14"/>
          <w:b w:val="1"/>
          <w:bCs w:val="1"/>
          <w:color w:val="auto"/>
        </w:rPr>
        <w:t>through</w:t>
      </w:r>
    </w:p>
    <w:p>
      <w:pPr>
        <w:jc w:val="center"/>
        <w:ind w:right="59"/>
        <w:spacing w:after="0" w:line="222" w:lineRule="auto"/>
        <w:rPr>
          <w:sz w:val="20"/>
          <w:szCs w:val="20"/>
          <w:color w:val="auto"/>
        </w:rPr>
      </w:pPr>
      <w:r>
        <w:rPr>
          <w:rFonts w:ascii="Arial" w:cs="Arial" w:eastAsia="Arial" w:hAnsi="Arial"/>
          <w:sz w:val="14"/>
          <w:szCs w:val="14"/>
          <w:b w:val="1"/>
          <w:bCs w:val="1"/>
          <w:color w:val="auto"/>
        </w:rPr>
        <w:t>September 30,</w:t>
      </w:r>
    </w:p>
    <w:p>
      <w:pPr>
        <w:jc w:val="center"/>
        <w:ind w:right="59"/>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858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8" w:lineRule="exact"/>
        <w:rPr>
          <w:sz w:val="20"/>
          <w:szCs w:val="20"/>
          <w:color w:val="auto"/>
        </w:rPr>
      </w:pPr>
    </w:p>
    <w:p>
      <w:pPr>
        <w:ind w:left="381" w:hanging="381"/>
        <w:spacing w:after="0"/>
        <w:tabs>
          <w:tab w:leader="none" w:pos="381" w:val="left"/>
        </w:tabs>
        <w:numPr>
          <w:ilvl w:val="0"/>
          <w:numId w:val="76"/>
        </w:numPr>
        <w:rPr>
          <w:rFonts w:ascii="Arial" w:cs="Arial" w:eastAsia="Arial" w:hAnsi="Arial"/>
          <w:sz w:val="16"/>
          <w:szCs w:val="16"/>
          <w:color w:val="auto"/>
        </w:rPr>
      </w:pPr>
      <w:r>
        <w:rPr>
          <w:rFonts w:ascii="Arial" w:cs="Arial" w:eastAsia="Arial" w:hAnsi="Arial"/>
          <w:sz w:val="16"/>
          <w:szCs w:val="16"/>
          <w:color w:val="auto"/>
        </w:rPr>
        <w:t>7,304,496</w:t>
      </w:r>
    </w:p>
    <w:p>
      <w:pPr>
        <w:spacing w:after="0" w:line="38" w:lineRule="exact"/>
        <w:rPr>
          <w:rFonts w:ascii="Arial" w:cs="Arial" w:eastAsia="Arial" w:hAnsi="Arial"/>
          <w:sz w:val="16"/>
          <w:szCs w:val="16"/>
          <w:color w:val="auto"/>
        </w:rPr>
      </w:pPr>
    </w:p>
    <w:p>
      <w:pPr>
        <w:ind w:left="541"/>
        <w:spacing w:after="0"/>
        <w:rPr>
          <w:rFonts w:ascii="Arial" w:cs="Arial" w:eastAsia="Arial" w:hAnsi="Arial"/>
          <w:sz w:val="16"/>
          <w:szCs w:val="16"/>
          <w:color w:val="auto"/>
        </w:rPr>
      </w:pPr>
      <w:r>
        <w:rPr>
          <w:rFonts w:ascii="Arial" w:cs="Arial" w:eastAsia="Arial" w:hAnsi="Arial"/>
          <w:sz w:val="16"/>
          <w:szCs w:val="16"/>
          <w:color w:val="auto"/>
        </w:rPr>
        <w:t>(81,769)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(23,921,978)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(16,699,251)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(7,545,458)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(7,573,814)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315,375,000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(21,309,375)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294,666,159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858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9"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270,393,094</w:t>
      </w:r>
    </w:p>
    <w:p>
      <w:pPr>
        <w:spacing w:after="0" w:line="248" w:lineRule="exact"/>
        <w:rPr>
          <w:sz w:val="20"/>
          <w:szCs w:val="20"/>
          <w:color w:val="auto"/>
        </w:rPr>
      </w:pPr>
    </w:p>
    <w:p>
      <w:pPr>
        <w:ind w:left="82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  270,393,094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858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2">
            <w:col w:w="9539" w:space="720"/>
            <w:col w:w="1141"/>
          </w:cols>
          <w:pgMar w:left="240" w:top="274" w:right="259" w:bottom="1440" w:gutter="0" w:footer="0" w:header="0"/>
        </w:sectPr>
      </w:pPr>
    </w:p>
    <w:bookmarkStart w:id="122" w:name="page123"/>
    <w:bookmarkEnd w:id="122"/>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102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2007 (inception)</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10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(16,699,251)</w:t>
            </w: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23,921,978</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(414,640,441)</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99,635,961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(4,517,850)</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(252,287)</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payables for cash equivalents purchased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252,759,931</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16,583,921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1,280,782</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(37,871,414)</w:t>
            </w: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315,375,000</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(1,261,296)</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271,913,786</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(261,913,786)</w:t>
            </w: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Dividends and distributions to stockholders (net of dividends reinvested)</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(6,973,280)</w:t>
            </w: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295,831,049</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9"/>
                <w:szCs w:val="19"/>
                <w:color w:val="auto"/>
              </w:rPr>
            </w:pPr>
          </w:p>
        </w:tc>
      </w:tr>
      <w:tr>
        <w:trPr>
          <w:trHeight w:val="20"/>
        </w:trPr>
        <w:tc>
          <w:tcPr>
            <w:tcW w:w="10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440"/>
              <w:spacing w:after="0"/>
              <w:rPr>
                <w:sz w:val="20"/>
                <w:szCs w:val="20"/>
                <w:color w:val="auto"/>
              </w:rPr>
            </w:pPr>
            <w:r>
              <w:rPr>
                <w:rFonts w:ascii="Arial" w:cs="Arial" w:eastAsia="Arial" w:hAnsi="Arial"/>
                <w:sz w:val="18"/>
                <w:szCs w:val="18"/>
                <w:color w:val="auto"/>
              </w:rPr>
              <w:t>Interest paid during the period January 11, 2007 (inception) through September 30, 2007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1,598,055</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financing activities consist of the reinvestment of dividends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ind w:left="440"/>
              <w:spacing w:after="0"/>
              <w:rPr>
                <w:sz w:val="20"/>
                <w:szCs w:val="20"/>
                <w:color w:val="auto"/>
              </w:rPr>
            </w:pPr>
            <w:r>
              <w:rPr>
                <w:rFonts w:ascii="Arial" w:cs="Arial" w:eastAsia="Arial" w:hAnsi="Arial"/>
                <w:sz w:val="18"/>
                <w:szCs w:val="18"/>
                <w:color w:val="auto"/>
              </w:rPr>
              <w:t>Payment-in-kind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668,268</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23" w:name="page124"/>
    <w:bookmarkEnd w:id="123"/>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Current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176"/>
        </w:trPr>
        <w:tc>
          <w:tcPr>
            <w:tcW w:w="4100" w:type="dxa"/>
            <w:vAlign w:val="bottom"/>
            <w:gridSpan w:val="3"/>
            <w:vMerge w:val="continue"/>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640" w:type="dxa"/>
            <w:vAlign w:val="bottom"/>
          </w:tcPr>
          <w:p>
            <w:pPr>
              <w:spacing w:after="0"/>
              <w:rPr>
                <w:sz w:val="15"/>
                <w:szCs w:val="15"/>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Coupon</w:t>
            </w:r>
          </w:p>
        </w:tc>
        <w:tc>
          <w:tcPr>
            <w:tcW w:w="70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 / Corporate Notes—21.2%</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DVANSTAR</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11/30/2015</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12.20%*</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L+700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FFINION</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03/01/2012</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CONSUMER PRODUCTS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L+625</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18,106,103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3,837,578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3,592,573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w:t>
            </w:r>
            <w:r>
              <w:rPr>
                <w:rFonts w:ascii="Arial" w:cs="Arial" w:eastAsia="Arial" w:hAnsi="Arial"/>
                <w:sz w:val="9"/>
                <w:szCs w:val="9"/>
                <w:color w:val="auto"/>
              </w:rPr>
              <w:t>EALOGY</w:t>
            </w:r>
            <w:r>
              <w:rPr>
                <w:rFonts w:ascii="Arial" w:cs="Arial" w:eastAsia="Arial" w:hAnsi="Arial"/>
                <w:sz w:val="11"/>
                <w:szCs w:val="11"/>
                <w:color w:val="auto"/>
              </w:rPr>
              <w:t xml:space="preserve"> C</w:t>
            </w:r>
            <w:r>
              <w:rPr>
                <w:rFonts w:ascii="Arial" w:cs="Arial" w:eastAsia="Arial" w:hAnsi="Arial"/>
                <w:sz w:val="9"/>
                <w:szCs w:val="9"/>
                <w:color w:val="auto"/>
              </w:rPr>
              <w:t>ORP</w:t>
            </w:r>
            <w:r>
              <w:rPr>
                <w:rFonts w:ascii="Arial" w:cs="Arial" w:eastAsia="Arial" w:hAnsi="Arial"/>
                <w:sz w:val="11"/>
                <w:szCs w:val="11"/>
                <w:color w:val="auto"/>
              </w:rPr>
              <w:t>.</w:t>
            </w:r>
            <w:r>
              <w:rPr>
                <w:rFonts w:ascii="Arial" w:cs="Arial" w:eastAsia="Arial" w:hAnsi="Arial"/>
                <w:sz w:val="17"/>
                <w:szCs w:val="17"/>
                <w:color w:val="auto"/>
                <w:vertAlign w:val="superscript"/>
              </w:rPr>
              <w:t>(5)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BUILDINGS &amp; REAL</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26,117,780</w:t>
            </w: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0"/>
              <w:spacing w:after="0" w:line="149" w:lineRule="exact"/>
              <w:rPr>
                <w:sz w:val="20"/>
                <w:szCs w:val="20"/>
                <w:color w:val="auto"/>
              </w:rPr>
            </w:pPr>
            <w:r>
              <w:rPr>
                <w:rFonts w:ascii="Arial" w:cs="Arial" w:eastAsia="Arial" w:hAnsi="Arial"/>
                <w:sz w:val="14"/>
                <w:szCs w:val="14"/>
                <w:color w:val="auto"/>
                <w:w w:val="84"/>
              </w:rPr>
              <w:t>ESTATE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 / Corporate Notes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64,918,268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62,397,146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57,318,268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equity**—2.6%</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w:t>
            </w:r>
            <w:r>
              <w:rPr>
                <w:rFonts w:ascii="Arial" w:cs="Arial" w:eastAsia="Arial" w:hAnsi="Arial"/>
                <w:sz w:val="11"/>
                <w:szCs w:val="11"/>
                <w:color w:val="auto"/>
              </w:rPr>
              <w:t>OLDINGS</w:t>
            </w:r>
            <w:r>
              <w:rPr>
                <w:rFonts w:ascii="Arial" w:cs="Arial" w:eastAsia="Arial" w:hAnsi="Arial"/>
                <w:sz w:val="14"/>
                <w:szCs w:val="14"/>
                <w:color w:val="auto"/>
              </w:rPr>
              <w:t>, L.L.C.</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6,750,000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7,019,685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Debt—25.0%</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11.11%</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L+575</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11/04/2014</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L+650</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05/15/2015</w:t>
            </w:r>
          </w:p>
        </w:tc>
        <w:tc>
          <w:tcPr>
            <w:tcW w:w="198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13.31%</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L+775</w:t>
            </w: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10,000,000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9,932,321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6,800,000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05/15/2017</w:t>
            </w:r>
          </w:p>
        </w:tc>
        <w:tc>
          <w:tcPr>
            <w:tcW w:w="198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19,000,000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16,198,167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PECIALIZED</w:t>
            </w:r>
            <w:r>
              <w:rPr>
                <w:rFonts w:ascii="Arial" w:cs="Arial" w:eastAsia="Arial" w:hAnsi="Arial"/>
                <w:sz w:val="14"/>
                <w:szCs w:val="14"/>
                <w:color w:val="auto"/>
              </w:rPr>
              <w:t xml:space="preserve"> T</w:t>
            </w:r>
            <w:r>
              <w:rPr>
                <w:rFonts w:ascii="Arial" w:cs="Arial" w:eastAsia="Arial" w:hAnsi="Arial"/>
                <w:sz w:val="11"/>
                <w:szCs w:val="11"/>
                <w:color w:val="auto"/>
              </w:rPr>
              <w:t>ECHNOLOGY</w:t>
            </w:r>
            <w:r>
              <w:rPr>
                <w:rFonts w:ascii="Arial" w:cs="Arial" w:eastAsia="Arial" w:hAnsi="Arial"/>
                <w:sz w:val="14"/>
                <w:szCs w:val="14"/>
                <w:color w:val="auto"/>
              </w:rPr>
              <w:t xml:space="preserve"> R</w:t>
            </w:r>
            <w:r>
              <w:rPr>
                <w:rFonts w:ascii="Arial" w:cs="Arial" w:eastAsia="Arial" w:hAnsi="Arial"/>
                <w:sz w:val="11"/>
                <w:szCs w:val="11"/>
                <w:color w:val="auto"/>
              </w:rPr>
              <w:t>ESOURCES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12/15//</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CHEMICAL, PLASTICS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2014</w:t>
            </w: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2"/>
              </w:rPr>
              <w:t>&amp; RUBBER</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12.13%</w:t>
            </w:r>
          </w:p>
        </w:tc>
        <w:tc>
          <w:tcPr>
            <w:tcW w:w="7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L+700</w:t>
            </w: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17,500,000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17,493,750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17,237,500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RANS</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L+600</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13,000,000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12,886,250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78,250,000</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75,260,488</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67,748,750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124" w:name="page125"/>
    <w:bookmarkEnd w:id="124"/>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Current</w:t>
            </w:r>
          </w:p>
        </w:tc>
        <w:tc>
          <w:tcPr>
            <w:tcW w:w="3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Above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75"/>
              </w:rPr>
              <w:t>Value</w:t>
            </w:r>
            <w:r>
              <w:rPr>
                <w:rFonts w:ascii="Arial" w:cs="Arial" w:eastAsia="Arial" w:hAnsi="Arial"/>
                <w:sz w:val="22"/>
                <w:szCs w:val="22"/>
                <w:b w:val="1"/>
                <w:bCs w:val="1"/>
                <w:color w:val="auto"/>
                <w:w w:val="75"/>
                <w:vertAlign w:val="superscript"/>
              </w:rPr>
              <w:t>(2)</w:t>
            </w:r>
          </w:p>
        </w:tc>
        <w:tc>
          <w:tcPr>
            <w:tcW w:w="0" w:type="dxa"/>
            <w:vAlign w:val="bottom"/>
          </w:tcPr>
          <w:p>
            <w:pPr>
              <w:spacing w:after="0"/>
              <w:rPr>
                <w:sz w:val="1"/>
                <w:szCs w:val="1"/>
                <w:color w:val="auto"/>
              </w:rPr>
            </w:pPr>
          </w:p>
        </w:tc>
      </w:tr>
      <w:tr>
        <w:trPr>
          <w:trHeight w:val="176"/>
        </w:trPr>
        <w:tc>
          <w:tcPr>
            <w:tcW w:w="3500" w:type="dxa"/>
            <w:vAlign w:val="bottom"/>
            <w:gridSpan w:val="3"/>
            <w:vMerge w:val="continue"/>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780" w:type="dxa"/>
            <w:vAlign w:val="bottom"/>
          </w:tcPr>
          <w:p>
            <w:pPr>
              <w:spacing w:after="0"/>
              <w:rPr>
                <w:sz w:val="15"/>
                <w:szCs w:val="15"/>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Coupon</w:t>
            </w:r>
          </w:p>
        </w:tc>
        <w:tc>
          <w:tcPr>
            <w:tcW w:w="34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40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Par</w:t>
            </w:r>
          </w:p>
        </w:tc>
        <w:tc>
          <w:tcPr>
            <w:tcW w:w="38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ERRY</w:t>
            </w:r>
            <w:r>
              <w:rPr>
                <w:rFonts w:ascii="Arial" w:cs="Arial" w:eastAsia="Arial" w:hAnsi="Arial"/>
                <w:sz w:val="14"/>
                <w:szCs w:val="14"/>
                <w:color w:val="auto"/>
              </w:rPr>
              <w:t xml:space="preserve"> P</w:t>
            </w:r>
            <w:r>
              <w:rPr>
                <w:rFonts w:ascii="Arial" w:cs="Arial" w:eastAsia="Arial" w:hAnsi="Arial"/>
                <w:sz w:val="11"/>
                <w:szCs w:val="11"/>
                <w:color w:val="auto"/>
              </w:rPr>
              <w:t>LASTICS</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04/03/2015</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CONTAINERS, PACKAGING</w:t>
            </w:r>
          </w:p>
        </w:tc>
        <w:tc>
          <w:tcPr>
            <w:tcW w:w="56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7,462,500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7,462,500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7,274,602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&amp; GLASS</w:t>
            </w:r>
          </w:p>
        </w:tc>
        <w:tc>
          <w:tcPr>
            <w:tcW w:w="560" w:type="dxa"/>
            <w:vAlign w:val="bottom"/>
          </w:tcPr>
          <w:p>
            <w:pPr>
              <w:jc w:val="right"/>
              <w:spacing w:after="0"/>
              <w:rPr>
                <w:sz w:val="20"/>
                <w:szCs w:val="20"/>
                <w:color w:val="auto"/>
              </w:rPr>
            </w:pPr>
            <w:r>
              <w:rPr>
                <w:rFonts w:ascii="Arial" w:cs="Arial" w:eastAsia="Arial" w:hAnsi="Arial"/>
                <w:sz w:val="14"/>
                <w:szCs w:val="14"/>
                <w:color w:val="auto"/>
              </w:rPr>
              <w:t>7.34</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URLINGTON</w:t>
            </w:r>
            <w:r>
              <w:rPr>
                <w:rFonts w:ascii="Arial" w:cs="Arial" w:eastAsia="Arial" w:hAnsi="Arial"/>
                <w:sz w:val="14"/>
                <w:szCs w:val="14"/>
                <w:color w:val="auto"/>
              </w:rPr>
              <w:t xml:space="preserve"> C</w:t>
            </w:r>
            <w:r>
              <w:rPr>
                <w:rFonts w:ascii="Arial" w:cs="Arial" w:eastAsia="Arial" w:hAnsi="Arial"/>
                <w:sz w:val="11"/>
                <w:szCs w:val="11"/>
                <w:color w:val="auto"/>
              </w:rPr>
              <w:t>OAT</w:t>
            </w:r>
            <w:r>
              <w:rPr>
                <w:rFonts w:ascii="Arial" w:cs="Arial" w:eastAsia="Arial" w:hAnsi="Arial"/>
                <w:sz w:val="14"/>
                <w:szCs w:val="14"/>
                <w:color w:val="auto"/>
              </w:rPr>
              <w:t xml:space="preserve"> F</w:t>
            </w:r>
            <w:r>
              <w:rPr>
                <w:rFonts w:ascii="Arial" w:cs="Arial" w:eastAsia="Arial" w:hAnsi="Arial"/>
                <w:sz w:val="11"/>
                <w:szCs w:val="11"/>
                <w:color w:val="auto"/>
              </w:rPr>
              <w:t>ACTORY</w:t>
            </w:r>
            <w:r>
              <w:rPr>
                <w:rFonts w:ascii="Arial" w:cs="Arial" w:eastAsia="Arial" w:hAnsi="Arial"/>
                <w:sz w:val="14"/>
                <w:szCs w:val="14"/>
                <w:color w:val="auto"/>
              </w:rPr>
              <w:t xml:space="preserve"> W</w:t>
            </w:r>
            <w:r>
              <w:rPr>
                <w:rFonts w:ascii="Arial" w:cs="Arial" w:eastAsia="Arial" w:hAnsi="Arial"/>
                <w:sz w:val="11"/>
                <w:szCs w:val="11"/>
                <w:color w:val="auto"/>
              </w:rPr>
              <w:t>AREHOUSE</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05/28/2013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7.76%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7,896,473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7,887,537</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HARTER</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03/06/2014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CABLE TELEVISION</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7.13%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14,992,740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14,468,310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OHR</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01/31/2013</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L+250</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2,985,000</w:t>
            </w: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2,985,000</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2,388,000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30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1040" w:type="dxa"/>
            <w:vAlign w:val="bottom"/>
            <w:gridSpan w:val="3"/>
            <w:vMerge w:val="continue"/>
            <w:shd w:val="clear" w:color="auto" w:fill="CCEEFF"/>
          </w:tcPr>
          <w:p>
            <w:pPr>
              <w:spacing w:after="0"/>
              <w:rPr>
                <w:sz w:val="11"/>
                <w:szCs w:val="11"/>
                <w:color w:val="auto"/>
              </w:rPr>
            </w:pPr>
          </w:p>
        </w:tc>
        <w:tc>
          <w:tcPr>
            <w:tcW w:w="94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00" w:type="dxa"/>
            <w:vAlign w:val="bottom"/>
            <w:gridSpan w:val="3"/>
            <w:vMerge w:val="continue"/>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EDUCATION &amp; CHILDCARE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FR B</w:t>
            </w:r>
            <w:r>
              <w:rPr>
                <w:rFonts w:ascii="Arial" w:cs="Arial" w:eastAsia="Arial" w:hAnsi="Arial"/>
                <w:sz w:val="11"/>
                <w:szCs w:val="11"/>
                <w:color w:val="auto"/>
              </w:rPr>
              <w:t>RAND</w:t>
            </w:r>
            <w:r>
              <w:rPr>
                <w:rFonts w:ascii="Arial" w:cs="Arial" w:eastAsia="Arial" w:hAnsi="Arial"/>
                <w:sz w:val="14"/>
                <w:szCs w:val="14"/>
                <w:color w:val="auto"/>
              </w:rPr>
              <w:t xml:space="preserve"> A</w:t>
            </w:r>
            <w:r>
              <w:rPr>
                <w:rFonts w:ascii="Arial" w:cs="Arial" w:eastAsia="Arial" w:hAnsi="Arial"/>
                <w:sz w:val="11"/>
                <w:szCs w:val="11"/>
                <w:color w:val="auto"/>
              </w:rPr>
              <w:t>CQUISITION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02/07/2014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ENERGY / UTILITIES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1,887,183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ATEHOUSE</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08/28/2014</w:t>
            </w:r>
          </w:p>
        </w:tc>
        <w:tc>
          <w:tcPr>
            <w:tcW w:w="7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980"/>
              <w:spacing w:after="0" w:line="149" w:lineRule="exact"/>
              <w:rPr>
                <w:sz w:val="20"/>
                <w:szCs w:val="20"/>
                <w:color w:val="auto"/>
              </w:rPr>
            </w:pPr>
            <w:r>
              <w:rPr>
                <w:rFonts w:ascii="Arial" w:cs="Arial" w:eastAsia="Arial" w:hAnsi="Arial"/>
                <w:sz w:val="14"/>
                <w:szCs w:val="14"/>
                <w:color w:val="auto"/>
              </w:rPr>
              <w:t>MEDIA</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7.47%</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ENERAL</w:t>
            </w:r>
            <w:r>
              <w:rPr>
                <w:rFonts w:ascii="Arial" w:cs="Arial" w:eastAsia="Arial" w:hAnsi="Arial"/>
                <w:sz w:val="14"/>
                <w:szCs w:val="14"/>
                <w:color w:val="auto"/>
              </w:rPr>
              <w:t xml:space="preserve"> N</w:t>
            </w:r>
            <w:r>
              <w:rPr>
                <w:rFonts w:ascii="Arial" w:cs="Arial" w:eastAsia="Arial" w:hAnsi="Arial"/>
                <w:sz w:val="11"/>
                <w:szCs w:val="11"/>
                <w:color w:val="auto"/>
              </w:rPr>
              <w:t>UTRITION</w:t>
            </w:r>
            <w:r>
              <w:rPr>
                <w:rFonts w:ascii="Arial" w:cs="Arial" w:eastAsia="Arial" w:hAnsi="Arial"/>
                <w:sz w:val="14"/>
                <w:szCs w:val="14"/>
                <w:color w:val="auto"/>
              </w:rPr>
              <w:t xml:space="preserve"> C</w:t>
            </w:r>
            <w:r>
              <w:rPr>
                <w:rFonts w:ascii="Arial" w:cs="Arial" w:eastAsia="Arial" w:hAnsi="Arial"/>
                <w:sz w:val="11"/>
                <w:szCs w:val="11"/>
                <w:color w:val="auto"/>
              </w:rPr>
              <w:t>ENTERS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09/16/2013</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6,483,750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6,487,788</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6,147,405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REATWIDE</w:t>
            </w:r>
            <w:r>
              <w:rPr>
                <w:rFonts w:ascii="Arial" w:cs="Arial" w:eastAsia="Arial" w:hAnsi="Arial"/>
                <w:sz w:val="14"/>
                <w:szCs w:val="14"/>
                <w:color w:val="auto"/>
              </w:rPr>
              <w:t xml:space="preserve"> L</w:t>
            </w:r>
            <w:r>
              <w:rPr>
                <w:rFonts w:ascii="Arial" w:cs="Arial" w:eastAsia="Arial" w:hAnsi="Arial"/>
                <w:sz w:val="11"/>
                <w:szCs w:val="11"/>
                <w:color w:val="auto"/>
              </w:rPr>
              <w:t>OGISTICS</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12/19/2013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CARGO TRANSPORT</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8.70%</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6,947,500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6,947,500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ANLEY</w:t>
            </w:r>
            <w:r>
              <w:rPr>
                <w:rFonts w:ascii="Arial" w:cs="Arial" w:eastAsia="Arial" w:hAnsi="Arial"/>
                <w:sz w:val="14"/>
                <w:szCs w:val="14"/>
                <w:color w:val="auto"/>
              </w:rPr>
              <w:t>-W</w:t>
            </w:r>
            <w:r>
              <w:rPr>
                <w:rFonts w:ascii="Arial" w:cs="Arial" w:eastAsia="Arial" w:hAnsi="Arial"/>
                <w:sz w:val="11"/>
                <w:szCs w:val="11"/>
                <w:color w:val="auto"/>
              </w:rPr>
              <w:t>OOD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7.60%</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7,845,003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AEROSPACE/DEFENSE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7.21%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1,990,780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1,990,780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r>
              <w:rPr>
                <w:rFonts w:ascii="Arial" w:cs="Arial" w:eastAsia="Arial" w:hAnsi="Arial"/>
                <w:sz w:val="14"/>
                <w:szCs w:val="14"/>
                <w:color w:val="auto"/>
              </w:rPr>
              <w:t xml:space="preserve"> 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tcPr>
          <w:p>
            <w:pPr>
              <w:spacing w:after="0"/>
              <w:rPr>
                <w:sz w:val="14"/>
                <w:szCs w:val="14"/>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L+175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9,950,000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9,950,000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9,441,615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6.95</w:t>
            </w: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4"/>
              </w:rPr>
              <w:t>EDUCATION &amp; CHILDCARE</w:t>
            </w: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04/15/2014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8.06%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02/07/2014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7.44</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9,963,514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9,963,514</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8,947,235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r>
              <w:rPr>
                <w:rFonts w:ascii="Arial" w:cs="Arial" w:eastAsia="Arial" w:hAnsi="Arial"/>
                <w:sz w:val="14"/>
                <w:szCs w:val="14"/>
                <w:color w:val="auto"/>
              </w:rPr>
              <w:t xml:space="preserve"> 3 F</w:t>
            </w:r>
            <w:r>
              <w:rPr>
                <w:rFonts w:ascii="Arial" w:cs="Arial" w:eastAsia="Arial" w:hAnsi="Arial"/>
                <w:sz w:val="11"/>
                <w:szCs w:val="11"/>
                <w:color w:val="auto"/>
              </w:rPr>
              <w:t>INANCING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03/13/2014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CONSUMER PRODUCTS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7.58%</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4,842,920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4,842,920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3,357,757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7.56%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2"/>
          </w:tcPr>
          <w:p>
            <w:pPr>
              <w:spacing w:after="0" w:line="176" w:lineRule="exact"/>
              <w:rPr>
                <w:sz w:val="20"/>
                <w:szCs w:val="20"/>
                <w:color w:val="auto"/>
              </w:rPr>
            </w:pPr>
            <w:r>
              <w:rPr>
                <w:rFonts w:ascii="Arial" w:cs="Arial" w:eastAsia="Arial" w:hAnsi="Arial"/>
                <w:sz w:val="13"/>
                <w:szCs w:val="13"/>
                <w:color w:val="auto"/>
              </w:rPr>
              <w:t>L</w:t>
            </w:r>
            <w:r>
              <w:rPr>
                <w:rFonts w:ascii="Arial" w:cs="Arial" w:eastAsia="Arial" w:hAnsi="Arial"/>
                <w:sz w:val="10"/>
                <w:szCs w:val="10"/>
                <w:color w:val="auto"/>
              </w:rPr>
              <w:t>ONGVIEW</w:t>
            </w:r>
            <w:r>
              <w:rPr>
                <w:rFonts w:ascii="Arial" w:cs="Arial" w:eastAsia="Arial" w:hAnsi="Arial"/>
                <w:sz w:val="13"/>
                <w:szCs w:val="13"/>
                <w:color w:val="auto"/>
              </w:rPr>
              <w:t xml:space="preserve"> P</w:t>
            </w:r>
            <w:r>
              <w:rPr>
                <w:rFonts w:ascii="Arial" w:cs="Arial" w:eastAsia="Arial" w:hAnsi="Arial"/>
                <w:sz w:val="10"/>
                <w:szCs w:val="10"/>
                <w:color w:val="auto"/>
              </w:rPr>
              <w:t>OWER</w:t>
            </w:r>
            <w:r>
              <w:rPr>
                <w:rFonts w:ascii="Arial" w:cs="Arial" w:eastAsia="Arial" w:hAnsi="Arial"/>
                <w:sz w:val="13"/>
                <w:szCs w:val="13"/>
                <w:color w:val="auto"/>
              </w:rPr>
              <w:t>, L.L.C.</w:t>
            </w:r>
            <w:r>
              <w:rPr>
                <w:rFonts w:ascii="Arial" w:cs="Arial" w:eastAsia="Arial" w:hAnsi="Arial"/>
                <w:sz w:val="20"/>
                <w:szCs w:val="20"/>
                <w:color w:val="auto"/>
                <w:vertAlign w:val="superscript"/>
              </w:rPr>
              <w:t>(4)</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UTILITIES</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980,000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980,000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02/22/2014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7.34%</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3,972,813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3,971,545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3,845,683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01/18/2014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7.61</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3,990,000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3,990,000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3,740,625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C</w:t>
            </w:r>
            <w:r>
              <w:rPr>
                <w:rFonts w:ascii="Arial" w:cs="Arial" w:eastAsia="Arial" w:hAnsi="Arial"/>
                <w:sz w:val="14"/>
                <w:szCs w:val="14"/>
                <w:color w:val="auto"/>
              </w:rPr>
              <w:t>J</w:t>
            </w:r>
            <w:r>
              <w:rPr>
                <w:rFonts w:ascii="Arial" w:cs="Arial" w:eastAsia="Arial" w:hAnsi="Arial"/>
                <w:sz w:val="11"/>
                <w:szCs w:val="11"/>
                <w:color w:val="auto"/>
              </w:rPr>
              <w:t>UNKIN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01/31/2014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OIL &amp; GAS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7.45%</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982,525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982,525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965,331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125" w:name="page126"/>
    <w:bookmarkEnd w:id="125"/>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5"/>
                <w:szCs w:val="15"/>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03/28/2014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2" w:lineRule="exact"/>
              <w:rPr>
                <w:sz w:val="20"/>
                <w:szCs w:val="20"/>
                <w:color w:val="auto"/>
              </w:rPr>
            </w:pPr>
            <w:r>
              <w:rPr>
                <w:rFonts w:ascii="Arial" w:cs="Arial" w:eastAsia="Arial" w:hAnsi="Arial"/>
                <w:sz w:val="14"/>
                <w:szCs w:val="14"/>
                <w:color w:val="auto"/>
              </w:rPr>
              <w:t>08/31/2011</w:t>
            </w:r>
          </w:p>
        </w:tc>
        <w:tc>
          <w:tcPr>
            <w:tcW w:w="2200" w:type="dxa"/>
            <w:vAlign w:val="bottom"/>
            <w:gridSpan w:val="3"/>
            <w:shd w:val="clear" w:color="auto" w:fill="CCEEFF"/>
          </w:tcPr>
          <w:p>
            <w:pPr>
              <w:jc w:val="center"/>
              <w:ind w:right="200"/>
              <w:spacing w:after="0" w:line="152" w:lineRule="exact"/>
              <w:rPr>
                <w:sz w:val="20"/>
                <w:szCs w:val="20"/>
                <w:color w:val="auto"/>
              </w:rPr>
            </w:pPr>
            <w:r>
              <w:rPr>
                <w:rFonts w:ascii="Arial" w:cs="Arial" w:eastAsia="Arial" w:hAnsi="Arial"/>
                <w:sz w:val="14"/>
                <w:szCs w:val="14"/>
                <w:color w:val="auto"/>
                <w:w w:val="94"/>
              </w:rPr>
              <w:t>HOME &amp; OFFICE</w:t>
            </w:r>
          </w:p>
        </w:tc>
        <w:tc>
          <w:tcPr>
            <w:tcW w:w="960" w:type="dxa"/>
            <w:vAlign w:val="bottom"/>
            <w:gridSpan w:val="2"/>
            <w:shd w:val="clear" w:color="auto" w:fill="CCEEFF"/>
          </w:tcPr>
          <w:p>
            <w:pPr>
              <w:jc w:val="right"/>
              <w:ind w:right="260"/>
              <w:spacing w:after="0" w:line="152" w:lineRule="exact"/>
              <w:rPr>
                <w:sz w:val="20"/>
                <w:szCs w:val="20"/>
                <w:color w:val="auto"/>
              </w:rPr>
            </w:pPr>
            <w:r>
              <w:rPr>
                <w:rFonts w:ascii="Arial" w:cs="Arial" w:eastAsia="Arial" w:hAnsi="Arial"/>
                <w:sz w:val="14"/>
                <w:szCs w:val="14"/>
                <w:color w:val="auto"/>
              </w:rPr>
              <w:t>7.43%</w:t>
            </w:r>
          </w:p>
        </w:tc>
        <w:tc>
          <w:tcPr>
            <w:tcW w:w="1000" w:type="dxa"/>
            <w:vAlign w:val="bottom"/>
            <w:gridSpan w:val="2"/>
            <w:shd w:val="clear" w:color="auto" w:fill="CCEEFF"/>
          </w:tcPr>
          <w:p>
            <w:pPr>
              <w:ind w:left="420"/>
              <w:spacing w:after="0" w:line="152"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6,965,000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color w:val="auto"/>
              </w:rPr>
              <w:t>6,971,653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6,668,988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FURNISHINGS,</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HOUSEWARES &amp;</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5"/>
              </w:rPr>
              <w:t>DURABLES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02/01/2013</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4,975,000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4,975,000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03/16/2014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1,493,333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ROQUEST</w:t>
            </w:r>
            <w:r>
              <w:rPr>
                <w:rFonts w:ascii="Arial" w:cs="Arial" w:eastAsia="Arial" w:hAnsi="Arial"/>
                <w:sz w:val="14"/>
                <w:szCs w:val="14"/>
                <w:color w:val="auto"/>
              </w:rPr>
              <w:t xml:space="preserve"> CSA,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EDUCATION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955,833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955,833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05/04/2014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4,974,167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EADER</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xml:space="preserve"> D</w:t>
            </w:r>
            <w:r>
              <w:rPr>
                <w:rFonts w:ascii="Arial" w:cs="Arial" w:eastAsia="Arial" w:hAnsi="Arial"/>
                <w:sz w:val="11"/>
                <w:szCs w:val="11"/>
                <w:color w:val="auto"/>
              </w:rPr>
              <w:t>IGEST</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995,006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L.L.C.</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4"/>
              </w:rPr>
              <w:t>MANUFACTURING/</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07/19/2013</w:t>
            </w:r>
          </w:p>
        </w:tc>
        <w:tc>
          <w:tcPr>
            <w:tcW w:w="220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3"/>
              </w:rPr>
              <w:t>BASIC INDUSTRIES</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7.64%</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4,937,500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4,937,500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01/30/2014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7.78%</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L+250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2,867,302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2,867,302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5"/>
              </w:rPr>
              <w:t>BROADCASTING &amp;</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09/29/2014</w:t>
            </w:r>
          </w:p>
        </w:tc>
        <w:tc>
          <w:tcPr>
            <w:tcW w:w="220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7.57%</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14,093,960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14,093,960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13,389,262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U</w:t>
            </w:r>
            <w:r>
              <w:rPr>
                <w:rFonts w:ascii="Arial" w:cs="Arial" w:eastAsia="Arial" w:hAnsi="Arial"/>
                <w:sz w:val="9"/>
                <w:szCs w:val="9"/>
                <w:color w:val="auto"/>
              </w:rPr>
              <w:t>NIVISION</w:t>
            </w:r>
            <w:r>
              <w:rPr>
                <w:rFonts w:ascii="Arial" w:cs="Arial" w:eastAsia="Arial" w:hAnsi="Arial"/>
                <w:sz w:val="11"/>
                <w:szCs w:val="11"/>
                <w:color w:val="auto"/>
              </w:rPr>
              <w:t xml:space="preserve"> C</w:t>
            </w:r>
            <w:r>
              <w:rPr>
                <w:rFonts w:ascii="Arial" w:cs="Arial" w:eastAsia="Arial" w:hAnsi="Arial"/>
                <w:sz w:val="9"/>
                <w:szCs w:val="9"/>
                <w:color w:val="auto"/>
              </w:rPr>
              <w:t>OMMUNICATIONS</w:t>
            </w:r>
            <w:r>
              <w:rPr>
                <w:rFonts w:ascii="Arial" w:cs="Arial" w:eastAsia="Arial" w:hAnsi="Arial"/>
                <w:sz w:val="11"/>
                <w:szCs w:val="11"/>
                <w:color w:val="auto"/>
              </w:rPr>
              <w:t>, I</w:t>
            </w:r>
            <w:r>
              <w:rPr>
                <w:rFonts w:ascii="Arial" w:cs="Arial" w:eastAsia="Arial" w:hAnsi="Arial"/>
                <w:sz w:val="9"/>
                <w:szCs w:val="9"/>
                <w:color w:val="auto"/>
              </w:rPr>
              <w:t>NC</w:t>
            </w:r>
            <w:r>
              <w:rPr>
                <w:rFonts w:ascii="Arial" w:cs="Arial" w:eastAsia="Arial" w:hAnsi="Arial"/>
                <w:sz w:val="11"/>
                <w:szCs w:val="11"/>
                <w:color w:val="auto"/>
              </w:rPr>
              <w:t>.</w:t>
            </w:r>
            <w:r>
              <w:rPr>
                <w:rFonts w:ascii="Arial" w:cs="Arial" w:eastAsia="Arial" w:hAnsi="Arial"/>
                <w:sz w:val="17"/>
                <w:szCs w:val="17"/>
                <w:color w:val="auto"/>
                <w:vertAlign w:val="superscript"/>
              </w:rPr>
              <w:t>(4)</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BROADCASTING &amp;</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906,040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906,040</w:t>
            </w:r>
          </w:p>
        </w:tc>
        <w:tc>
          <w:tcPr>
            <w:tcW w:w="1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860,738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7,061,899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7,061,899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tcPr>
          <w:p>
            <w:pPr>
              <w:spacing w:after="0" w:line="176" w:lineRule="exact"/>
              <w:rPr>
                <w:sz w:val="20"/>
                <w:szCs w:val="20"/>
                <w:color w:val="auto"/>
              </w:rPr>
            </w:pPr>
            <w:r>
              <w:rPr>
                <w:rFonts w:ascii="Arial" w:cs="Arial" w:eastAsia="Arial" w:hAnsi="Arial"/>
                <w:sz w:val="13"/>
                <w:szCs w:val="13"/>
                <w:color w:val="auto"/>
              </w:rPr>
              <w:t>V</w:t>
            </w:r>
            <w:r>
              <w:rPr>
                <w:rFonts w:ascii="Arial" w:cs="Arial" w:eastAsia="Arial" w:hAnsi="Arial"/>
                <w:sz w:val="10"/>
                <w:szCs w:val="10"/>
                <w:color w:val="auto"/>
              </w:rPr>
              <w:t>ALASSIS</w:t>
            </w:r>
            <w:r>
              <w:rPr>
                <w:rFonts w:ascii="Arial" w:cs="Arial" w:eastAsia="Arial" w:hAnsi="Arial"/>
                <w:sz w:val="13"/>
                <w:szCs w:val="13"/>
                <w:color w:val="auto"/>
              </w:rPr>
              <w:t xml:space="preserve"> C</w:t>
            </w:r>
            <w:r>
              <w:rPr>
                <w:rFonts w:ascii="Arial" w:cs="Arial" w:eastAsia="Arial" w:hAnsi="Arial"/>
                <w:sz w:val="10"/>
                <w:szCs w:val="10"/>
                <w:color w:val="auto"/>
              </w:rPr>
              <w:t>OMMUNICATIONS</w:t>
            </w:r>
            <w:r>
              <w:rPr>
                <w:rFonts w:ascii="Arial" w:cs="Arial" w:eastAsia="Arial" w:hAnsi="Arial"/>
                <w:sz w:val="13"/>
                <w:szCs w:val="13"/>
                <w:color w:val="auto"/>
              </w:rPr>
              <w:t>, I</w:t>
            </w:r>
            <w:r>
              <w:rPr>
                <w:rFonts w:ascii="Arial" w:cs="Arial" w:eastAsia="Arial" w:hAnsi="Arial"/>
                <w:sz w:val="10"/>
                <w:szCs w:val="10"/>
                <w:color w:val="auto"/>
              </w:rPr>
              <w:t>NC</w:t>
            </w:r>
            <w:r>
              <w:rPr>
                <w:rFonts w:ascii="Arial" w:cs="Arial" w:eastAsia="Arial" w:hAnsi="Arial"/>
                <w:sz w:val="13"/>
                <w:szCs w:val="13"/>
                <w:color w:val="auto"/>
              </w:rPr>
              <w:t>.</w:t>
            </w:r>
            <w:r>
              <w:rPr>
                <w:rFonts w:ascii="Arial" w:cs="Arial" w:eastAsia="Arial" w:hAnsi="Arial"/>
                <w:sz w:val="20"/>
                <w:szCs w:val="20"/>
                <w:color w:val="auto"/>
                <w:vertAlign w:val="superscript"/>
              </w:rPr>
              <w:t>(4)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2,103,908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2,103,908</w:t>
            </w:r>
          </w:p>
        </w:tc>
        <w:tc>
          <w:tcPr>
            <w:tcW w:w="1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ESTERN</w:t>
            </w:r>
            <w:r>
              <w:rPr>
                <w:rFonts w:ascii="Arial" w:cs="Arial" w:eastAsia="Arial" w:hAnsi="Arial"/>
                <w:sz w:val="14"/>
                <w:szCs w:val="14"/>
                <w:color w:val="auto"/>
              </w:rPr>
              <w:t xml:space="preserve"> R</w:t>
            </w:r>
            <w:r>
              <w:rPr>
                <w:rFonts w:ascii="Arial" w:cs="Arial" w:eastAsia="Arial" w:hAnsi="Arial"/>
                <w:sz w:val="11"/>
                <w:szCs w:val="11"/>
                <w:color w:val="auto"/>
              </w:rPr>
              <w:t>EFINING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05/30/2014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OIL &amp; GAS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6.88%</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170,481,009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170,474,236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158,929,905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107.6%</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314,881,870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291,016,608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74" w:right="239" w:bottom="1440" w:gutter="0" w:footer="0" w:header="0"/>
        </w:sectPr>
      </w:pPr>
    </w:p>
    <w:bookmarkStart w:id="126" w:name="page127"/>
    <w:bookmarkEnd w:id="126"/>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4540" w:type="dxa"/>
            <w:vAlign w:val="bottom"/>
            <w:gridSpan w:val="4"/>
            <w:vMerge w:val="continue"/>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Industry   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equivalents—95.4%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12/27/2007</w:t>
            </w:r>
          </w:p>
        </w:tc>
        <w:tc>
          <w:tcPr>
            <w:tcW w:w="1540" w:type="dxa"/>
            <w:vAlign w:val="bottom"/>
            <w:gridSpan w:val="4"/>
          </w:tcPr>
          <w:p>
            <w:pPr>
              <w:jc w:val="right"/>
              <w:ind w:right="200"/>
              <w:spacing w:after="0"/>
              <w:rPr>
                <w:sz w:val="20"/>
                <w:szCs w:val="20"/>
                <w:color w:val="auto"/>
              </w:rPr>
            </w:pPr>
            <w:r>
              <w:rPr>
                <w:rFonts w:ascii="Arial" w:cs="Arial" w:eastAsia="Arial" w:hAnsi="Arial"/>
                <w:sz w:val="18"/>
                <w:szCs w:val="18"/>
                <w:color w:val="auto"/>
              </w:rPr>
              <w:t>3.64%</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$255,000,000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6"/>
              </w:rPr>
              <w:t>$252,759,931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$ 252,703,215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 MARKET</w:t>
            </w:r>
            <w:r>
              <w:rPr>
                <w:rFonts w:ascii="Arial" w:cs="Arial" w:eastAsia="Arial" w:hAnsi="Arial"/>
                <w:sz w:val="18"/>
                <w:szCs w:val="18"/>
                <w:color w:val="auto"/>
              </w:rPr>
              <w:t>—</w:t>
            </w:r>
            <w:r>
              <w:rPr>
                <w:rFonts w:ascii="Arial" w:cs="Arial" w:eastAsia="Arial" w:hAnsi="Arial"/>
                <w:sz w:val="14"/>
                <w:szCs w:val="14"/>
                <w:color w:val="auto"/>
              </w:rPr>
              <w:t>MUTUAL FUNDS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5,256,420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260,256,420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258,016,351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572,898,221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in excess of other assets—(103.0%)</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assets—100.0%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60" w:hanging="332"/>
        <w:spacing w:after="0" w:line="259"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Valued based on our accounting policy. (See note 2)</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660" w:hanging="332"/>
        <w:spacing w:after="0" w:line="268"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of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980" w:firstLine="52"/>
        <w:spacing w:after="0" w:line="362" w:lineRule="auto"/>
        <w:tabs>
          <w:tab w:leader="none" w:pos="3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74" w:right="239" w:bottom="1440" w:gutter="0" w:footer="0" w:header="0"/>
        </w:sectPr>
      </w:pPr>
    </w:p>
    <w:bookmarkStart w:id="127" w:name="page128"/>
    <w:bookmarkEnd w:id="127"/>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PennantPark Investment Corporation (“PennantPark”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As of September 30, 2007 PennantPark Investment had sold and issued 21,068,772 shares of its common stock, with gross proceeds of $316.0 million. Before the completion of its initial public offering on April 24, 2007, PennantPark Investment had limited operations other than the sale and issuance of 80,000 shares of common stock at an aggregate purchase price of $1.2 million to PennantPark Investment Advisers, LLC (the “Investment Adviser” or “PennantPark Investment Advisers”) and the purchase of first lien secured debt.</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selling 20,000,000 shares of its common stock, resulting in net proceeds of approximately $279.6 million. Also on April 24, PennantPark Investment closed a private placement of common stock pursuant to Regulation D under the Securities Act of 1933. This private placement of 320,000 shares was made to officers, directors, the Investment Adviser and managers of the Investment Adviser, for $15 per share, resulting in net proceeds of approximately $4.8 million. On May 21, the underwriters of the initial public offering exercised their over-allotment option to them under the Underwriting Agreement. The Underwriters elected to purchase 625,000 shares of our common stock, resulting in net proceeds of $8.8 million.</w:t>
      </w:r>
    </w:p>
    <w:p>
      <w:pPr>
        <w:spacing w:after="0" w:line="14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6"/>
        <w:spacing w:after="0" w:line="290"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274" w:right="239" w:bottom="1440" w:gutter="0" w:footer="0" w:header="0"/>
        </w:sectPr>
      </w:pPr>
    </w:p>
    <w:bookmarkStart w:id="128" w:name="page129"/>
    <w:bookmarkEnd w:id="128"/>
    <w:p>
      <w:pPr>
        <w:ind w:left="92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 comparisons of financial ratios of the portfolio companies that issued such private securities to peer companies that are public. 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3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to be inaccurate,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280" w:right="259" w:bottom="1440" w:gutter="0" w:footer="0" w:header="0"/>
        </w:sectPr>
      </w:pPr>
    </w:p>
    <w:bookmarkStart w:id="129" w:name="page130"/>
    <w:bookmarkEnd w:id="129"/>
    <w:p>
      <w:pPr>
        <w:ind w:left="920"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75" w:lineRule="exact"/>
        <w:rPr>
          <w:sz w:val="20"/>
          <w:szCs w:val="20"/>
          <w:color w:val="auto"/>
        </w:rPr>
      </w:pPr>
    </w:p>
    <w:p>
      <w:pPr>
        <w:ind w:left="900" w:right="80" w:hanging="446"/>
        <w:spacing w:after="0" w:line="28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Starting May 1, 2007 PennantPark Investment intends to comply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Based upon PennantPark Investment’s qualification and election to be subject to tax as a RIC as of its next taxable year-end, we do not anticipate any material taxes in the future. The Company will recognize in its financial statements the effect of a tax position when it is more likely than not, based on the technical merits, that the position will be sustained upon examination.</w:t>
      </w:r>
    </w:p>
    <w:p>
      <w:pPr>
        <w:spacing w:after="0" w:line="41"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the Standard against its valuation policies to determine future applicability.</w:t>
      </w:r>
    </w:p>
    <w:p>
      <w:pPr>
        <w:spacing w:after="0" w:line="39"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November 15, 2007, and interim periods within those fiscal years. The Company does not expect the adoption of this statement to have a significant effect on the Company’s consolidated financial position or its result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80" w:right="239" w:bottom="1440" w:gutter="0" w:footer="0" w:header="0"/>
        </w:sectPr>
      </w:pPr>
    </w:p>
    <w:bookmarkStart w:id="130" w:name="page131"/>
    <w:bookmarkEnd w:id="130"/>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 from the commencement of operations to the consummation of the initial public offering there were no Management Fees. For services rendered under our Investment Management Agreement during the period commencing from the closing of the initial public offering through and including the first six months of operations, the base management fee is payable monthly in arrears. For services rendered under our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period from the consummation of the initial public offering to September 30, 2007, the Investment Adviser received $1.9 million in base management fee.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our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27" w:lineRule="exact"/>
        <w:rPr>
          <w:sz w:val="20"/>
          <w:szCs w:val="20"/>
          <w:color w:val="auto"/>
        </w:rPr>
      </w:pPr>
    </w:p>
    <w:p>
      <w:pPr>
        <w:ind w:right="20" w:firstLine="464"/>
        <w:spacing w:after="0" w:line="294"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our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80" w:right="239"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period from January 11, 2007 (inception) to September 30, 2007, the Investment Adviser did not receive an Incentive Fee.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our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consolidated statement of operations. For the period from January 11, 2007 (inception) through September 30, 2007, the Investment Adviser was reimbursed approximately $490,000 from the Company, including expenses it incurred on behalf of the Administrator for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30, 2007, PennantPark Investment’s total net assets and net asset value per share were $270,393,094 and $12.83,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per share net decrease in net assets resulting from operations:</w:t>
      </w:r>
    </w:p>
    <w:p>
      <w:pPr>
        <w:spacing w:after="0" w:line="207"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Period from</w:t>
      </w:r>
    </w:p>
    <w:p>
      <w:pPr>
        <w:jc w:val="center"/>
        <w:ind w:left="10200"/>
        <w:spacing w:after="0" w:line="223" w:lineRule="auto"/>
        <w:rPr>
          <w:sz w:val="20"/>
          <w:szCs w:val="20"/>
          <w:color w:val="auto"/>
        </w:rPr>
      </w:pPr>
      <w:r>
        <w:rPr>
          <w:rFonts w:ascii="Arial" w:cs="Arial" w:eastAsia="Arial" w:hAnsi="Arial"/>
          <w:sz w:val="14"/>
          <w:szCs w:val="14"/>
          <w:b w:val="1"/>
          <w:bCs w:val="1"/>
          <w:color w:val="auto"/>
        </w:rPr>
        <w:t>January 11, 2007</w:t>
      </w:r>
    </w:p>
    <w:p>
      <w:pPr>
        <w:jc w:val="center"/>
        <w:ind w:left="10200"/>
        <w:spacing w:after="0" w:line="222" w:lineRule="auto"/>
        <w:rPr>
          <w:sz w:val="20"/>
          <w:szCs w:val="20"/>
          <w:color w:val="auto"/>
        </w:rPr>
      </w:pPr>
      <w:r>
        <w:rPr>
          <w:rFonts w:ascii="Arial" w:cs="Arial" w:eastAsia="Arial" w:hAnsi="Arial"/>
          <w:sz w:val="14"/>
          <w:szCs w:val="14"/>
          <w:b w:val="1"/>
          <w:bCs w:val="1"/>
          <w:color w:val="auto"/>
        </w:rPr>
        <w:t>(inception)</w:t>
      </w:r>
    </w:p>
    <w:p>
      <w:pPr>
        <w:jc w:val="center"/>
        <w:ind w:left="10200"/>
        <w:spacing w:after="0" w:line="221" w:lineRule="auto"/>
        <w:rPr>
          <w:sz w:val="20"/>
          <w:szCs w:val="20"/>
          <w:color w:val="auto"/>
        </w:rPr>
      </w:pPr>
      <w:r>
        <w:rPr>
          <w:rFonts w:ascii="Arial" w:cs="Arial" w:eastAsia="Arial" w:hAnsi="Arial"/>
          <w:sz w:val="14"/>
          <w:szCs w:val="14"/>
          <w:b w:val="1"/>
          <w:bCs w:val="1"/>
          <w:color w:val="auto"/>
        </w:rPr>
        <w:t>through</w:t>
      </w:r>
    </w:p>
    <w:p>
      <w:pPr>
        <w:jc w:val="center"/>
        <w:ind w:left="10200"/>
        <w:spacing w:after="0" w:line="222" w:lineRule="auto"/>
        <w:rPr>
          <w:sz w:val="20"/>
          <w:szCs w:val="20"/>
          <w:color w:val="auto"/>
        </w:rPr>
      </w:pPr>
      <w:r>
        <w:rPr>
          <w:rFonts w:ascii="Arial" w:cs="Arial" w:eastAsia="Arial" w:hAnsi="Arial"/>
          <w:sz w:val="14"/>
          <w:szCs w:val="14"/>
          <w:b w:val="1"/>
          <w:bCs w:val="1"/>
          <w:color w:val="auto"/>
        </w:rPr>
        <w:t>September 30,</w:t>
      </w:r>
    </w:p>
    <w:p>
      <w:pPr>
        <w:jc w:val="center"/>
        <w:ind w:left="10200"/>
        <w:spacing w:after="0" w:line="219" w:lineRule="auto"/>
        <w:rPr>
          <w:sz w:val="20"/>
          <w:szCs w:val="20"/>
          <w:color w:val="auto"/>
        </w:rPr>
      </w:pPr>
      <w:r>
        <w:rPr>
          <w:rFonts w:ascii="Arial" w:cs="Arial" w:eastAsia="Arial" w:hAnsi="Arial"/>
          <w:sz w:val="14"/>
          <w:szCs w:val="14"/>
          <w:b w:val="1"/>
          <w:bCs w:val="1"/>
          <w:color w:val="auto"/>
        </w:rPr>
        <w:t>2007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5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88"/>
              </w:rPr>
              <w:t>Numerator for net decrease in net assets per share resulting from operations:</w:t>
            </w:r>
          </w:p>
        </w:tc>
        <w:tc>
          <w:tcPr>
            <w:tcW w:w="4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4"/>
              </w:rPr>
              <w:t>(16,699,251)</w:t>
            </w: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Denominator for basic weighted average shares:*</w:t>
            </w: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20,936,149</w:t>
            </w: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Basic net decrease in net assets per share resulting from operations:</w:t>
            </w:r>
          </w:p>
        </w:tc>
        <w:tc>
          <w:tcPr>
            <w:tcW w:w="4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r>
      <w:tr>
        <w:trPr>
          <w:trHeight w:val="108"/>
        </w:trPr>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Since completion of IPO on April 24, 2007</w:t>
            </w:r>
          </w:p>
        </w:tc>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960" w:type="dxa"/>
            <w:vAlign w:val="bottom"/>
            <w:gridSpan w:val="2"/>
          </w:tcPr>
          <w:p>
            <w:pPr>
              <w:jc w:val="right"/>
              <w:ind w:right="4540"/>
              <w:spacing w:after="0"/>
              <w:rPr>
                <w:sz w:val="20"/>
                <w:szCs w:val="20"/>
                <w:color w:val="auto"/>
              </w:rPr>
            </w:pPr>
            <w:r>
              <w:rPr>
                <w:rFonts w:ascii="Arial" w:cs="Arial" w:eastAsia="Arial" w:hAnsi="Arial"/>
                <w:sz w:val="18"/>
                <w:szCs w:val="18"/>
                <w:color w:val="auto"/>
              </w:rPr>
              <w:t>F-15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Investments consisted of subordinated debt/corporate notes, common equity, second lien secured debt, and first lien secured debt, as of September 30, 2007. The table below describes investments by industry classification and enumerates the percentage, by market value, of the total portfolio assets (excluding cash equivalents) in such industries as of September 30,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Percentage at Market</w:t>
            </w:r>
          </w:p>
        </w:tc>
        <w:tc>
          <w:tcPr>
            <w:tcW w:w="0" w:type="dxa"/>
            <w:vAlign w:val="bottom"/>
          </w:tcPr>
          <w:p>
            <w:pPr>
              <w:spacing w:after="0"/>
              <w:rPr>
                <w:sz w:val="1"/>
                <w:szCs w:val="1"/>
                <w:color w:val="auto"/>
              </w:rPr>
            </w:pPr>
          </w:p>
        </w:tc>
      </w:t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8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 Durable Consumer Products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&amp; Publishing</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Containers, Packaging &amp; Glass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Oil &amp; Gas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20" w:type="dxa"/>
            <w:vAlign w:val="bottom"/>
            <w:gridSpan w:val="3"/>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the period from inception through April 30, 2007, the Company was taxed as a corporation. As such federal, state and local taxes of $105,880 were accrued and included in PennantPark Investment’s statement of operations. Based upon PennantPark Investment’s expected qualification and election to be subject to tax as RIC as of its next taxable year-end, the company does not anticipate paying any corporate level taxes in the future.</w:t>
      </w:r>
    </w:p>
    <w:p>
      <w:pPr>
        <w:spacing w:after="0" w:line="107"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As a regulated investment company (“RIC”) under Subchapter M of the Internal Revenue Code, the Company’s income generally will not be subject to taxation to the extent such income is distributed to stockholders. However, certain of the Company’s investments may be owned by wholly owned subsidiaries that are subject to corporate level federal, state, and local income tax in their respective jurisdictions. Deferred tax assets and liabilities are measured using the enacted tax rates expected to apply to the taxable income in the years in which those temporary differences are expected to be recovered or settled.</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consummation of the initial public offering, through September 30, 2007, the Company has declared distributions totaling $0.36 per share. Each year a statement on Form 1099-DIV shall be issued identifying the source of the distribution (i.e., paid from ordinary income, paid from net capital gains on the sale of securities, and/or a return of paid-in-capital surplus which is a nontaxable distribution). To the extent the Company’s taxable earnings fall below the total amount of its distributions for that fiscal year, a portion of those distributions may be deemed a tax return of capital to the Company’s stockholders. For the fiscal years ended September 30,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274" w:right="239" w:bottom="1440" w:gutter="0" w:footer="0" w:header="0"/>
        </w:sectPr>
      </w:pPr>
    </w:p>
    <w:bookmarkStart w:id="133" w:name="page134"/>
    <w:bookmarkEnd w:id="133"/>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a portion of the distributions to the Company’s stockholders was deemed a return of capital. The determination of the tax attributes of the Company’s distributions is made annually as of the end of the Company’s fiscal year based upon its taxable income for the full year and distributions paid for the full year, therefore a determination made on a quarterly basis may not be representative of the actual tax attributes of its distributions for a full year. If the Company determined the tax attributes of its distributions for the fiscal year ended September 30, 2007, 99.6% would be from taxable net investment income and 0.4% would be a return of capital for stockholders, however there can be no certainty to stockholders that this determination is representative of what the tax attributes of its 2007 distributions to stockholders will actually be.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fiscal year ended September 30, 2007, as a result of permanent book-to-tax differences primarily due to adjustments relating to: federal and state tax expenses, and net earnings derived during the period prior to qualification as a RIC, the Company decreased distributions in excess of net investment income by $72,549, increased accumulated net realized loss by $14,063 and decreased paid-in capital in excess of par value by $58,486. Aggregate stockholders’ equity was not affected by this reclassification. As of September 30, 2007, the cost of investments for federal income tax purposes was $572,898,221 resulting in a gross unrealized appreciation and depreciation of $514,690 and $24,436,668, respectively. The following reconciles net increase in stockholders’ equity resulting from operations to taxable income for the year ended September 30, 2007: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80" w:type="dxa"/>
            <w:vAlign w:val="bottom"/>
          </w:tcPr>
          <w:p>
            <w:pPr>
              <w:ind w:left="2640"/>
              <w:spacing w:after="0"/>
              <w:rPr>
                <w:sz w:val="20"/>
                <w:szCs w:val="20"/>
                <w:color w:val="auto"/>
              </w:rPr>
            </w:pPr>
            <w:r>
              <w:rPr>
                <w:rFonts w:ascii="Arial" w:cs="Arial" w:eastAsia="Arial" w:hAnsi="Arial"/>
                <w:sz w:val="18"/>
                <w:szCs w:val="18"/>
                <w:color w:val="auto"/>
              </w:rPr>
              <w:t>Net decrease in stockholders’ equity resulting from operations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(16,699,251)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23,921,978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 derived during the period prior to qualification as a RIC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Expenses not currently deductible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in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the asset base upon which the management fee is determined.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September 30, 2007.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 FINANCIAL HIGHLIGHTS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w w:val="92"/>
              </w:rPr>
              <w:t>The following is a schedule of financial highlights for the period from January 11, 2007 (inception) through September 30, 2007: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Net realized and unrealized 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Distributions to stockholders</w:t>
            </w:r>
            <w:r>
              <w:rPr>
                <w:rFonts w:ascii="Arial" w:cs="Arial" w:eastAsia="Arial" w:hAnsi="Arial"/>
                <w:sz w:val="22"/>
                <w:szCs w:val="22"/>
                <w:color w:val="auto"/>
                <w:vertAlign w:val="superscript"/>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80" w:type="dxa"/>
            <w:vAlign w:val="bottom"/>
            <w:gridSpan w:val="2"/>
            <w:vMerge w:val="continue"/>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operating expenses before management fee waiver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operating expenses after management fee waiver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2"/>
                <w:szCs w:val="22"/>
                <w:color w:val="auto"/>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817,610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Average debt per share</w:t>
            </w:r>
            <w:r>
              <w:rPr>
                <w:rFonts w:ascii="Arial" w:cs="Arial" w:eastAsia="Arial" w:hAnsi="Arial"/>
                <w:sz w:val="22"/>
                <w:szCs w:val="22"/>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Portfolio turnover ratio</w:t>
            </w:r>
            <w:r>
              <w:rPr>
                <w:rFonts w:ascii="Arial" w:cs="Arial" w:eastAsia="Arial" w:hAnsi="Arial"/>
                <w:sz w:val="22"/>
                <w:szCs w:val="22"/>
                <w:color w:val="auto"/>
                <w:vertAlign w:val="superscript"/>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08"/>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Percentage has not been annualized.</w:t>
      </w:r>
    </w:p>
    <w:p>
      <w:pPr>
        <w:spacing w:after="0" w:line="90" w:lineRule="exact"/>
        <w:rPr>
          <w:sz w:val="20"/>
          <w:szCs w:val="20"/>
          <w:color w:val="auto"/>
        </w:rPr>
      </w:pPr>
    </w:p>
    <w:p>
      <w:pPr>
        <w:ind w:left="460" w:right="12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reporting period based on stock issuance price of $15.00. It also takes into account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completion of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there was $10.0 million in outstanding borrowings under the Credit Agreement, with an average interest rate of 6.15%.</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274" w:right="239" w:bottom="1440" w:gutter="0" w:footer="0" w:header="0"/>
        </w:sectPr>
      </w:pPr>
    </w:p>
    <w:bookmarkStart w:id="135" w:name="page136"/>
    <w:bookmarkEnd w:id="135"/>
    <w:p>
      <w:pPr>
        <w:ind w:right="8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86"/>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2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280" w:right="2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schedules of investments as of March 31, 2008 and the related statements of operations for the three and six month periods ended March 31, 2008, and the period from January 11, 2007 (inception) through March 31, 2007 and the Statements of changes in net assets for the six months period ended March 31, 2008 and the period January 11, 2007 (inception) through September 30, 2007 and the Statements of cash flows for the six months ended March 31, 2008. These financial statements are the responsibility of the Company’s management.</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2007, and the related consolidated statements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74"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line="217" w:lineRule="exact"/>
              <w:rPr>
                <w:sz w:val="20"/>
                <w:szCs w:val="20"/>
                <w:color w:val="auto"/>
              </w:rPr>
            </w:pPr>
            <w:r>
              <w:rPr>
                <w:rFonts w:ascii="Arial" w:cs="Arial" w:eastAsia="Arial" w:hAnsi="Arial"/>
                <w:sz w:val="18"/>
                <w:szCs w:val="18"/>
                <w:color w:val="auto"/>
              </w:rPr>
              <w:t>Investments, at fair value (cost—$413,632,567 and $314,881,870 respectively)</w:t>
            </w:r>
            <w:r>
              <w:rPr>
                <w:rFonts w:ascii="Arial" w:cs="Arial" w:eastAsia="Arial" w:hAnsi="Arial"/>
                <w:sz w:val="22"/>
                <w:szCs w:val="22"/>
                <w:color w:val="auto"/>
                <w:vertAlign w:val="superscript"/>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335,883,881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(cost—$81,249,903 and $258,016,351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81,249,903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5,070,891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423,699,666</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2,607,264</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194,500,000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765,233</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207,442,161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88"/>
              </w:rPr>
              <w:t>Common stock, par value $.001 per share, 100,000,000 shares authorized and 21,068,772 shares issued and outstanding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294,586,604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(286,276)</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(315,206)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(77,748,686)</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216,257,505</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423,699,666</w:t>
            </w:r>
          </w:p>
        </w:tc>
        <w:tc>
          <w:tcPr>
            <w:tcW w:w="4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0" w:hanging="452"/>
        <w:spacing w:after="0" w:line="252" w:lineRule="auto"/>
        <w:tabs>
          <w:tab w:leader="none" w:pos="460" w:val="left"/>
        </w:tabs>
        <w:numPr>
          <w:ilvl w:val="0"/>
          <w:numId w:val="87"/>
        </w:numPr>
        <w:rPr>
          <w:rFonts w:ascii="Arial" w:cs="Arial" w:eastAsia="Arial" w:hAnsi="Arial"/>
          <w:sz w:val="11"/>
          <w:szCs w:val="11"/>
          <w:color w:val="auto"/>
        </w:rPr>
      </w:pPr>
      <w:r>
        <w:rPr>
          <w:rFonts w:ascii="Arial" w:cs="Arial" w:eastAsia="Arial" w:hAnsi="Arial"/>
          <w:sz w:val="18"/>
          <w:szCs w:val="18"/>
          <w:color w:val="auto"/>
        </w:rPr>
        <w:t>None of our portfolio companies are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7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Period from</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Three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March 31, 2008</w:t>
            </w:r>
          </w:p>
        </w:tc>
        <w:tc>
          <w:tcPr>
            <w:tcW w:w="24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March 31, 2007</w:t>
            </w:r>
          </w:p>
        </w:tc>
        <w:tc>
          <w:tcPr>
            <w:tcW w:w="24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March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9,678,012</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772,983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18,661,648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9,713,922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772,983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18,717,530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1,725,466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3,365,841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1,669,296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2,766,403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227,571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Organizational expenses</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283,228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5,480,732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(215,684)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5,265,048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9,536,777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Net investment income (loss)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4,448,874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(251,220)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9,180,753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(37,769,064)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(53,826,708)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(37,777,547)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(54,046,082)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(33,328,673)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(44,865,329)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per common share (see note 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74"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Six</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6"/>
              </w:rPr>
              <w:t>March 31, 2008</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9,180,753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(219,374)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(53,826,708)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(44,865,329)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(16,699,251)</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(9,270,260)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(9,270,260)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294,666,159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(54,135,589)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216,257,505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Total increase in capital shares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74"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Six</w:t>
            </w:r>
          </w:p>
        </w:tc>
        <w:tc>
          <w:tcPr>
            <w:tcW w:w="3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(inception)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March 31, 2008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March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(44,865,329)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(233,546)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53,826,708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(gain) on investments and cash equivalents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(503,258)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(102,445,311)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(243,686,040)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(1,177,816)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5,213,030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Increase in receivable for investments sold</w:t>
            </w: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(6,764,375)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receivable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(553,041)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594,244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(252,759,931)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(7,963,921)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88,230,749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(1,382,684)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7,976,040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(160,129)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(351,939,472)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4"/>
              </w:rPr>
              <w:t>(146,832,740)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Increase in issuance of common stock</w:t>
            </w: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(9,270,260)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243,500,000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147,320,007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(59,000,000)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175,229,740</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148,520,007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(176,709,732)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257,959,635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1,759,321</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Subordinated Debt / Corporate Notes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42.8%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UP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38" w:lineRule="exact"/>
        <w:rPr>
          <w:sz w:val="20"/>
          <w:szCs w:val="20"/>
          <w:color w:val="auto"/>
        </w:rPr>
      </w:pPr>
    </w:p>
    <w:p>
      <w:pPr>
        <w:ind w:left="220" w:right="40" w:hanging="215"/>
        <w:spacing w:after="0" w:line="275" w:lineRule="auto"/>
        <w:rPr>
          <w:sz w:val="20"/>
          <w:szCs w:val="20"/>
          <w:color w:val="auto"/>
        </w:rPr>
      </w:pPr>
      <w:r>
        <w:rPr>
          <w:rFonts w:ascii="Arial" w:cs="Arial" w:eastAsia="Arial" w:hAnsi="Arial"/>
          <w:sz w:val="18"/>
          <w:szCs w:val="18"/>
          <w:b w:val="1"/>
          <w:bCs w:val="1"/>
          <w:color w:val="auto"/>
        </w:rPr>
        <w:t>Total Subordinated Debt / Corporate Notes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Lien Secured Debt – 46.5%</w:t>
      </w:r>
    </w:p>
    <w:p>
      <w:pPr>
        <w:spacing w:after="0" w:line="146"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right="620"/>
        <w:spacing w:after="0" w:line="361" w:lineRule="auto"/>
        <w:rPr>
          <w:sz w:val="20"/>
          <w:szCs w:val="20"/>
          <w:color w:val="auto"/>
        </w:rPr>
      </w:pPr>
      <w:r>
        <w:rPr>
          <w:rFonts w:ascii="Arial" w:cs="Arial" w:eastAsia="Arial" w:hAnsi="Arial"/>
          <w:sz w:val="17"/>
          <w:szCs w:val="17"/>
          <w:color w:val="auto"/>
        </w:rPr>
        <w:t>Q</w:t>
      </w:r>
      <w:r>
        <w:rPr>
          <w:rFonts w:ascii="Arial" w:cs="Arial" w:eastAsia="Arial" w:hAnsi="Arial"/>
          <w:sz w:val="13"/>
          <w:szCs w:val="13"/>
          <w:color w:val="auto"/>
        </w:rPr>
        <w:t>UESTEX</w:t>
      </w:r>
      <w:r>
        <w:rPr>
          <w:rFonts w:ascii="Arial" w:cs="Arial" w:eastAsia="Arial" w:hAnsi="Arial"/>
          <w:sz w:val="17"/>
          <w:szCs w:val="17"/>
          <w:color w:val="auto"/>
        </w:rPr>
        <w:t xml:space="preserve"> M</w:t>
      </w:r>
      <w:r>
        <w:rPr>
          <w:rFonts w:ascii="Arial" w:cs="Arial" w:eastAsia="Arial" w:hAnsi="Arial"/>
          <w:sz w:val="13"/>
          <w:szCs w:val="13"/>
          <w:color w:val="auto"/>
        </w:rPr>
        <w:t>EDIA</w:t>
      </w:r>
      <w:r>
        <w:rPr>
          <w:rFonts w:ascii="Arial" w:cs="Arial" w:eastAsia="Arial" w:hAnsi="Arial"/>
          <w:sz w:val="17"/>
          <w:szCs w:val="17"/>
          <w:color w:val="auto"/>
        </w:rPr>
        <w:t xml:space="preserve"> G</w:t>
      </w:r>
      <w:r>
        <w:rPr>
          <w:rFonts w:ascii="Arial" w:cs="Arial" w:eastAsia="Arial" w:hAnsi="Arial"/>
          <w:sz w:val="13"/>
          <w:szCs w:val="13"/>
          <w:color w:val="auto"/>
        </w:rPr>
        <w:t>ROUP</w:t>
      </w:r>
      <w:r>
        <w:rPr>
          <w:rFonts w:ascii="Arial" w:cs="Arial" w:eastAsia="Arial" w:hAnsi="Arial"/>
          <w:sz w:val="17"/>
          <w:szCs w:val="17"/>
          <w:color w:val="auto"/>
        </w:rPr>
        <w:t>, I</w:t>
      </w:r>
      <w:r>
        <w:rPr>
          <w:rFonts w:ascii="Arial" w:cs="Arial" w:eastAsia="Arial" w:hAnsi="Arial"/>
          <w:sz w:val="13"/>
          <w:szCs w:val="13"/>
          <w:color w:val="auto"/>
        </w:rPr>
        <w:t>NC</w:t>
      </w:r>
      <w:r>
        <w:rPr>
          <w:rFonts w:ascii="Arial" w:cs="Arial" w:eastAsia="Arial" w:hAnsi="Arial"/>
          <w:sz w:val="17"/>
          <w:szCs w:val="17"/>
          <w:color w:val="auto"/>
        </w:rPr>
        <w:t>. S</w:t>
      </w:r>
      <w:r>
        <w:rPr>
          <w:rFonts w:ascii="Arial" w:cs="Arial" w:eastAsia="Arial" w:hAnsi="Arial"/>
          <w:sz w:val="13"/>
          <w:szCs w:val="13"/>
          <w:color w:val="auto"/>
        </w:rPr>
        <w:t>AINT</w:t>
      </w:r>
      <w:r>
        <w:rPr>
          <w:rFonts w:ascii="Arial" w:cs="Arial" w:eastAsia="Arial" w:hAnsi="Arial"/>
          <w:sz w:val="17"/>
          <w:szCs w:val="17"/>
          <w:color w:val="auto"/>
        </w:rPr>
        <w:t xml:space="preserve"> A</w:t>
      </w:r>
      <w:r>
        <w:rPr>
          <w:rFonts w:ascii="Arial" w:cs="Arial" w:eastAsia="Arial" w:hAnsi="Arial"/>
          <w:sz w:val="13"/>
          <w:szCs w:val="13"/>
          <w:color w:val="auto"/>
        </w:rPr>
        <w:t>CQUISITION</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r>
        <w:rPr>
          <w:rFonts w:ascii="Arial" w:cs="Arial" w:eastAsia="Arial" w:hAnsi="Arial"/>
          <w:sz w:val="21"/>
          <w:szCs w:val="21"/>
          <w:color w:val="auto"/>
          <w:vertAlign w:val="superscript"/>
        </w:rPr>
        <w:t>(5)</w:t>
      </w:r>
      <w:r>
        <w:rPr>
          <w:rFonts w:ascii="Arial" w:cs="Arial" w:eastAsia="Arial" w:hAnsi="Arial"/>
          <w:sz w:val="17"/>
          <w:szCs w:val="17"/>
          <w:color w:val="auto"/>
        </w:rPr>
        <w:t xml:space="preserve"> S</w:t>
      </w:r>
      <w:r>
        <w:rPr>
          <w:rFonts w:ascii="Arial" w:cs="Arial" w:eastAsia="Arial" w:hAnsi="Arial"/>
          <w:sz w:val="13"/>
          <w:szCs w:val="13"/>
          <w:color w:val="auto"/>
        </w:rPr>
        <w:t>AINT</w:t>
      </w:r>
      <w:r>
        <w:rPr>
          <w:rFonts w:ascii="Arial" w:cs="Arial" w:eastAsia="Arial" w:hAnsi="Arial"/>
          <w:sz w:val="17"/>
          <w:szCs w:val="17"/>
          <w:color w:val="auto"/>
        </w:rPr>
        <w:t xml:space="preserve"> A</w:t>
      </w:r>
      <w:r>
        <w:rPr>
          <w:rFonts w:ascii="Arial" w:cs="Arial" w:eastAsia="Arial" w:hAnsi="Arial"/>
          <w:sz w:val="13"/>
          <w:szCs w:val="13"/>
          <w:color w:val="auto"/>
        </w:rPr>
        <w:t>CQUISITION</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r>
        <w:rPr>
          <w:rFonts w:ascii="Arial" w:cs="Arial" w:eastAsia="Arial" w:hAnsi="Arial"/>
          <w:sz w:val="21"/>
          <w:szCs w:val="21"/>
          <w:color w:val="auto"/>
          <w:vertAlign w:val="superscript"/>
        </w:rPr>
        <w:t>(5)</w:t>
      </w:r>
      <w:r>
        <w:rPr>
          <w:rFonts w:ascii="Arial" w:cs="Arial" w:eastAsia="Arial" w:hAnsi="Arial"/>
          <w:sz w:val="17"/>
          <w:szCs w:val="17"/>
          <w:color w:val="auto"/>
        </w:rPr>
        <w:t xml:space="preserve"> S</w:t>
      </w:r>
      <w:r>
        <w:rPr>
          <w:rFonts w:ascii="Arial" w:cs="Arial" w:eastAsia="Arial" w:hAnsi="Arial"/>
          <w:sz w:val="13"/>
          <w:szCs w:val="13"/>
          <w:color w:val="auto"/>
        </w:rPr>
        <w:t>HERIDAN</w:t>
      </w:r>
      <w:r>
        <w:rPr>
          <w:rFonts w:ascii="Arial" w:cs="Arial" w:eastAsia="Arial" w:hAnsi="Arial"/>
          <w:sz w:val="17"/>
          <w:szCs w:val="17"/>
          <w:color w:val="auto"/>
        </w:rPr>
        <w:t xml:space="preserve"> H</w:t>
      </w:r>
      <w:r>
        <w:rPr>
          <w:rFonts w:ascii="Arial" w:cs="Arial" w:eastAsia="Arial" w:hAnsi="Arial"/>
          <w:sz w:val="13"/>
          <w:szCs w:val="13"/>
          <w:color w:val="auto"/>
        </w:rPr>
        <w:t>OLDINGS</w:t>
      </w:r>
      <w:r>
        <w:rPr>
          <w:rFonts w:ascii="Arial" w:cs="Arial" w:eastAsia="Arial" w:hAnsi="Arial"/>
          <w:sz w:val="17"/>
          <w:szCs w:val="17"/>
          <w:color w:val="auto"/>
        </w:rPr>
        <w:t>, I</w:t>
      </w:r>
      <w:r>
        <w:rPr>
          <w:rFonts w:ascii="Arial" w:cs="Arial" w:eastAsia="Arial" w:hAnsi="Arial"/>
          <w:sz w:val="13"/>
          <w:szCs w:val="13"/>
          <w:color w:val="auto"/>
        </w:rPr>
        <w:t>NC</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-215900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Current</w:t>
            </w:r>
          </w:p>
        </w:tc>
        <w:tc>
          <w:tcPr>
            <w:tcW w:w="4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Coupon</w:t>
            </w:r>
          </w:p>
        </w:tc>
        <w:tc>
          <w:tcPr>
            <w:tcW w:w="44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0</wp:posOffset>
            </wp:positionV>
            <wp:extent cx="7246620" cy="274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11/30/2015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9.67%*</w:t>
            </w:r>
          </w:p>
        </w:tc>
        <w:tc>
          <w:tcPr>
            <w:tcW w:w="920" w:type="dxa"/>
            <w:vAlign w:val="bottom"/>
          </w:tcPr>
          <w:p>
            <w:pPr>
              <w:ind w:left="240"/>
              <w:spacing w:after="0"/>
              <w:rPr>
                <w:sz w:val="20"/>
                <w:szCs w:val="20"/>
                <w:color w:val="auto"/>
              </w:rPr>
            </w:pPr>
            <w:r>
              <w:rPr>
                <w:rFonts w:ascii="Arial" w:cs="Arial" w:eastAsia="Arial" w:hAnsi="Arial"/>
                <w:sz w:val="18"/>
                <w:szCs w:val="18"/>
                <w:color w:val="auto"/>
              </w:rPr>
              <w:t>L+700</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$ 15,480,208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$ 15,480,208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$12,384,166</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03/01/2012</w:t>
            </w:r>
          </w:p>
        </w:tc>
        <w:tc>
          <w:tcPr>
            <w:tcW w:w="2100" w:type="dxa"/>
            <w:vAlign w:val="bottom"/>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9.27%*</w:t>
            </w:r>
          </w:p>
        </w:tc>
        <w:tc>
          <w:tcPr>
            <w:tcW w:w="920" w:type="dxa"/>
            <w:vAlign w:val="bottom"/>
          </w:tcPr>
          <w:p>
            <w:pPr>
              <w:ind w:left="240"/>
              <w:spacing w:after="0"/>
              <w:rPr>
                <w:sz w:val="20"/>
                <w:szCs w:val="20"/>
                <w:color w:val="auto"/>
              </w:rPr>
            </w:pPr>
            <w:r>
              <w:rPr>
                <w:rFonts w:ascii="Arial" w:cs="Arial" w:eastAsia="Arial" w:hAnsi="Arial"/>
                <w:sz w:val="18"/>
                <w:szCs w:val="18"/>
                <w:color w:val="auto"/>
              </w:rPr>
              <w:t>L+625</w:t>
            </w:r>
          </w:p>
        </w:tc>
        <w:tc>
          <w:tcPr>
            <w:tcW w:w="980" w:type="dxa"/>
            <w:vAlign w:val="bottom"/>
          </w:tcPr>
          <w:p>
            <w:pPr>
              <w:jc w:val="right"/>
              <w:spacing w:after="0"/>
              <w:rPr>
                <w:sz w:val="20"/>
                <w:szCs w:val="20"/>
                <w:color w:val="auto"/>
              </w:rPr>
            </w:pPr>
            <w:r>
              <w:rPr>
                <w:rFonts w:ascii="Arial" w:cs="Arial" w:eastAsia="Arial" w:hAnsi="Arial"/>
                <w:sz w:val="18"/>
                <w:szCs w:val="18"/>
                <w:color w:val="auto"/>
              </w:rPr>
              <w:t>18,500,000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18,150,501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14,615,000</w:t>
            </w:r>
          </w:p>
        </w:tc>
        <w:tc>
          <w:tcPr>
            <w:tcW w:w="0" w:type="dxa"/>
            <w:vAlign w:val="bottom"/>
          </w:tcPr>
          <w:p>
            <w:pPr>
              <w:spacing w:after="0"/>
              <w:rPr>
                <w:sz w:val="1"/>
                <w:szCs w:val="1"/>
                <w:color w:val="auto"/>
              </w:rPr>
            </w:pPr>
          </w:p>
        </w:tc>
      </w:tr>
      <w:tr>
        <w:trPr>
          <w:trHeight w:val="318"/>
        </w:trPr>
        <w:tc>
          <w:tcPr>
            <w:tcW w:w="1000" w:type="dxa"/>
            <w:vAlign w:val="bottom"/>
            <w:vMerge w:val="restart"/>
          </w:tcPr>
          <w:p>
            <w:pPr>
              <w:jc w:val="right"/>
              <w:ind w:right="112"/>
              <w:spacing w:after="0"/>
              <w:rPr>
                <w:sz w:val="20"/>
                <w:szCs w:val="20"/>
                <w:color w:val="auto"/>
              </w:rPr>
            </w:pPr>
            <w:r>
              <w:rPr>
                <w:rFonts w:ascii="Arial" w:cs="Arial" w:eastAsia="Arial" w:hAnsi="Arial"/>
                <w:sz w:val="18"/>
                <w:szCs w:val="18"/>
                <w:color w:val="auto"/>
                <w:w w:val="86"/>
              </w:rPr>
              <w:t>04/17/2015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0" w:type="dxa"/>
            <w:vAlign w:val="bottom"/>
            <w:vMerge w:val="continue"/>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EFENSE</w:t>
            </w:r>
          </w:p>
        </w:tc>
        <w:tc>
          <w:tcPr>
            <w:tcW w:w="1100" w:type="dxa"/>
            <w:vAlign w:val="bottom"/>
            <w:vMerge w:val="restart"/>
          </w:tcPr>
          <w:p>
            <w:pPr>
              <w:jc w:val="right"/>
              <w:ind w:right="172"/>
              <w:spacing w:after="0"/>
              <w:rPr>
                <w:sz w:val="20"/>
                <w:szCs w:val="20"/>
                <w:color w:val="auto"/>
              </w:rPr>
            </w:pPr>
            <w:r>
              <w:rPr>
                <w:rFonts w:ascii="Arial" w:cs="Arial" w:eastAsia="Arial" w:hAnsi="Arial"/>
                <w:sz w:val="18"/>
                <w:szCs w:val="18"/>
                <w:color w:val="auto"/>
              </w:rPr>
              <w:t>14.25%*</w:t>
            </w:r>
          </w:p>
        </w:tc>
        <w:tc>
          <w:tcPr>
            <w:tcW w:w="9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7,820,000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05/20/2012</w:t>
            </w:r>
          </w:p>
        </w:tc>
        <w:tc>
          <w:tcPr>
            <w:tcW w:w="21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13.75%</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19,494,522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07/02/2014</w:t>
            </w: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14.25%*</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4,115,876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3,882,232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4,115,876</w:t>
            </w:r>
          </w:p>
        </w:tc>
        <w:tc>
          <w:tcPr>
            <w:tcW w:w="0" w:type="dxa"/>
            <w:vAlign w:val="bottom"/>
          </w:tcPr>
          <w:p>
            <w:pPr>
              <w:spacing w:after="0"/>
              <w:rPr>
                <w:sz w:val="1"/>
                <w:szCs w:val="1"/>
                <w:color w:val="auto"/>
              </w:rPr>
            </w:pPr>
          </w:p>
        </w:tc>
      </w:tr>
      <w:tr>
        <w:trPr>
          <w:trHeight w:val="318"/>
        </w:trPr>
        <w:tc>
          <w:tcPr>
            <w:tcW w:w="1000" w:type="dxa"/>
            <w:vAlign w:val="bottom"/>
            <w:vMerge w:val="restart"/>
          </w:tcPr>
          <w:p>
            <w:pPr>
              <w:jc w:val="right"/>
              <w:ind w:right="112"/>
              <w:spacing w:after="0"/>
              <w:rPr>
                <w:sz w:val="20"/>
                <w:szCs w:val="20"/>
                <w:color w:val="auto"/>
              </w:rPr>
            </w:pPr>
            <w:r>
              <w:rPr>
                <w:rFonts w:ascii="Arial" w:cs="Arial" w:eastAsia="Arial" w:hAnsi="Arial"/>
                <w:sz w:val="18"/>
                <w:szCs w:val="18"/>
                <w:color w:val="auto"/>
                <w:w w:val="86"/>
              </w:rPr>
              <w:t>04/15/2015</w:t>
            </w:r>
          </w:p>
        </w:tc>
        <w:tc>
          <w:tcPr>
            <w:tcW w:w="21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0" w:type="dxa"/>
            <w:vAlign w:val="bottom"/>
            <w:vMerge w:val="continue"/>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0"/>
              </w:rPr>
              <w:t>E</w:t>
            </w:r>
            <w:r>
              <w:rPr>
                <w:rFonts w:ascii="Arial" w:cs="Arial" w:eastAsia="Arial" w:hAnsi="Arial"/>
                <w:sz w:val="14"/>
                <w:szCs w:val="14"/>
                <w:color w:val="auto"/>
                <w:w w:val="90"/>
              </w:rPr>
              <w:t>STATE</w:t>
            </w:r>
          </w:p>
        </w:tc>
        <w:tc>
          <w:tcPr>
            <w:tcW w:w="1100" w:type="dxa"/>
            <w:vAlign w:val="bottom"/>
            <w:vMerge w:val="restart"/>
          </w:tcPr>
          <w:p>
            <w:pPr>
              <w:jc w:val="right"/>
              <w:ind w:right="252"/>
              <w:spacing w:after="0"/>
              <w:rPr>
                <w:sz w:val="20"/>
                <w:szCs w:val="20"/>
                <w:color w:val="auto"/>
              </w:rPr>
            </w:pPr>
            <w:r>
              <w:rPr>
                <w:rFonts w:ascii="Arial" w:cs="Arial" w:eastAsia="Arial" w:hAnsi="Arial"/>
                <w:sz w:val="18"/>
                <w:szCs w:val="18"/>
                <w:color w:val="auto"/>
              </w:rPr>
              <w:t>12.38%</w:t>
            </w:r>
          </w:p>
        </w:tc>
        <w:tc>
          <w:tcPr>
            <w:tcW w:w="9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28,000,000</w:t>
            </w:r>
          </w:p>
        </w:tc>
        <w:tc>
          <w:tcPr>
            <w:tcW w:w="10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26,223,603</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12,460,000</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02/08/2015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13.50%</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20,383,058</w:t>
            </w:r>
          </w:p>
        </w:tc>
        <w:tc>
          <w:tcPr>
            <w:tcW w:w="2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21,000,000</w:t>
            </w:r>
          </w:p>
        </w:tc>
        <w:tc>
          <w:tcPr>
            <w:tcW w:w="0" w:type="dxa"/>
            <w:vAlign w:val="bottom"/>
          </w:tcPr>
          <w:p>
            <w:pPr>
              <w:spacing w:after="0"/>
              <w:rPr>
                <w:sz w:val="1"/>
                <w:szCs w:val="1"/>
                <w:color w:val="auto"/>
              </w:rPr>
            </w:pPr>
          </w:p>
        </w:tc>
      </w:tr>
      <w:tr>
        <w:trPr>
          <w:trHeight w:val="546"/>
        </w:trPr>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115,096,084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111,434,124</w:t>
            </w:r>
          </w:p>
        </w:tc>
        <w:tc>
          <w:tcPr>
            <w:tcW w:w="2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92,575,042</w:t>
            </w:r>
          </w:p>
        </w:tc>
        <w:tc>
          <w:tcPr>
            <w:tcW w:w="0" w:type="dxa"/>
            <w:vAlign w:val="bottom"/>
          </w:tcPr>
          <w:p>
            <w:pPr>
              <w:spacing w:after="0"/>
              <w:rPr>
                <w:sz w:val="1"/>
                <w:szCs w:val="1"/>
                <w:color w:val="auto"/>
              </w:rPr>
            </w:pPr>
          </w:p>
        </w:tc>
      </w:tr>
      <w:tr>
        <w:trPr>
          <w:trHeight w:val="763"/>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02/07/2015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NERGY</w:t>
            </w:r>
            <w:r>
              <w:rPr>
                <w:rFonts w:ascii="Arial" w:cs="Arial" w:eastAsia="Arial" w:hAnsi="Arial"/>
                <w:sz w:val="18"/>
                <w:szCs w:val="18"/>
                <w:color w:val="auto"/>
                <w:w w:val="99"/>
              </w:rPr>
              <w:t xml:space="preserve"> / U</w:t>
            </w:r>
            <w:r>
              <w:rPr>
                <w:rFonts w:ascii="Arial" w:cs="Arial" w:eastAsia="Arial" w:hAnsi="Arial"/>
                <w:sz w:val="14"/>
                <w:szCs w:val="14"/>
                <w:color w:val="auto"/>
                <w:w w:val="99"/>
              </w:rPr>
              <w:t>TILITIES</w:t>
            </w:r>
          </w:p>
        </w:tc>
        <w:tc>
          <w:tcPr>
            <w:tcW w:w="1100" w:type="dxa"/>
            <w:vAlign w:val="bottom"/>
            <w:vMerge w:val="restart"/>
          </w:tcPr>
          <w:p>
            <w:pPr>
              <w:jc w:val="right"/>
              <w:ind w:right="252"/>
              <w:spacing w:after="0"/>
              <w:rPr>
                <w:sz w:val="20"/>
                <w:szCs w:val="20"/>
                <w:color w:val="auto"/>
              </w:rPr>
            </w:pPr>
            <w:r>
              <w:rPr>
                <w:rFonts w:ascii="Arial" w:cs="Arial" w:eastAsia="Arial" w:hAnsi="Arial"/>
                <w:sz w:val="18"/>
                <w:szCs w:val="18"/>
                <w:color w:val="auto"/>
              </w:rPr>
              <w:t>9.24%</w:t>
            </w: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L+600</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11,600,000</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11,257,394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10,382,000</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02/07/2015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NERGY</w:t>
            </w:r>
            <w:r>
              <w:rPr>
                <w:rFonts w:ascii="Arial" w:cs="Arial" w:eastAsia="Arial" w:hAnsi="Arial"/>
                <w:sz w:val="18"/>
                <w:szCs w:val="18"/>
                <w:color w:val="auto"/>
                <w:w w:val="99"/>
              </w:rPr>
              <w:t xml:space="preserve"> / U</w:t>
            </w:r>
            <w:r>
              <w:rPr>
                <w:rFonts w:ascii="Arial" w:cs="Arial" w:eastAsia="Arial" w:hAnsi="Arial"/>
                <w:sz w:val="14"/>
                <w:szCs w:val="14"/>
                <w:color w:val="auto"/>
                <w:w w:val="99"/>
              </w:rPr>
              <w:t>TILITIES</w:t>
            </w:r>
          </w:p>
        </w:tc>
        <w:tc>
          <w:tcPr>
            <w:tcW w:w="1100" w:type="dxa"/>
            <w:vAlign w:val="bottom"/>
            <w:vMerge w:val="restart"/>
          </w:tcPr>
          <w:p>
            <w:pPr>
              <w:jc w:val="right"/>
              <w:ind w:right="252"/>
              <w:spacing w:after="0"/>
              <w:rPr>
                <w:sz w:val="20"/>
                <w:szCs w:val="20"/>
                <w:color w:val="auto"/>
              </w:rPr>
            </w:pPr>
            <w:r>
              <w:rPr>
                <w:rFonts w:ascii="Arial" w:cs="Arial" w:eastAsia="Arial" w:hAnsi="Arial"/>
                <w:sz w:val="18"/>
                <w:szCs w:val="18"/>
                <w:color w:val="auto"/>
              </w:rPr>
              <w:t>10.13%</w:t>
            </w: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L+700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4"/>
                <w:szCs w:val="2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11,657,774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9,840,000</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05/19/2015</w:t>
            </w: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10.20%</w:t>
            </w:r>
          </w:p>
        </w:tc>
        <w:tc>
          <w:tcPr>
            <w:tcW w:w="920" w:type="dxa"/>
            <w:vAlign w:val="bottom"/>
          </w:tcPr>
          <w:p>
            <w:pPr>
              <w:ind w:left="240"/>
              <w:spacing w:after="0"/>
              <w:rPr>
                <w:sz w:val="20"/>
                <w:szCs w:val="20"/>
                <w:color w:val="auto"/>
              </w:rPr>
            </w:pPr>
            <w:r>
              <w:rPr>
                <w:rFonts w:ascii="Arial" w:cs="Arial" w:eastAsia="Arial" w:hAnsi="Arial"/>
                <w:sz w:val="18"/>
                <w:szCs w:val="18"/>
                <w:color w:val="auto"/>
              </w:rPr>
              <w:t>L+750</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11,943,020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11,880,000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07/02/2013</w:t>
            </w: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9.00%</w:t>
            </w:r>
          </w:p>
        </w:tc>
        <w:tc>
          <w:tcPr>
            <w:tcW w:w="920" w:type="dxa"/>
            <w:vAlign w:val="bottom"/>
          </w:tcPr>
          <w:p>
            <w:pPr>
              <w:ind w:left="240"/>
              <w:spacing w:after="0"/>
              <w:rPr>
                <w:sz w:val="20"/>
                <w:szCs w:val="20"/>
                <w:color w:val="auto"/>
              </w:rPr>
            </w:pPr>
            <w:r>
              <w:rPr>
                <w:rFonts w:ascii="Arial" w:cs="Arial" w:eastAsia="Arial" w:hAnsi="Arial"/>
                <w:sz w:val="18"/>
                <w:szCs w:val="18"/>
                <w:color w:val="auto"/>
              </w:rPr>
              <w:t>L+575</w:t>
            </w: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7,726,250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11/04/2014</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9.56%</w:t>
            </w:r>
          </w:p>
        </w:tc>
        <w:tc>
          <w:tcPr>
            <w:tcW w:w="920" w:type="dxa"/>
            <w:vAlign w:val="bottom"/>
          </w:tcPr>
          <w:p>
            <w:pPr>
              <w:ind w:left="240"/>
              <w:spacing w:after="0"/>
              <w:rPr>
                <w:sz w:val="20"/>
                <w:szCs w:val="20"/>
                <w:color w:val="auto"/>
              </w:rPr>
            </w:pPr>
            <w:r>
              <w:rPr>
                <w:rFonts w:ascii="Arial" w:cs="Arial" w:eastAsia="Arial" w:hAnsi="Arial"/>
                <w:sz w:val="18"/>
                <w:szCs w:val="18"/>
                <w:color w:val="auto"/>
              </w:rPr>
              <w:t>L+650</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05/15/2015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10.82%</w:t>
            </w:r>
          </w:p>
        </w:tc>
        <w:tc>
          <w:tcPr>
            <w:tcW w:w="920" w:type="dxa"/>
            <w:vAlign w:val="bottom"/>
          </w:tcPr>
          <w:p>
            <w:pPr>
              <w:ind w:left="240"/>
              <w:spacing w:after="0"/>
              <w:rPr>
                <w:sz w:val="20"/>
                <w:szCs w:val="20"/>
                <w:color w:val="auto"/>
              </w:rPr>
            </w:pPr>
            <w:r>
              <w:rPr>
                <w:rFonts w:ascii="Arial" w:cs="Arial" w:eastAsia="Arial" w:hAnsi="Arial"/>
                <w:sz w:val="18"/>
                <w:szCs w:val="18"/>
                <w:color w:val="auto"/>
              </w:rPr>
              <w:t>L+775</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9,941,689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3,975,000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05/15/2017</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12.50%</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16,381,661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7,742,500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06/15/2015</w:t>
            </w: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9.81%*</w:t>
            </w:r>
          </w:p>
        </w:tc>
        <w:tc>
          <w:tcPr>
            <w:tcW w:w="920" w:type="dxa"/>
            <w:vAlign w:val="bottom"/>
          </w:tcPr>
          <w:p>
            <w:pPr>
              <w:ind w:left="240"/>
              <w:spacing w:after="0"/>
              <w:rPr>
                <w:sz w:val="20"/>
                <w:szCs w:val="20"/>
                <w:color w:val="auto"/>
              </w:rPr>
            </w:pPr>
            <w:r>
              <w:rPr>
                <w:rFonts w:ascii="Arial" w:cs="Arial" w:eastAsia="Arial" w:hAnsi="Arial"/>
                <w:sz w:val="18"/>
                <w:szCs w:val="18"/>
                <w:color w:val="auto"/>
              </w:rPr>
              <w:t>L+575</w:t>
            </w:r>
          </w:p>
        </w:tc>
        <w:tc>
          <w:tcPr>
            <w:tcW w:w="9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11,788,635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-5092065</wp:posOffset>
            </wp:positionV>
            <wp:extent cx="72466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-4534535</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-3839845</wp:posOffset>
            </wp:positionV>
            <wp:extent cx="7246620" cy="283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-3265170</wp:posOffset>
            </wp:positionV>
            <wp:extent cx="7246620" cy="274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-2699385</wp:posOffset>
            </wp:positionV>
            <wp:extent cx="72466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-2013585</wp:posOffset>
            </wp:positionV>
            <wp:extent cx="7246620" cy="420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-1035685</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-624205</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6" w:lineRule="exact"/>
        <w:rPr>
          <w:sz w:val="20"/>
          <w:szCs w:val="20"/>
          <w:color w:val="auto"/>
        </w:rPr>
      </w:pPr>
    </w:p>
    <w:p>
      <w:pPr>
        <w:jc w:val="center"/>
        <w:ind w:right="30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020"/>
        <w:spacing w:after="0"/>
        <w:rPr>
          <w:sz w:val="20"/>
          <w:szCs w:val="20"/>
          <w:color w:val="auto"/>
        </w:rPr>
      </w:pPr>
      <w:r>
        <w:rPr>
          <w:rFonts w:ascii="Arial" w:cs="Arial" w:eastAsia="Arial" w:hAnsi="Arial"/>
          <w:sz w:val="18"/>
          <w:szCs w:val="18"/>
          <w:color w:val="auto"/>
        </w:rPr>
        <w:t>F-25</w:t>
      </w:r>
    </w:p>
    <w:p>
      <w:pPr>
        <w:sectPr>
          <w:pgSz w:w="11900" w:h="16838" w:orient="portrait"/>
          <w:cols w:equalWidth="0" w:num="2">
            <w:col w:w="2820" w:space="200"/>
            <w:col w:w="8400"/>
          </w:cols>
          <w:pgMar w:left="240" w:top="274" w:right="2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Second Lien Secured Debt - (Continued)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PECIALIZED</w:t>
      </w:r>
      <w:r>
        <w:rPr>
          <w:rFonts w:ascii="Arial" w:cs="Arial" w:eastAsia="Arial" w:hAnsi="Arial"/>
          <w:sz w:val="16"/>
          <w:szCs w:val="16"/>
          <w:color w:val="auto"/>
        </w:rPr>
        <w:t xml:space="preserve"> T</w:t>
      </w:r>
      <w:r>
        <w:rPr>
          <w:rFonts w:ascii="Arial" w:cs="Arial" w:eastAsia="Arial" w:hAnsi="Arial"/>
          <w:sz w:val="13"/>
          <w:szCs w:val="13"/>
          <w:color w:val="auto"/>
        </w:rPr>
        <w:t>ECHNOLOGY</w:t>
      </w:r>
      <w:r>
        <w:rPr>
          <w:rFonts w:ascii="Arial" w:cs="Arial" w:eastAsia="Arial" w:hAnsi="Arial"/>
          <w:sz w:val="16"/>
          <w:szCs w:val="16"/>
          <w:color w:val="auto"/>
        </w:rPr>
        <w:t xml:space="preserve"> R</w:t>
      </w:r>
      <w:r>
        <w:rPr>
          <w:rFonts w:ascii="Arial" w:cs="Arial" w:eastAsia="Arial" w:hAnsi="Arial"/>
          <w:sz w:val="13"/>
          <w:szCs w:val="13"/>
          <w:color w:val="auto"/>
        </w:rPr>
        <w:t>ESOURCES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Second Lien 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C</w:t>
      </w:r>
      <w:r>
        <w:rPr>
          <w:rFonts w:ascii="Arial" w:cs="Arial" w:eastAsia="Arial" w:hAnsi="Arial"/>
          <w:sz w:val="14"/>
          <w:szCs w:val="14"/>
          <w:color w:val="auto"/>
        </w:rPr>
        <w:t>LASS</w:t>
      </w:r>
      <w:r>
        <w:rPr>
          <w:rFonts w:ascii="Arial" w:cs="Arial" w:eastAsia="Arial" w:hAnsi="Arial"/>
          <w:sz w:val="18"/>
          <w:szCs w:val="18"/>
          <w:color w:val="auto"/>
        </w:rPr>
        <w:t xml:space="preserve"> A</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Preferred Equity</w:t>
      </w:r>
    </w:p>
    <w:p>
      <w:pPr>
        <w:spacing w:after="0" w:line="144" w:lineRule="exact"/>
        <w:rPr>
          <w:sz w:val="20"/>
          <w:szCs w:val="20"/>
          <w:color w:val="auto"/>
        </w:rPr>
      </w:pPr>
    </w:p>
    <w:p>
      <w:pPr>
        <w:ind w:left="220" w:right="820" w:hanging="215"/>
        <w:spacing w:after="0" w:line="297"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 3.6%</w:t>
      </w:r>
    </w:p>
    <w:p>
      <w:pPr>
        <w:spacing w:after="0" w:line="126" w:lineRule="exact"/>
        <w:rPr>
          <w:sz w:val="20"/>
          <w:szCs w:val="20"/>
          <w:color w:val="auto"/>
        </w:rPr>
      </w:pPr>
    </w:p>
    <w:p>
      <w:pPr>
        <w:ind w:left="220" w:right="420" w:hanging="215"/>
        <w:spacing w:after="0" w:line="268" w:lineRule="auto"/>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ind w:left="220" w:right="620" w:hanging="215"/>
        <w:spacing w:after="0" w:line="268" w:lineRule="auto"/>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Common Equity/Partnership Interests</w:t>
      </w:r>
    </w:p>
    <w:p>
      <w:pPr>
        <w:spacing w:after="0" w:line="167" w:lineRule="exact"/>
        <w:rPr>
          <w:sz w:val="20"/>
          <w:szCs w:val="20"/>
          <w:color w:val="auto"/>
        </w:rPr>
      </w:pPr>
    </w:p>
    <w:p>
      <w:pPr>
        <w:ind w:right="1380"/>
        <w:spacing w:after="0" w:line="257" w:lineRule="auto"/>
        <w:rPr>
          <w:sz w:val="20"/>
          <w:szCs w:val="20"/>
          <w:color w:val="auto"/>
        </w:rPr>
      </w:pPr>
      <w:r>
        <w:rPr>
          <w:rFonts w:ascii="Arial" w:cs="Arial" w:eastAsia="Arial" w:hAnsi="Arial"/>
          <w:sz w:val="18"/>
          <w:szCs w:val="18"/>
          <w:b w:val="1"/>
          <w:bCs w:val="1"/>
          <w:color w:val="auto"/>
        </w:rPr>
        <w:t>First Lien Secured Debt – 62.0%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27" w:lineRule="exact"/>
        <w:rPr>
          <w:sz w:val="20"/>
          <w:szCs w:val="20"/>
          <w:color w:val="auto"/>
        </w:rPr>
      </w:pPr>
    </w:p>
    <w:p>
      <w:pPr>
        <w:ind w:left="220" w:right="60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ind w:left="220" w:right="18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-215900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 w:type="dxa"/>
            <w:vAlign w:val="bottom"/>
          </w:tcPr>
          <w:p>
            <w:pPr>
              <w:spacing w:after="0"/>
              <w:rPr>
                <w:sz w:val="15"/>
                <w:szCs w:val="15"/>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96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12/15/2014</w:t>
            </w:r>
          </w:p>
        </w:tc>
        <w:tc>
          <w:tcPr>
            <w:tcW w:w="20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9"/>
              </w:rPr>
              <w:t>&amp; R</w:t>
            </w:r>
            <w:r>
              <w:rPr>
                <w:rFonts w:ascii="Arial" w:cs="Arial" w:eastAsia="Arial" w:hAnsi="Arial"/>
                <w:sz w:val="14"/>
                <w:szCs w:val="14"/>
                <w:color w:val="auto"/>
                <w:w w:val="99"/>
              </w:rPr>
              <w:t>UBBER</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9.70%*</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L+700</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$ 22,500,000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$ 22,484,756</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$ 21,600,000</w:t>
            </w: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center"/>
              <w:spacing w:after="0"/>
              <w:rPr>
                <w:sz w:val="20"/>
                <w:szCs w:val="20"/>
                <w:color w:val="auto"/>
              </w:rPr>
            </w:pPr>
            <w:r>
              <w:rPr>
                <w:rFonts w:ascii="Arial" w:cs="Arial" w:eastAsia="Arial" w:hAnsi="Arial"/>
                <w:sz w:val="18"/>
                <w:szCs w:val="18"/>
                <w:color w:val="auto"/>
                <w:w w:val="88"/>
              </w:rPr>
              <w:t>06/15/2015</w:t>
            </w:r>
          </w:p>
        </w:tc>
        <w:tc>
          <w:tcPr>
            <w:tcW w:w="2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8.70%*</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L+600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13,000,000</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12,893,473</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9,100,000</w:t>
            </w:r>
          </w:p>
        </w:tc>
        <w:tc>
          <w:tcPr>
            <w:tcW w:w="0" w:type="dxa"/>
            <w:vAlign w:val="bottom"/>
          </w:tcPr>
          <w:p>
            <w:pPr>
              <w:spacing w:after="0"/>
              <w:rPr>
                <w:sz w:val="1"/>
                <w:szCs w:val="1"/>
                <w:color w:val="auto"/>
              </w:rPr>
            </w:pPr>
          </w:p>
        </w:tc>
      </w:tr>
      <w:tr>
        <w:trPr>
          <w:trHeight w:val="331"/>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131,350,000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127,098,402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100,620,750</w:t>
            </w:r>
          </w:p>
        </w:tc>
        <w:tc>
          <w:tcPr>
            <w:tcW w:w="0" w:type="dxa"/>
            <w:vAlign w:val="bottom"/>
          </w:tcPr>
          <w:p>
            <w:pPr>
              <w:spacing w:after="0"/>
              <w:rPr>
                <w:sz w:val="1"/>
                <w:szCs w:val="1"/>
                <w:color w:val="auto"/>
              </w:rPr>
            </w:pPr>
          </w:p>
        </w:tc>
      </w:tr>
      <w:tr>
        <w:trPr>
          <w:trHeight w:val="641"/>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12.00%*</w:t>
            </w:r>
          </w:p>
        </w:tc>
        <w:tc>
          <w:tcPr>
            <w:tcW w:w="5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784</w:t>
            </w:r>
          </w:p>
        </w:tc>
        <w:tc>
          <w:tcPr>
            <w:tcW w:w="200" w:type="dxa"/>
            <w:vAlign w:val="bottom"/>
            <w:vMerge w:val="restart"/>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784,000</w:t>
            </w:r>
          </w:p>
        </w:tc>
        <w:tc>
          <w:tcPr>
            <w:tcW w:w="2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784,000</w:t>
            </w: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1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784,000</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-1706245</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-1294130</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-505460</wp:posOffset>
            </wp:positionV>
            <wp:extent cx="7246620" cy="274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77470</wp:posOffset>
            </wp:positionV>
            <wp:extent cx="7246620" cy="274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640" w:type="dxa"/>
            <w:vAlign w:val="bottom"/>
            <w:vMerge w:val="restart"/>
          </w:tcPr>
          <w:p>
            <w:pPr>
              <w:spacing w:after="0"/>
              <w:rPr>
                <w:sz w:val="20"/>
                <w:szCs w:val="20"/>
                <w:color w:val="auto"/>
              </w:rPr>
            </w:pPr>
            <w:r>
              <w:rPr>
                <w:rFonts w:ascii="Arial" w:cs="Arial" w:eastAsia="Arial" w:hAnsi="Arial"/>
                <w:sz w:val="18"/>
                <w:szCs w:val="18"/>
                <w:color w:val="auto"/>
              </w:rPr>
              <w:t>—</w:t>
            </w:r>
          </w:p>
        </w:tc>
        <w:tc>
          <w:tcPr>
            <w:tcW w:w="1860" w:type="dxa"/>
            <w:vAlign w:val="bottom"/>
          </w:tcPr>
          <w:p>
            <w:pPr>
              <w:jc w:val="center"/>
              <w:ind w:left="12"/>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252"/>
              <w:spacing w:after="0"/>
              <w:rPr>
                <w:sz w:val="20"/>
                <w:szCs w:val="20"/>
                <w:color w:val="auto"/>
              </w:rPr>
            </w:pPr>
            <w:r>
              <w:rPr>
                <w:rFonts w:ascii="Arial" w:cs="Arial" w:eastAsia="Arial" w:hAnsi="Arial"/>
                <w:sz w:val="18"/>
                <w:szCs w:val="18"/>
                <w:color w:val="auto"/>
              </w:rPr>
              <w:t>1,600</w:t>
            </w:r>
          </w:p>
        </w:tc>
        <w:tc>
          <w:tcPr>
            <w:tcW w:w="1180" w:type="dxa"/>
            <w:vAlign w:val="bottom"/>
            <w:vMerge w:val="restart"/>
          </w:tcPr>
          <w:p>
            <w:pPr>
              <w:jc w:val="right"/>
              <w:ind w:right="272"/>
              <w:spacing w:after="0"/>
              <w:rPr>
                <w:sz w:val="20"/>
                <w:szCs w:val="20"/>
                <w:color w:val="auto"/>
              </w:rPr>
            </w:pPr>
            <w:r>
              <w:rPr>
                <w:rFonts w:ascii="Arial" w:cs="Arial" w:eastAsia="Arial" w:hAnsi="Arial"/>
                <w:sz w:val="18"/>
                <w:szCs w:val="18"/>
                <w:color w:val="auto"/>
              </w:rPr>
              <w:t>16,000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9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-272415</wp:posOffset>
            </wp:positionV>
            <wp:extent cx="7246620"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w:t>
      </w:r>
    </w:p>
    <w:p>
      <w:pPr>
        <w:spacing w:after="0" w:line="15" w:lineRule="exact"/>
        <w:rPr>
          <w:sz w:val="20"/>
          <w:szCs w:val="20"/>
          <w:color w:val="auto"/>
        </w:rPr>
      </w:pPr>
    </w:p>
    <w:p>
      <w:pPr>
        <w:ind w:left="1100" w:right="5120" w:hanging="1235"/>
        <w:spacing w:after="0" w:line="250"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r>
        <w:rPr>
          <w:rFonts w:ascii="Arial" w:cs="Arial" w:eastAsia="Arial" w:hAnsi="Arial"/>
          <w:sz w:val="18"/>
          <w:szCs w:val="18"/>
          <w:color w:val="auto"/>
        </w:rPr>
        <w:t xml:space="preserve"> P</w:t>
      </w:r>
      <w:r>
        <w:rPr>
          <w:rFonts w:ascii="Arial" w:cs="Arial" w:eastAsia="Arial" w:hAnsi="Arial"/>
          <w:sz w:val="14"/>
          <w:szCs w:val="14"/>
          <w:color w:val="auto"/>
        </w:rPr>
        <w:t>ICTURES</w:t>
      </w:r>
      <w:r>
        <w:rPr>
          <w:rFonts w:ascii="Arial" w:cs="Arial" w:eastAsia="Arial" w:hAnsi="Arial"/>
          <w:sz w:val="18"/>
          <w:szCs w:val="18"/>
          <w:color w:val="auto"/>
        </w:rPr>
        <w:t>,</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2,511,876</w:t>
            </w:r>
          </w:p>
        </w:tc>
        <w:tc>
          <w:tcPr>
            <w:tcW w:w="0" w:type="dxa"/>
            <w:vAlign w:val="bottom"/>
          </w:tcPr>
          <w:p>
            <w:pPr>
              <w:spacing w:after="0"/>
              <w:rPr>
                <w:sz w:val="1"/>
                <w:szCs w:val="1"/>
                <w:color w:val="auto"/>
              </w:rPr>
            </w:pPr>
          </w:p>
        </w:tc>
      </w:tr>
      <w:tr>
        <w:trPr>
          <w:trHeight w:val="318"/>
        </w:trPr>
        <w:tc>
          <w:tcPr>
            <w:tcW w:w="9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91,608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3,548,690</w:t>
            </w:r>
          </w:p>
        </w:tc>
        <w:tc>
          <w:tcPr>
            <w:tcW w:w="0" w:type="dxa"/>
            <w:vAlign w:val="bottom"/>
          </w:tcPr>
          <w:p>
            <w:pPr>
              <w:spacing w:after="0"/>
              <w:rPr>
                <w:sz w:val="1"/>
                <w:szCs w:val="1"/>
                <w:color w:val="auto"/>
              </w:rPr>
            </w:pPr>
          </w:p>
        </w:tc>
      </w:tr>
      <w:tr>
        <w:trPr>
          <w:trHeight w:val="325"/>
        </w:trPr>
        <w:tc>
          <w:tcPr>
            <w:tcW w:w="9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1,701,231</w:t>
            </w:r>
          </w:p>
        </w:tc>
        <w:tc>
          <w:tcPr>
            <w:tcW w:w="0" w:type="dxa"/>
            <w:vAlign w:val="bottom"/>
          </w:tcPr>
          <w:p>
            <w:pPr>
              <w:spacing w:after="0"/>
              <w:rPr>
                <w:sz w:val="1"/>
                <w:szCs w:val="1"/>
                <w:color w:val="auto"/>
              </w:rPr>
            </w:pPr>
          </w:p>
        </w:tc>
      </w:tr>
      <w:tr>
        <w:trPr>
          <w:trHeight w:val="331"/>
        </w:trPr>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133,708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9,266,000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7,777,797</w:t>
            </w:r>
          </w:p>
        </w:tc>
        <w:tc>
          <w:tcPr>
            <w:tcW w:w="0" w:type="dxa"/>
            <w:vAlign w:val="bottom"/>
          </w:tcPr>
          <w:p>
            <w:pPr>
              <w:spacing w:after="0"/>
              <w:rPr>
                <w:sz w:val="1"/>
                <w:szCs w:val="1"/>
                <w:color w:val="auto"/>
              </w:rPr>
            </w:pPr>
          </w:p>
        </w:tc>
      </w:tr>
      <w:tr>
        <w:trPr>
          <w:trHeight w:val="533"/>
        </w:trPr>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Par</w:t>
            </w: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04/03/2015</w:t>
            </w:r>
          </w:p>
        </w:tc>
        <w:tc>
          <w:tcPr>
            <w:tcW w:w="1920" w:type="dxa"/>
            <w:vAlign w:val="bottom"/>
          </w:tcPr>
          <w:p>
            <w:pPr>
              <w:jc w:val="center"/>
              <w:spacing w:after="0" w:line="203" w:lineRule="exact"/>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5.10%</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L+200</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7,425,000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7,425,000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6,309,186</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02/07/2014</w:t>
            </w:r>
          </w:p>
        </w:tc>
        <w:tc>
          <w:tcPr>
            <w:tcW w:w="19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/U</w:t>
            </w:r>
            <w:r>
              <w:rPr>
                <w:rFonts w:ascii="Arial" w:cs="Arial" w:eastAsia="Arial" w:hAnsi="Arial"/>
                <w:sz w:val="14"/>
                <w:szCs w:val="14"/>
                <w:color w:val="auto"/>
              </w:rPr>
              <w:t>TILITIES</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5.03%</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L+225</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1,980,000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1,980,000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1,841,400</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05/28/2013</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5.34%</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L+225</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7,896,473</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7,888,328</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6,556,544</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03/06/2014</w:t>
            </w:r>
          </w:p>
        </w:tc>
        <w:tc>
          <w:tcPr>
            <w:tcW w:w="19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5.26%</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L+200</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14,962,500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14,955,821</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12,627,722</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-2227580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-1798955</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-1301750</wp:posOffset>
            </wp:positionV>
            <wp:extent cx="72466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-615315</wp:posOffset>
            </wp:positionV>
            <wp:extent cx="7246620"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36" w:lineRule="exact"/>
        <w:rPr>
          <w:sz w:val="20"/>
          <w:szCs w:val="20"/>
          <w:color w:val="auto"/>
        </w:rPr>
      </w:pPr>
    </w:p>
    <w:p>
      <w:pPr>
        <w:jc w:val="center"/>
        <w:ind w:right="354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540"/>
        <w:spacing w:after="0"/>
        <w:rPr>
          <w:sz w:val="20"/>
          <w:szCs w:val="20"/>
          <w:color w:val="auto"/>
        </w:rPr>
      </w:pPr>
      <w:r>
        <w:rPr>
          <w:rFonts w:ascii="Arial" w:cs="Arial" w:eastAsia="Arial" w:hAnsi="Arial"/>
          <w:sz w:val="18"/>
          <w:szCs w:val="18"/>
          <w:color w:val="auto"/>
        </w:rPr>
        <w:t>F-26</w:t>
      </w:r>
    </w:p>
    <w:p>
      <w:pPr>
        <w:sectPr>
          <w:pgSz w:w="11900" w:h="16838" w:orient="portrait"/>
          <w:cols w:equalWidth="0" w:num="2">
            <w:col w:w="3320" w:space="220"/>
            <w:col w:w="7880"/>
          </w:cols>
          <w:pgMar w:left="240" w:top="27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Basis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Point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Spread</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Above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Coupon</w:t>
            </w:r>
          </w:p>
        </w:tc>
        <w:tc>
          <w:tcPr>
            <w:tcW w:w="76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First Lien Secured Debt—</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(Continued)</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01/31/2013</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5.59%</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L+250</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  2,970,000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2,970,000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  1,871,100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08/28/2014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09/16/2013</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5.86%</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6,435,000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6,438,701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5,212,350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12/19/2013</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L+350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6,912,500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6.74%</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8,955,000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8,955,000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6,626,700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EFENSE</w:t>
            </w:r>
          </w:p>
        </w:tc>
        <w:tc>
          <w:tcPr>
            <w:tcW w:w="11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7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1,931,915</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1,931,915</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1,796,078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0" w:type="dxa"/>
            <w:vAlign w:val="bottom"/>
            <w:vMerge w:val="continue"/>
            <w:shd w:val="clear" w:color="auto" w:fill="CCEEFF"/>
          </w:tcPr>
          <w:p>
            <w:pPr>
              <w:spacing w:after="0"/>
              <w:rPr>
                <w:sz w:val="9"/>
                <w:szCs w:val="9"/>
                <w:color w:val="auto"/>
              </w:rPr>
            </w:pPr>
          </w:p>
        </w:tc>
        <w:tc>
          <w:tcPr>
            <w:tcW w:w="1160" w:type="dxa"/>
            <w:vAlign w:val="bottom"/>
            <w:gridSpan w:val="3"/>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4.45%</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L+175</w:t>
            </w:r>
          </w:p>
        </w:tc>
        <w:tc>
          <w:tcPr>
            <w:tcW w:w="940" w:type="dxa"/>
            <w:vAlign w:val="bottom"/>
          </w:tcPr>
          <w:p>
            <w:pPr>
              <w:jc w:val="right"/>
              <w:spacing w:after="0"/>
              <w:rPr>
                <w:sz w:val="20"/>
                <w:szCs w:val="20"/>
                <w:color w:val="auto"/>
              </w:rPr>
            </w:pPr>
            <w:r>
              <w:rPr>
                <w:rFonts w:ascii="Arial" w:cs="Arial" w:eastAsia="Arial" w:hAnsi="Arial"/>
                <w:sz w:val="18"/>
                <w:szCs w:val="18"/>
                <w:color w:val="auto"/>
              </w:rPr>
              <w:t>9,718,182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9,718,182</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8,388,006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04/15/2014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5.63%</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5.45%</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9,927,027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9,927,027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7,882,059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4,818,584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4,818,584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2,939,336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4.98%</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02/22/2014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5.06%</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3,949,309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3,948,139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01/18/2014</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5.50%</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3,970,050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3,970,050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2,659,934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02/28/2013</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4.74%</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L+200</w:t>
            </w:r>
          </w:p>
        </w:tc>
        <w:tc>
          <w:tcPr>
            <w:tcW w:w="940" w:type="dxa"/>
            <w:vAlign w:val="bottom"/>
          </w:tcPr>
          <w:p>
            <w:pPr>
              <w:jc w:val="right"/>
              <w:spacing w:after="0"/>
              <w:rPr>
                <w:sz w:val="20"/>
                <w:szCs w:val="20"/>
                <w:color w:val="auto"/>
              </w:rPr>
            </w:pPr>
            <w:r>
              <w:rPr>
                <w:rFonts w:ascii="Arial" w:cs="Arial" w:eastAsia="Arial" w:hAnsi="Arial"/>
                <w:sz w:val="18"/>
                <w:szCs w:val="18"/>
                <w:color w:val="auto"/>
              </w:rPr>
              <w:t>6,912,500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6,918,718</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5,633,688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02/01/2013</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74"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First Lien Secured Debt -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Communications Inc.</w:t>
      </w:r>
      <w:r>
        <w:rPr>
          <w:rFonts w:ascii="Arial" w:cs="Arial" w:eastAsia="Arial" w:hAnsi="Arial"/>
          <w:sz w:val="22"/>
          <w:szCs w:val="22"/>
          <w:color w:val="auto"/>
          <w:vertAlign w:val="superscript"/>
        </w:rPr>
        <w:t>(4)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 w:type="dxa"/>
            <w:vAlign w:val="bottom"/>
          </w:tcPr>
          <w:p>
            <w:pPr>
              <w:spacing w:after="0"/>
              <w:rPr>
                <w:sz w:val="15"/>
                <w:szCs w:val="15"/>
                <w:color w:val="auto"/>
              </w:rPr>
            </w:pP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Par</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03/16/2014</w:t>
            </w:r>
          </w:p>
        </w:tc>
        <w:tc>
          <w:tcPr>
            <w:tcW w:w="20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5.16%</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L+200</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  1,482,133</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  1,482,133</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7"/>
              </w:rPr>
              <w:t>$   1,215,349</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88"/>
              </w:rPr>
              <w:t>05/04/2014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6.58%</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L+300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4,949,167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4,949,167</w:t>
            </w:r>
          </w:p>
        </w:tc>
        <w:tc>
          <w:tcPr>
            <w:tcW w:w="1040" w:type="dxa"/>
            <w:vAlign w:val="bottom"/>
          </w:tcPr>
          <w:p>
            <w:pPr>
              <w:jc w:val="right"/>
              <w:spacing w:after="0"/>
              <w:rPr>
                <w:sz w:val="20"/>
                <w:szCs w:val="20"/>
                <w:color w:val="auto"/>
              </w:rPr>
            </w:pPr>
            <w:r>
              <w:rPr>
                <w:rFonts w:ascii="Arial" w:cs="Arial" w:eastAsia="Arial" w:hAnsi="Arial"/>
                <w:sz w:val="18"/>
                <w:szCs w:val="18"/>
                <w:color w:val="auto"/>
              </w:rPr>
              <w:t>4,528,487</w:t>
            </w:r>
          </w:p>
        </w:tc>
        <w:tc>
          <w:tcPr>
            <w:tcW w:w="0" w:type="dxa"/>
            <w:vAlign w:val="bottom"/>
          </w:tcPr>
          <w:p>
            <w:pPr>
              <w:spacing w:after="0"/>
              <w:rPr>
                <w:sz w:val="1"/>
                <w:szCs w:val="1"/>
                <w:color w:val="auto"/>
              </w:rPr>
            </w:pPr>
          </w:p>
        </w:tc>
      </w:tr>
      <w:tr>
        <w:trPr>
          <w:trHeight w:val="29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5.08%</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L+200</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990,000</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990,000</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810,810</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07/19/2013</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5.33%</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L+225</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4,937,500</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4,937,500</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4,468,438</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88"/>
              </w:rPr>
              <w:t>01/30/2014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5.14%</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L+250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2,867,302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2,867,302</w:t>
            </w:r>
          </w:p>
        </w:tc>
        <w:tc>
          <w:tcPr>
            <w:tcW w:w="1040" w:type="dxa"/>
            <w:vAlign w:val="bottom"/>
          </w:tcPr>
          <w:p>
            <w:pPr>
              <w:jc w:val="right"/>
              <w:spacing w:after="0"/>
              <w:rPr>
                <w:sz w:val="20"/>
                <w:szCs w:val="20"/>
                <w:color w:val="auto"/>
              </w:rPr>
            </w:pPr>
            <w:r>
              <w:rPr>
                <w:rFonts w:ascii="Arial" w:cs="Arial" w:eastAsia="Arial" w:hAnsi="Arial"/>
                <w:sz w:val="18"/>
                <w:szCs w:val="18"/>
                <w:color w:val="auto"/>
              </w:rPr>
              <w:t>2,265,169</w:t>
            </w:r>
          </w:p>
        </w:tc>
        <w:tc>
          <w:tcPr>
            <w:tcW w:w="0" w:type="dxa"/>
            <w:vAlign w:val="bottom"/>
          </w:tcPr>
          <w:p>
            <w:pPr>
              <w:spacing w:after="0"/>
              <w:rPr>
                <w:sz w:val="1"/>
                <w:szCs w:val="1"/>
                <w:color w:val="auto"/>
              </w:rPr>
            </w:pPr>
          </w:p>
        </w:tc>
      </w:tr>
      <w:tr>
        <w:trPr>
          <w:trHeight w:val="29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09/29/2014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5.48%</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L+225</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14,496,644</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14,496,644</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11,389,752</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09/29/2014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9"/>
                <w:szCs w:val="9"/>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503,356</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503,356</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395,478</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4.45%</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L+175</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6,365,637</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6,365,637</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5,856,386</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8"/>
              </w:rPr>
              <w:t>03/02/2014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tcPr>
          <w:p>
            <w:pPr>
              <w:spacing w:after="0"/>
              <w:rPr>
                <w:sz w:val="9"/>
                <w:szCs w:val="9"/>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2,103,908</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2,103,908</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1,935,596</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88"/>
              </w:rPr>
              <w:t>05/30/2014</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4.99%</w:t>
            </w: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L+175</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3,686,429</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3,686,429</w:t>
            </w:r>
          </w:p>
        </w:tc>
        <w:tc>
          <w:tcPr>
            <w:tcW w:w="1040" w:type="dxa"/>
            <w:vAlign w:val="bottom"/>
          </w:tcPr>
          <w:p>
            <w:pPr>
              <w:jc w:val="right"/>
              <w:spacing w:after="0"/>
              <w:rPr>
                <w:sz w:val="20"/>
                <w:szCs w:val="20"/>
                <w:color w:val="auto"/>
              </w:rPr>
            </w:pPr>
            <w:r>
              <w:rPr>
                <w:rFonts w:ascii="Arial" w:cs="Arial" w:eastAsia="Arial" w:hAnsi="Arial"/>
                <w:sz w:val="18"/>
                <w:szCs w:val="18"/>
                <w:color w:val="auto"/>
              </w:rPr>
              <w:t>3,174,937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-2999740</wp:posOffset>
            </wp:positionV>
            <wp:extent cx="72466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-2484755</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-1970405</wp:posOffset>
            </wp:positionV>
            <wp:extent cx="7246620" cy="274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-1456055</wp:posOffset>
            </wp:positionV>
            <wp:extent cx="7246620" cy="274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-803910</wp:posOffset>
            </wp:positionV>
            <wp:extent cx="7246620" cy="274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-135255</wp:posOffset>
            </wp:positionV>
            <wp:extent cx="724662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2860" w:space="720"/>
            <w:col w:w="78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First Lien Secured Debt</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165,056,116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165,050,041</w:t>
            </w:r>
          </w:p>
        </w:tc>
        <w:tc>
          <w:tcPr>
            <w:tcW w:w="1040" w:type="dxa"/>
            <w:vAlign w:val="bottom"/>
          </w:tcPr>
          <w:p>
            <w:pPr>
              <w:jc w:val="right"/>
              <w:spacing w:after="0"/>
              <w:rPr>
                <w:sz w:val="20"/>
                <w:szCs w:val="20"/>
                <w:color w:val="auto"/>
              </w:rPr>
            </w:pPr>
            <w:r>
              <w:rPr>
                <w:rFonts w:ascii="Arial" w:cs="Arial" w:eastAsia="Arial" w:hAnsi="Arial"/>
                <w:sz w:val="18"/>
                <w:szCs w:val="18"/>
                <w:color w:val="auto"/>
              </w:rPr>
              <w:t>134,126,292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155.3%</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413,632,567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$ 335,883,881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Equivalents – 37.6%</w:t>
            </w: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9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22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81,249,903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9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81,249,903</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81,249,903</w:t>
            </w:r>
          </w:p>
        </w:tc>
        <w:tc>
          <w:tcPr>
            <w:tcW w:w="1040" w:type="dxa"/>
            <w:vAlign w:val="bottom"/>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Investments and Cash Equivalents –</w:t>
            </w:r>
          </w:p>
        </w:tc>
        <w:tc>
          <w:tcPr>
            <w:tcW w:w="2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192.9%</w:t>
            </w:r>
          </w:p>
        </w:tc>
        <w:tc>
          <w:tcPr>
            <w:tcW w:w="2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494,882,470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$ 417,133,784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In Excess of Other Assets –</w:t>
            </w: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b w:val="1"/>
                <w:bCs w:val="1"/>
                <w:color w:val="auto"/>
              </w:rPr>
              <w:t>(92.9%)</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(200,876,279)</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$ 216,257,505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74" w:right="2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6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240" w:firstLine="8"/>
        <w:spacing w:after="0" w:line="362" w:lineRule="auto"/>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Coupon payable in cash or payment-in-kind (“PIK”).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7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0"/>
              </w:rPr>
              <w:t>Basis</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Point</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Spread</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Above</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98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Coupon</w:t>
            </w:r>
          </w:p>
        </w:tc>
        <w:tc>
          <w:tcPr>
            <w:tcW w:w="54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Par</w:t>
            </w:r>
          </w:p>
        </w:tc>
        <w:tc>
          <w:tcPr>
            <w:tcW w:w="4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Subordinated Debt / Corporate Notes – 21.2%</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8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11/30/2015</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12.20%*</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L+700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$14,580,690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$14,580,690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$14,580,690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03/01/2012</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L+625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18,106,103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14.25%*</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3,837,578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3,592,573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3,837,578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04/15/2015</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E</w:t>
            </w:r>
            <w:r>
              <w:rPr>
                <w:rFonts w:ascii="Arial" w:cs="Arial" w:eastAsia="Arial" w:hAnsi="Arial"/>
                <w:sz w:val="14"/>
                <w:szCs w:val="14"/>
                <w:color w:val="auto"/>
                <w:w w:val="94"/>
              </w:rPr>
              <w:t>STATE</w:t>
            </w:r>
          </w:p>
        </w:tc>
        <w:tc>
          <w:tcPr>
            <w:tcW w:w="9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54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7"/>
              </w:rPr>
              <w:t>28,000,000</w:t>
            </w:r>
          </w:p>
        </w:tc>
        <w:tc>
          <w:tcPr>
            <w:tcW w:w="10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26,117,780</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21,140,000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20" w:type="dxa"/>
            <w:vAlign w:val="bottom"/>
            <w:vMerge w:val="continue"/>
            <w:shd w:val="clear" w:color="auto" w:fill="CCEEFF"/>
          </w:tcPr>
          <w:p>
            <w:pPr>
              <w:spacing w:after="0"/>
              <w:rPr>
                <w:sz w:val="10"/>
                <w:szCs w:val="10"/>
                <w:color w:val="auto"/>
              </w:rPr>
            </w:pPr>
          </w:p>
        </w:tc>
        <w:tc>
          <w:tcPr>
            <w:tcW w:w="920" w:type="dxa"/>
            <w:vAlign w:val="bottom"/>
            <w:gridSpan w:val="3"/>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1000" w:type="dxa"/>
            <w:vAlign w:val="bottom"/>
            <w:gridSpan w:val="3"/>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98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64,918,268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62,397,146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57,318,268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25.0%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11.11%</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L+575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8,750,000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8,750,000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11/04/2014</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L+650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9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05/15/2015</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13.31%</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L+775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10,000,000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9,932,321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6,800,000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05/15/2017</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16,198,167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8"/>
              </w:rPr>
              <w:t>12/15/2014</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9"/>
              </w:rPr>
              <w:t>&amp; R</w:t>
            </w:r>
            <w:r>
              <w:rPr>
                <w:rFonts w:ascii="Arial" w:cs="Arial" w:eastAsia="Arial" w:hAnsi="Arial"/>
                <w:sz w:val="14"/>
                <w:szCs w:val="14"/>
                <w:color w:val="auto"/>
                <w:w w:val="99"/>
              </w:rPr>
              <w:t>UBBER</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12.13%</w:t>
            </w: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0"/>
              </w:rPr>
              <w:t>L+700</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17,500,000</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17,493,750</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17,237,500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06/15/2015</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L+600</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12,886,250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12,431,250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Second Lien Secured Debt</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98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78,250,000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75,260,488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67,748,750</w:t>
            </w:r>
          </w:p>
        </w:tc>
        <w:tc>
          <w:tcPr>
            <w:tcW w:w="0" w:type="dxa"/>
            <w:vAlign w:val="bottom"/>
          </w:tcPr>
          <w:p>
            <w:pPr>
              <w:spacing w:after="0"/>
              <w:rPr>
                <w:sz w:val="1"/>
                <w:szCs w:val="1"/>
                <w:color w:val="auto"/>
              </w:rPr>
            </w:pPr>
          </w:p>
        </w:tc>
      </w:tr>
      <w:tr>
        <w:trPr>
          <w:trHeight w:val="427"/>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line="217" w:lineRule="exact"/>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2.6%</w:t>
            </w:r>
          </w:p>
        </w:tc>
        <w:tc>
          <w:tcPr>
            <w:tcW w:w="3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37,500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3,750,000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Equity/Partnership Interest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6,750,000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74" w:right="2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First Lien Secured Debt – 58.8%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33"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L.L.C.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-215900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Above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68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04/03/2015</w:t>
            </w:r>
          </w:p>
        </w:tc>
        <w:tc>
          <w:tcPr>
            <w:tcW w:w="200" w:type="dxa"/>
            <w:vAlign w:val="bottom"/>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7.34%</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2"/>
              </w:rPr>
              <w:t>$ 7,462,500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$ 7,462,500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$ 7,274,602</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88"/>
              </w:rPr>
              <w:t>05/28/2013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7.76%</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7,896,473</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7,887,537</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7,571,975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03/06/2014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7.13%</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15,000,000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14,992,740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14,468,310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8"/>
              </w:rPr>
              <w:t>01/31/2013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 E</w:t>
            </w:r>
            <w:r>
              <w:rPr>
                <w:rFonts w:ascii="Arial" w:cs="Arial" w:eastAsia="Arial" w:hAnsi="Arial"/>
                <w:sz w:val="14"/>
                <w:szCs w:val="14"/>
                <w:color w:val="auto"/>
                <w:w w:val="99"/>
              </w:rPr>
              <w:t>DUCATION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&amp; C</w:t>
            </w:r>
            <w:r>
              <w:rPr>
                <w:rFonts w:ascii="Arial" w:cs="Arial" w:eastAsia="Arial" w:hAnsi="Arial"/>
                <w:sz w:val="14"/>
                <w:szCs w:val="14"/>
                <w:color w:val="auto"/>
              </w:rPr>
              <w:t>HILDCARE</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8.04%</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L+250</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2,985,000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2,985,000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7.53%</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1,887,183</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08/28/2014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7.47%</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6,405,000</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09/16/2013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6,483,750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6,487,788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6,147,405</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12/19/2013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8.70%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L+350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6,947,500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6,947,500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6,079,062</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7,845,003</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03/28/2014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7.21%</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1,990,780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1,990,780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1,930,226</w:t>
            </w:r>
          </w:p>
        </w:tc>
        <w:tc>
          <w:tcPr>
            <w:tcW w:w="0" w:type="dxa"/>
            <w:vAlign w:val="bottom"/>
          </w:tcPr>
          <w:p>
            <w:pPr>
              <w:spacing w:after="0"/>
              <w:rPr>
                <w:sz w:val="1"/>
                <w:szCs w:val="1"/>
                <w:color w:val="auto"/>
              </w:rPr>
            </w:pPr>
          </w:p>
        </w:tc>
      </w:tr>
      <w:tr>
        <w:trPr>
          <w:trHeight w:val="31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8"/>
              </w:rPr>
              <w:t>02/28/2014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 E</w:t>
            </w:r>
            <w:r>
              <w:rPr>
                <w:rFonts w:ascii="Arial" w:cs="Arial" w:eastAsia="Arial" w:hAnsi="Arial"/>
                <w:sz w:val="14"/>
                <w:szCs w:val="14"/>
                <w:color w:val="auto"/>
                <w:w w:val="99"/>
              </w:rPr>
              <w:t>DUCATION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&amp; C</w:t>
            </w:r>
            <w:r>
              <w:rPr>
                <w:rFonts w:ascii="Arial" w:cs="Arial" w:eastAsia="Arial" w:hAnsi="Arial"/>
                <w:sz w:val="14"/>
                <w:szCs w:val="14"/>
                <w:color w:val="auto"/>
              </w:rPr>
              <w:t>HILDCARE</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6.95%</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L+175</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9,950,000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9,950,000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9,441,615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04/15/2014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8.06%</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4,625,000</w:t>
            </w:r>
          </w:p>
        </w:tc>
        <w:tc>
          <w:tcPr>
            <w:tcW w:w="0" w:type="dxa"/>
            <w:vAlign w:val="bottom"/>
          </w:tcPr>
          <w:p>
            <w:pPr>
              <w:spacing w:after="0"/>
              <w:rPr>
                <w:sz w:val="1"/>
                <w:szCs w:val="1"/>
                <w:color w:val="auto"/>
              </w:rPr>
            </w:pPr>
          </w:p>
        </w:tc>
      </w:tr>
      <w:tr>
        <w:trPr>
          <w:trHeight w:val="318"/>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8"/>
              </w:rPr>
              <w:t>02/07/2014</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9,963,514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9,963,514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8,947,235</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03/13/2014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1,939,642</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7.58%</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4,842,920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4,842,920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3,357,757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-4320540</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-3771265</wp:posOffset>
            </wp:positionV>
            <wp:extent cx="7246620" cy="274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-3085465</wp:posOffset>
            </wp:positionV>
            <wp:extent cx="7246620" cy="274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-2536825</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-2124710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-1713230</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-1164590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-340995</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400"/>
            <w:col w:w="788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274" w:right="239" w:bottom="144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First Lien Secured Debt - (Continued)</w:t>
      </w:r>
    </w:p>
    <w:p>
      <w:pPr>
        <w:spacing w:after="0" w:line="99" w:lineRule="exact"/>
        <w:rPr>
          <w:sz w:val="20"/>
          <w:szCs w:val="20"/>
          <w:color w:val="auto"/>
        </w:rPr>
      </w:pPr>
    </w:p>
    <w:p>
      <w:pPr>
        <w:ind w:right="980"/>
        <w:spacing w:after="0" w:line="327" w:lineRule="auto"/>
        <w:rPr>
          <w:sz w:val="20"/>
          <w:szCs w:val="20"/>
          <w:color w:val="auto"/>
        </w:rPr>
      </w:pPr>
      <w:r>
        <w:rPr>
          <w:rFonts w:ascii="Arial" w:cs="Arial" w:eastAsia="Arial" w:hAnsi="Arial"/>
          <w:sz w:val="17"/>
          <w:szCs w:val="17"/>
          <w:color w:val="auto"/>
        </w:rPr>
        <w:t>L</w:t>
      </w:r>
      <w:r>
        <w:rPr>
          <w:rFonts w:ascii="Arial" w:cs="Arial" w:eastAsia="Arial" w:hAnsi="Arial"/>
          <w:sz w:val="13"/>
          <w:szCs w:val="13"/>
          <w:color w:val="auto"/>
        </w:rPr>
        <w:t>ONGVIEW</w:t>
      </w:r>
      <w:r>
        <w:rPr>
          <w:rFonts w:ascii="Arial" w:cs="Arial" w:eastAsia="Arial" w:hAnsi="Arial"/>
          <w:sz w:val="17"/>
          <w:szCs w:val="17"/>
          <w:color w:val="auto"/>
        </w:rPr>
        <w:t xml:space="preserve"> P</w:t>
      </w:r>
      <w:r>
        <w:rPr>
          <w:rFonts w:ascii="Arial" w:cs="Arial" w:eastAsia="Arial" w:hAnsi="Arial"/>
          <w:sz w:val="13"/>
          <w:szCs w:val="13"/>
          <w:color w:val="auto"/>
        </w:rPr>
        <w:t>OWER</w:t>
      </w:r>
      <w:r>
        <w:rPr>
          <w:rFonts w:ascii="Arial" w:cs="Arial" w:eastAsia="Arial" w:hAnsi="Arial"/>
          <w:sz w:val="17"/>
          <w:szCs w:val="17"/>
          <w:color w:val="auto"/>
        </w:rPr>
        <w:t>, L.L.C. L</w:t>
      </w:r>
      <w:r>
        <w:rPr>
          <w:rFonts w:ascii="Arial" w:cs="Arial" w:eastAsia="Arial" w:hAnsi="Arial"/>
          <w:sz w:val="13"/>
          <w:szCs w:val="13"/>
          <w:color w:val="auto"/>
        </w:rPr>
        <w:t>ONGVIEW</w:t>
      </w:r>
      <w:r>
        <w:rPr>
          <w:rFonts w:ascii="Arial" w:cs="Arial" w:eastAsia="Arial" w:hAnsi="Arial"/>
          <w:sz w:val="17"/>
          <w:szCs w:val="17"/>
          <w:color w:val="auto"/>
        </w:rPr>
        <w:t xml:space="preserve"> P</w:t>
      </w:r>
      <w:r>
        <w:rPr>
          <w:rFonts w:ascii="Arial" w:cs="Arial" w:eastAsia="Arial" w:hAnsi="Arial"/>
          <w:sz w:val="13"/>
          <w:szCs w:val="13"/>
          <w:color w:val="auto"/>
        </w:rPr>
        <w:t>OWER</w:t>
      </w:r>
      <w:r>
        <w:rPr>
          <w:rFonts w:ascii="Arial" w:cs="Arial" w:eastAsia="Arial" w:hAnsi="Arial"/>
          <w:sz w:val="17"/>
          <w:szCs w:val="17"/>
          <w:color w:val="auto"/>
        </w:rPr>
        <w:t>, L.L.C.</w:t>
      </w:r>
      <w:r>
        <w:rPr>
          <w:rFonts w:ascii="Arial" w:cs="Arial" w:eastAsia="Arial" w:hAnsi="Arial"/>
          <w:sz w:val="21"/>
          <w:szCs w:val="21"/>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J</w:t>
      </w:r>
      <w:r>
        <w:rPr>
          <w:rFonts w:ascii="Arial" w:cs="Arial" w:eastAsia="Arial" w:hAnsi="Arial"/>
          <w:sz w:val="14"/>
          <w:szCs w:val="14"/>
          <w:color w:val="auto"/>
        </w:rPr>
        <w:t>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6"/>
          <w:szCs w:val="16"/>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-201295</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4"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5"/>
                <w:szCs w:val="15"/>
                <w:color w:val="auto"/>
              </w:rPr>
            </w:pPr>
          </w:p>
        </w:tc>
        <w:tc>
          <w:tcPr>
            <w:tcW w:w="19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Coupon</w:t>
            </w:r>
          </w:p>
        </w:tc>
        <w:tc>
          <w:tcPr>
            <w:tcW w:w="2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0</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9"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02/28/2014</w:t>
            </w: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$ 2,020,000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$ 2,020,000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$ 1,939,200</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02/28/2014</w:t>
            </w: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980,000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940,800</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02/22/2014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3,972,813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3,971,545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3,845,683</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01/18/2014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3,990,000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3,990,000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3,740,625</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01/31/2014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720" w:type="dxa"/>
            <w:vAlign w:val="bottom"/>
          </w:tcPr>
          <w:p>
            <w:pPr>
              <w:jc w:val="right"/>
              <w:spacing w:after="0"/>
              <w:rPr>
                <w:sz w:val="20"/>
                <w:szCs w:val="20"/>
                <w:color w:val="auto"/>
              </w:rPr>
            </w:pPr>
            <w:r>
              <w:rPr>
                <w:rFonts w:ascii="Arial" w:cs="Arial" w:eastAsia="Arial" w:hAnsi="Arial"/>
                <w:sz w:val="18"/>
                <w:szCs w:val="18"/>
                <w:color w:val="auto"/>
              </w:rPr>
              <w:t>7.45%</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982,525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982,525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965,331</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03/28/2014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3,980,000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3,980,000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3,835,725</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08/31/2011</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7.43%</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6,965,000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6,971,653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6,668,988</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02/01/2013</w:t>
            </w:r>
          </w:p>
        </w:tc>
        <w:tc>
          <w:tcPr>
            <w:tcW w:w="2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720" w:type="dxa"/>
            <w:vAlign w:val="bottom"/>
          </w:tcPr>
          <w:p>
            <w:pPr>
              <w:jc w:val="right"/>
              <w:spacing w:after="0"/>
              <w:rPr>
                <w:sz w:val="20"/>
                <w:szCs w:val="20"/>
                <w:color w:val="auto"/>
              </w:rPr>
            </w:pPr>
            <w:r>
              <w:rPr>
                <w:rFonts w:ascii="Arial" w:cs="Arial" w:eastAsia="Arial" w:hAnsi="Arial"/>
                <w:sz w:val="18"/>
                <w:szCs w:val="18"/>
                <w:color w:val="auto"/>
              </w:rPr>
              <w:t>7.59%</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4,975,000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4,975,000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4,716,922</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03/16/2014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7.36%</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1,493,333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1,493,333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1,344,000</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02/09/2014</w:t>
            </w:r>
          </w:p>
        </w:tc>
        <w:tc>
          <w:tcPr>
            <w:tcW w:w="20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955,833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955,833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936,716</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05/04/2014</w:t>
            </w:r>
          </w:p>
        </w:tc>
        <w:tc>
          <w:tcPr>
            <w:tcW w:w="2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720" w:type="dxa"/>
            <w:vAlign w:val="bottom"/>
          </w:tcPr>
          <w:p>
            <w:pPr>
              <w:jc w:val="right"/>
              <w:spacing w:after="0"/>
              <w:rPr>
                <w:sz w:val="20"/>
                <w:szCs w:val="20"/>
                <w:color w:val="auto"/>
              </w:rPr>
            </w:pPr>
            <w:r>
              <w:rPr>
                <w:rFonts w:ascii="Arial" w:cs="Arial" w:eastAsia="Arial" w:hAnsi="Arial"/>
                <w:sz w:val="18"/>
                <w:szCs w:val="18"/>
                <w:color w:val="auto"/>
              </w:rPr>
              <w:t>8.56%</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4,974,167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4,974,167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4,839,742</w:t>
            </w: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03/02/2014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7.43%</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995,006</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995,006</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940,281</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07/19/2013</w:t>
            </w:r>
          </w:p>
        </w:tc>
        <w:tc>
          <w:tcPr>
            <w:tcW w:w="2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7.64%</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4,937,500</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4,937,500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4,835,664</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01/30/2014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2,867,302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2,867,302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2,680,927</w:t>
            </w: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09/29/2014</w:t>
            </w:r>
          </w:p>
        </w:tc>
        <w:tc>
          <w:tcPr>
            <w:tcW w:w="20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14,093,960</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14,093,960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13,389,262</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09/29/2014</w:t>
            </w:r>
          </w:p>
        </w:tc>
        <w:tc>
          <w:tcPr>
            <w:tcW w:w="20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72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906,040</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906,040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860,738</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03/02/2014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L+175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7,061,899</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7,061,899</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6,549,911</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03/02/2014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72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2,103,908</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2,103,908</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1,951,375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05/30/2014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720" w:type="dxa"/>
            <w:vAlign w:val="bottom"/>
          </w:tcPr>
          <w:p>
            <w:pPr>
              <w:jc w:val="right"/>
              <w:spacing w:after="0"/>
              <w:rPr>
                <w:sz w:val="20"/>
                <w:szCs w:val="20"/>
                <w:color w:val="auto"/>
              </w:rPr>
            </w:pPr>
            <w:r>
              <w:rPr>
                <w:rFonts w:ascii="Arial" w:cs="Arial" w:eastAsia="Arial" w:hAnsi="Arial"/>
                <w:sz w:val="18"/>
                <w:szCs w:val="18"/>
                <w:color w:val="auto"/>
              </w:rPr>
              <w:t>6.88%</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L+175</w:t>
            </w: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3,714,286</w:t>
            </w: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3,714,286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3,640,000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-5342255</wp:posOffset>
            </wp:positionV>
            <wp:extent cx="72466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-4965065</wp:posOffset>
            </wp:positionV>
            <wp:extent cx="7246620" cy="694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6946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-4029710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-3094990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-2717800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-2340610</wp:posOffset>
            </wp:positionV>
            <wp:extent cx="7246620" cy="283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-1671955</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-1148715</wp:posOffset>
            </wp:positionV>
            <wp:extent cx="7246620" cy="283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-479425</wp:posOffset>
            </wp:positionV>
            <wp:extent cx="7246620" cy="283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74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740"/>
        <w:spacing w:after="0"/>
        <w:rPr>
          <w:sz w:val="20"/>
          <w:szCs w:val="20"/>
          <w:color w:val="auto"/>
        </w:rPr>
      </w:pPr>
      <w:r>
        <w:rPr>
          <w:rFonts w:ascii="Arial" w:cs="Arial" w:eastAsia="Arial" w:hAnsi="Arial"/>
          <w:sz w:val="18"/>
          <w:szCs w:val="18"/>
          <w:color w:val="auto"/>
        </w:rPr>
        <w:t>F-32</w:t>
      </w:r>
    </w:p>
    <w:p>
      <w:pPr>
        <w:sectPr>
          <w:pgSz w:w="11900" w:h="16838" w:orient="portrait"/>
          <w:cols w:equalWidth="0" w:num="2">
            <w:col w:w="3040" w:space="720"/>
            <w:col w:w="7660"/>
          </w:cols>
          <w:pgMar w:left="240" w:top="274"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0"/>
              </w:rPr>
              <w:t>Basis</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Point</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Spread</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Above</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420" w:type="dxa"/>
            <w:vAlign w:val="bottom"/>
            <w:gridSpan w:val="4"/>
            <w:vMerge w:val="continue"/>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Maturity</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4"/>
              </w:rPr>
              <w:t>Industry</w:t>
            </w:r>
          </w:p>
        </w:tc>
        <w:tc>
          <w:tcPr>
            <w:tcW w:w="3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3"/>
          </w:tcPr>
          <w:p>
            <w:pPr>
              <w:jc w:val="center"/>
              <w:ind w:right="4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Par</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170,481,009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170,474,236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158,929,905</w:t>
            </w:r>
          </w:p>
        </w:tc>
        <w:tc>
          <w:tcPr>
            <w:tcW w:w="0" w:type="dxa"/>
            <w:vAlign w:val="bottom"/>
          </w:tcPr>
          <w:p>
            <w:pPr>
              <w:spacing w:after="0"/>
              <w:rPr>
                <w:sz w:val="1"/>
                <w:szCs w:val="1"/>
                <w:color w:val="auto"/>
              </w:rPr>
            </w:pPr>
          </w:p>
        </w:tc>
      </w:tr>
      <w:tr>
        <w:trPr>
          <w:trHeight w:val="222"/>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107.6%</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314,881,870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291,016,608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95.4%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12/27/2007</w:t>
            </w:r>
          </w:p>
        </w:tc>
        <w:tc>
          <w:tcPr>
            <w:tcW w:w="560" w:type="dxa"/>
            <w:vAlign w:val="bottom"/>
          </w:tcPr>
          <w:p>
            <w:pPr>
              <w:spacing w:after="0"/>
              <w:rPr>
                <w:sz w:val="19"/>
                <w:szCs w:val="19"/>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3.64%</w:t>
            </w: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255,000,000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252,759,931</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252,703,215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Total Cash Equivalents</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260,256,420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258,016,351</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257,959,635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Total Investments and Cash Equivalents</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 203.03%</w:t>
            </w: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572,898,221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548,976,243</w:t>
            </w:r>
          </w:p>
        </w:tc>
        <w:tc>
          <w:tcPr>
            <w:tcW w:w="0" w:type="dxa"/>
            <w:vAlign w:val="bottom"/>
          </w:tcPr>
          <w:p>
            <w:pPr>
              <w:spacing w:after="0"/>
              <w:rPr>
                <w:sz w:val="1"/>
                <w:szCs w:val="1"/>
                <w:color w:val="auto"/>
              </w:rPr>
            </w:pPr>
          </w:p>
        </w:tc>
      </w:tr>
      <w:tr>
        <w:trPr>
          <w:trHeight w:val="20"/>
        </w:trPr>
        <w:tc>
          <w:tcPr>
            <w:tcW w:w="3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in Excess of Other Assets –</w:t>
            </w: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gridSpan w:val="3"/>
          </w:tcPr>
          <w:p>
            <w:pPr>
              <w:ind w:left="220"/>
              <w:spacing w:after="0"/>
              <w:rPr>
                <w:sz w:val="20"/>
                <w:szCs w:val="20"/>
                <w:color w:val="auto"/>
              </w:rPr>
            </w:pPr>
            <w:r>
              <w:rPr>
                <w:rFonts w:ascii="Arial" w:cs="Arial" w:eastAsia="Arial" w:hAnsi="Arial"/>
                <w:sz w:val="18"/>
                <w:szCs w:val="18"/>
                <w:b w:val="1"/>
                <w:bCs w:val="1"/>
                <w:color w:val="auto"/>
              </w:rPr>
              <w:t>(103.0%)</w:t>
            </w:r>
          </w:p>
        </w:tc>
        <w:tc>
          <w:tcPr>
            <w:tcW w:w="2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(278,583,149)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270,393,094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76"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37" w:lineRule="exact"/>
        <w:rPr>
          <w:sz w:val="20"/>
          <w:szCs w:val="20"/>
          <w:color w:val="auto"/>
        </w:rPr>
      </w:pPr>
    </w:p>
    <w:p>
      <w:pPr>
        <w:ind w:right="7240" w:firstLine="8"/>
        <w:spacing w:after="0" w:line="346" w:lineRule="auto"/>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Coupon payable in cash or payment-in-kind (“PIK”). ** Non-income producing.</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firstLine="443"/>
        <w:spacing w:after="0" w:line="287"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74" w:right="239" w:bottom="1440" w:gutter="0" w:footer="0" w:header="0"/>
        </w:sectPr>
      </w:pPr>
    </w:p>
    <w:bookmarkStart w:id="151" w:name="page152"/>
    <w:bookmarkEnd w:id="151"/>
    <w:p>
      <w:pPr>
        <w:ind w:left="46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With respect to investments for which market quotations are not readily available or are readily available but are believed to be inaccurate, our board of directors undertakes a multi-step valuation process each quarter, as described below:</w:t>
      </w:r>
    </w:p>
    <w:p>
      <w:pPr>
        <w:spacing w:after="0" w:line="39" w:lineRule="exact"/>
        <w:rPr>
          <w:sz w:val="20"/>
          <w:szCs w:val="20"/>
          <w:color w:val="auto"/>
        </w:rPr>
      </w:pPr>
    </w:p>
    <w:p>
      <w:pPr>
        <w:ind w:left="920" w:firstLine="421"/>
        <w:spacing w:after="0" w:line="268" w:lineRule="auto"/>
        <w:tabs>
          <w:tab w:leader="none" w:pos="15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20" w:right="360" w:firstLine="421"/>
        <w:spacing w:after="0" w:line="256" w:lineRule="auto"/>
        <w:tabs>
          <w:tab w:leader="none" w:pos="15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20" w:right="280" w:firstLine="421"/>
        <w:spacing w:after="0" w:line="332" w:lineRule="auto"/>
        <w:tabs>
          <w:tab w:leader="none" w:pos="1588"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20" w:right="180" w:firstLine="421"/>
        <w:spacing w:after="0" w:line="268" w:lineRule="auto"/>
        <w:tabs>
          <w:tab w:leader="none" w:pos="15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Investments purchased within 60 days of maturity are valued at cost plus accreted discount, or minus amortized premium, which approximates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value.</w:t>
      </w:r>
    </w:p>
    <w:p>
      <w:pPr>
        <w:spacing w:after="0" w:line="84" w:lineRule="exact"/>
        <w:rPr>
          <w:sz w:val="20"/>
          <w:szCs w:val="20"/>
          <w:color w:val="auto"/>
        </w:rPr>
      </w:pPr>
    </w:p>
    <w:p>
      <w:pPr>
        <w:ind w:left="460" w:right="20" w:firstLine="443"/>
        <w:spacing w:after="0" w:line="323" w:lineRule="auto"/>
        <w:tabs>
          <w:tab w:leader="none" w:pos="1137" w:val="left"/>
        </w:tabs>
        <w:numPr>
          <w:ilvl w:val="0"/>
          <w:numId w:val="95"/>
        </w:numPr>
        <w:rPr>
          <w:rFonts w:ascii="Arial" w:cs="Arial" w:eastAsia="Arial" w:hAnsi="Arial"/>
          <w:sz w:val="15"/>
          <w:szCs w:val="15"/>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6" w:lineRule="exact"/>
        <w:rPr>
          <w:rFonts w:ascii="Arial" w:cs="Arial" w:eastAsia="Arial" w:hAnsi="Arial"/>
          <w:sz w:val="15"/>
          <w:szCs w:val="15"/>
          <w:color w:val="auto"/>
        </w:rPr>
      </w:pPr>
    </w:p>
    <w:p>
      <w:pPr>
        <w:ind w:left="460" w:firstLine="443"/>
        <w:spacing w:after="0" w:line="291"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279" w:right="279" w:bottom="1440" w:gutter="0" w:footer="0" w:header="0"/>
        </w:sectPr>
      </w:pPr>
    </w:p>
    <w:bookmarkStart w:id="152" w:name="page153"/>
    <w:bookmarkEnd w:id="152"/>
    <w:p>
      <w:pPr>
        <w:ind w:left="460" w:right="80" w:firstLine="443"/>
        <w:spacing w:after="0" w:line="288" w:lineRule="auto"/>
        <w:tabs>
          <w:tab w:leader="none" w:pos="1137"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w:t>
      </w:r>
    </w:p>
    <w:p>
      <w:pPr>
        <w:spacing w:after="0" w:line="38" w:lineRule="exact"/>
        <w:rPr>
          <w:rFonts w:ascii="Arial" w:cs="Arial" w:eastAsia="Arial" w:hAnsi="Arial"/>
          <w:sz w:val="16"/>
          <w:szCs w:val="16"/>
          <w:color w:val="auto"/>
        </w:rPr>
      </w:pPr>
    </w:p>
    <w:p>
      <w:pPr>
        <w:ind w:left="460" w:right="80" w:firstLine="443"/>
        <w:spacing w:after="0" w:line="259" w:lineRule="auto"/>
        <w:tabs>
          <w:tab w:leader="none" w:pos="11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460" w:right="20" w:firstLine="443"/>
        <w:spacing w:after="0" w:line="291"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SFAS 157 against its valuation policies to determine its future applicability.</w:t>
      </w:r>
    </w:p>
    <w:p>
      <w:pPr>
        <w:spacing w:after="0" w:line="39" w:lineRule="exact"/>
        <w:rPr>
          <w:rFonts w:ascii="Arial" w:cs="Arial" w:eastAsia="Arial" w:hAnsi="Arial"/>
          <w:sz w:val="16"/>
          <w:szCs w:val="16"/>
          <w:color w:val="auto"/>
        </w:rPr>
      </w:pPr>
    </w:p>
    <w:p>
      <w:pPr>
        <w:ind w:left="460" w:right="40" w:firstLine="443"/>
        <w:spacing w:after="0" w:line="254"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At this time, PennantPark Investment is in the process of reviewing SFAS 159 against its valuation policies to determine its future applicability.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LLC.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will equal 2.00% after March 31, 2008 and is payable quarterly in arrears. The base management fee is calculated based on the average value of adjusted gross assets at</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80" w:right="239" w:bottom="1440" w:gutter="0" w:footer="0" w:header="0"/>
        </w:sectPr>
      </w:pPr>
    </w:p>
    <w:bookmarkStart w:id="153" w:name="page154"/>
    <w:bookmarkEnd w:id="153"/>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end of the two most recently completed calendar quarters, and appropriately adjusted for any share issuances or repurchases during the current calendar quarter. For the three and six months ended March 31, 2008, the Investment Adviser received a net base management fee of $1.5 million and $2.9 million, respectively, from the Company. For the period January 11, 2007 (inception) to March 31, 2007, the Investment Adviser did not receive a base management fee from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left="460" w:right="60" w:firstLine="443"/>
        <w:spacing w:after="0" w:line="294"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left="460" w:right="20" w:firstLine="438"/>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six months ended March 31, 2008, the Adviser received an incentive fee of $1.0 million and $1.4 million, respectively, from the Company. For the period January 11, 2007 (inception) to March 31, 2007, the Investment Adviser did not receive an Incentive Fee from the Company.</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280" w:right="239" w:bottom="1440" w:gutter="0" w:footer="0" w:header="0"/>
        </w:sectPr>
      </w:pPr>
    </w:p>
    <w:bookmarkStart w:id="154" w:name="page155"/>
    <w:bookmarkEnd w:id="15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and six months ended March 31, 2008, the Investment Adviser was reimbursed $0.5 million and $1.1 million, respectively, from the Company, including expenses it incurred on behalf of the Administrator, for services described above. For the period January 11, 2007 (inception) to March 31, 2007, the Investment Adviser was not reimbursed from the Company for services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1040" w:firstLine="456"/>
        <w:spacing w:after="0" w:line="332" w:lineRule="auto"/>
        <w:rPr>
          <w:sz w:val="20"/>
          <w:szCs w:val="20"/>
          <w:color w:val="auto"/>
        </w:rPr>
      </w:pPr>
      <w:r>
        <w:rPr>
          <w:rFonts w:ascii="Arial" w:cs="Arial" w:eastAsia="Arial" w:hAnsi="Arial"/>
          <w:sz w:val="16"/>
          <w:szCs w:val="16"/>
          <w:color w:val="auto"/>
        </w:rPr>
        <w:t>On March 31, 2008, PennantPark Investment’s total net assets and net asset value per share were $216.3 million and $10.26, respectively. On September 30, 2007, PennantPark Investment’s total net assets and net assets value per share were $270.4 million and $12.83,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3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0"/>
              </w:rPr>
              <w:t>March 31, 2008</w:t>
            </w:r>
          </w:p>
        </w:tc>
        <w:tc>
          <w:tcPr>
            <w:tcW w:w="1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March 31, 2007</w:t>
            </w:r>
          </w:p>
        </w:tc>
        <w:tc>
          <w:tcPr>
            <w:tcW w:w="32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March 31,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Numerator for net decrease in net assets per share resulting from operations:</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(33,328,673)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(233,546)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(44,865,329)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21,068,772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Basic and diluted net decrease in net assets per share resulting from operations:</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Purchases and sales/repayments of long-term investments for the three months ended March 31, 2008 totaled $31.5 million and $0.9 million, respectively. In addition, for the six months ended March 31, 2008 purchase and sales/repayments of long-term investments totaled $102.5 million and $5.2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700"/>
              <w:spacing w:after="0"/>
              <w:rPr>
                <w:sz w:val="20"/>
                <w:szCs w:val="20"/>
                <w:color w:val="auto"/>
              </w:rPr>
            </w:pPr>
            <w:r>
              <w:rPr>
                <w:rFonts w:ascii="Arial" w:cs="Arial" w:eastAsia="Arial" w:hAnsi="Arial"/>
                <w:sz w:val="14"/>
                <w:szCs w:val="14"/>
                <w:b w:val="1"/>
                <w:bCs w:val="1"/>
                <w:color w:val="auto"/>
              </w:rPr>
              <w:t>March 31, 2008</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81,249,903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81,249,903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258,016,351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First lien</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165,050,041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134,126,292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127,098,402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100,620,750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111,434,124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92,575,042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Common equity</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9,266,000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7,777,797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494,882,470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417,133,784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F-38</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cost represents the 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March 31, 2008 and September 30,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2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8"/>
              </w:rPr>
              <w:t>March 31, 2008</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6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&amp; Rubber</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/Utilities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Media</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We may accomplish this in several ways, including purchasing U.S. Treasury Bills and closing out its positions on a net cash basis after quarter-end, temporarily drawing down on our Revolving Credit Facility, or utilizing repurchase agreements or other balance sheet transactions as we deem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280" w:right="239" w:bottom="1440" w:gutter="0" w:footer="0" w:header="0"/>
        </w:sectPr>
      </w:pPr>
    </w:p>
    <w:bookmarkStart w:id="156" w:name="page157"/>
    <w:bookmarkEnd w:id="156"/>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March 31, 2008 or September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from 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Six months ended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2007 (inception)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March 31, 2008</w:t>
            </w: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7"/>
              </w:rPr>
              <w:t>September 30, 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100" w:type="dxa"/>
            <w:vAlign w:val="bottom"/>
            <w:gridSpan w:val="2"/>
          </w:tcPr>
          <w:p>
            <w:pPr>
              <w:jc w:val="right"/>
              <w:ind w:right="118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8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spacing w:after="0"/>
              <w:rPr>
                <w:sz w:val="24"/>
                <w:szCs w:val="24"/>
                <w:color w:val="auto"/>
              </w:rPr>
            </w:pPr>
          </w:p>
        </w:tc>
        <w:tc>
          <w:tcPr>
            <w:tcW w:w="2100" w:type="dxa"/>
            <w:vAlign w:val="bottom"/>
            <w:gridSpan w:val="2"/>
          </w:tcPr>
          <w:p>
            <w:pPr>
              <w:jc w:val="right"/>
              <w:ind w:right="112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120" w:type="dxa"/>
            <w:vAlign w:val="bottom"/>
          </w:tcPr>
          <w:p>
            <w:pPr>
              <w:spacing w:after="0"/>
              <w:rPr>
                <w:sz w:val="18"/>
                <w:szCs w:val="18"/>
                <w:color w:val="auto"/>
              </w:rPr>
            </w:pPr>
          </w:p>
        </w:tc>
        <w:tc>
          <w:tcPr>
            <w:tcW w:w="210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8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118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20" w:type="dxa"/>
            <w:vAlign w:val="bottom"/>
          </w:tcPr>
          <w:p>
            <w:pPr>
              <w:spacing w:after="0"/>
              <w:rPr>
                <w:sz w:val="24"/>
                <w:szCs w:val="24"/>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4"/>
                <w:szCs w:val="2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w w:val="99"/>
              </w:rPr>
              <w:t>21,068,772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Ratio/Supplemental Data:</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line="218" w:lineRule="exact"/>
              <w:rPr>
                <w:sz w:val="20"/>
                <w:szCs w:val="20"/>
                <w:color w:val="auto"/>
              </w:rPr>
            </w:pPr>
            <w:r>
              <w:rPr>
                <w:rFonts w:ascii="Arial" w:cs="Arial" w:eastAsia="Arial" w:hAnsi="Arial"/>
                <w:sz w:val="18"/>
                <w:szCs w:val="18"/>
                <w:color w:val="auto"/>
              </w:rPr>
              <w:t>3.76%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22"/>
                <w:szCs w:val="22"/>
                <w:color w:val="auto"/>
                <w:vertAlign w:val="superscript"/>
              </w:rPr>
              <w:t>**</w:t>
            </w:r>
          </w:p>
        </w:tc>
        <w:tc>
          <w:tcPr>
            <w:tcW w:w="12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1.50%</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5.26%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0"/>
        </w:trPr>
        <w:tc>
          <w:tcPr>
            <w:tcW w:w="7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480" w:type="dxa"/>
            <w:vAlign w:val="bottom"/>
            <w:gridSpan w:val="2"/>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2"/>
                <w:szCs w:val="22"/>
                <w:color w:val="auto"/>
                <w:vertAlign w:val="superscript"/>
              </w:rPr>
              <w:t>**</w:t>
            </w:r>
          </w:p>
        </w:tc>
        <w:tc>
          <w:tcPr>
            <w:tcW w:w="12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5.96%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w w:val="89"/>
              </w:rPr>
              <w:t>216,257,505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1180"/>
              <w:spacing w:after="0"/>
              <w:rPr>
                <w:sz w:val="20"/>
                <w:szCs w:val="20"/>
                <w:color w:val="auto"/>
              </w:rPr>
            </w:pPr>
            <w:r>
              <w:rPr>
                <w:rFonts w:ascii="Arial" w:cs="Arial" w:eastAsia="Arial" w:hAnsi="Arial"/>
                <w:sz w:val="18"/>
                <w:szCs w:val="18"/>
                <w:color w:val="auto"/>
                <w:w w:val="99"/>
              </w:rPr>
              <w:t>80,568,306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Portfolio turnover ratio</w:t>
            </w:r>
            <w:r>
              <w:rPr>
                <w:rFonts w:ascii="Arial" w:cs="Arial" w:eastAsia="Arial" w:hAnsi="Arial"/>
                <w:sz w:val="22"/>
                <w:szCs w:val="22"/>
                <w:color w:val="auto"/>
                <w:vertAlign w:val="superscript"/>
              </w:rPr>
              <w:t>**</w:t>
            </w:r>
          </w:p>
        </w:tc>
        <w:tc>
          <w:tcPr>
            <w:tcW w:w="12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77" w:lineRule="exact"/>
        <w:rPr>
          <w:sz w:val="20"/>
          <w:szCs w:val="20"/>
          <w:color w:val="auto"/>
        </w:rPr>
      </w:pPr>
    </w:p>
    <w:p>
      <w:pPr>
        <w:ind w:left="460" w:right="12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37"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37"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six months ended March 31, 2008, the ratio of operating expenses before management fee waiver to average net assets was 5.76%, and the ratio of total expenses before management fee waiver to average net assets was 7.97%.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280"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 CREDIT FACILITY</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March 31, 2008, there was $194.5 million in outstanding borrowings under the Credit Agreement, with an average interest rate of 5.41%.</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274" w:right="27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ind w:left="1380" w:hanging="1372"/>
        <w:spacing w:after="0"/>
        <w:tabs>
          <w:tab w:leader="none" w:pos="13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rFonts w:ascii="Arial" w:cs="Arial" w:eastAsia="Arial" w:hAnsi="Arial"/>
          <w:sz w:val="18"/>
          <w:szCs w:val="18"/>
          <w:color w:val="auto"/>
        </w:rPr>
      </w:pPr>
    </w:p>
    <w:p>
      <w:pPr>
        <w:ind w:left="1380" w:hanging="1372"/>
        <w:spacing w:after="0"/>
        <w:tabs>
          <w:tab w:leader="none" w:pos="138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1 to the Registration Statement on Form N-2/A (File No. 333-140092), filed on March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274"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Independent Registered Public Accounting Firm.</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December 13, 2007).</w:t>
      </w:r>
    </w:p>
    <w:p>
      <w:pPr>
        <w:spacing w:after="0" w:line="118"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ind w:right="9780" w:firstLine="8"/>
        <w:spacing w:after="0" w:line="431"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274" w:right="259" w:bottom="1440" w:gutter="0" w:footer="0" w:header="0"/>
          <w:type w:val="continuous"/>
        </w:sectPr>
      </w:pPr>
    </w:p>
    <w:bookmarkStart w:id="159" w:name="page160"/>
    <w:bookmarkEnd w:id="15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NASDAQ listing fee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Printing (other than certificates)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May 21, 2008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9"/>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9"/>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274" w:right="239" w:bottom="1440" w:gutter="0" w:footer="0" w:header="0"/>
        </w:sectPr>
      </w:pPr>
    </w:p>
    <w:bookmarkStart w:id="160" w:name="page161"/>
    <w:bookmarkEnd w:id="160"/>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80" w:right="259" w:bottom="1440" w:gutter="0" w:footer="0" w:header="0"/>
        </w:sectPr>
      </w:pPr>
    </w:p>
    <w:bookmarkStart w:id="161" w:name="page162"/>
    <w:bookmarkEnd w:id="16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460" w:right="240" w:firstLine="421"/>
        <w:spacing w:after="0" w:line="268" w:lineRule="auto"/>
        <w:tabs>
          <w:tab w:leader="none" w:pos="10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460" w:right="280" w:firstLine="421"/>
        <w:spacing w:after="0" w:line="332" w:lineRule="auto"/>
        <w:tabs>
          <w:tab w:leader="none" w:pos="11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180" w:hanging="299"/>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860"/>
          </w:cols>
          <w:pgMar w:left="700" w:top="280"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1 to the Registration Statement to be signed on its behalf by the undersigned, thereunto duly authorized, in the City of New York, and State of New York, on the 30th day of May, 2008.</w:t>
      </w:r>
    </w:p>
    <w:p>
      <w:pPr>
        <w:spacing w:after="0" w:line="34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380" w:type="dxa"/>
            <w:vAlign w:val="bottom"/>
          </w:tcPr>
          <w:p>
            <w:pPr>
              <w:spacing w:after="0" w:line="131"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set forth below on the 30th day of May, 2008.</w:t>
      </w:r>
    </w:p>
    <w:p>
      <w:pPr>
        <w:spacing w:after="0" w:line="168"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420"/>
          </w:cols>
          <w:pgMar w:left="240" w:top="274" w:right="239" w:bottom="1440" w:gutter="0" w:footer="0" w:header="0"/>
        </w:sectPr>
      </w:pPr>
    </w:p>
    <w:p>
      <w:pPr>
        <w:spacing w:after="0" w:line="222" w:lineRule="exact"/>
        <w:rPr>
          <w:sz w:val="20"/>
          <w:szCs w:val="20"/>
          <w:color w:val="auto"/>
        </w:rPr>
      </w:pPr>
    </w:p>
    <w:p>
      <w:pPr>
        <w:ind w:left="1580"/>
        <w:spacing w:after="0"/>
        <w:tabs>
          <w:tab w:leader="none" w:pos="1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H. P</w:t>
      </w:r>
      <w:r>
        <w:rPr>
          <w:rFonts w:ascii="Arial" w:cs="Arial" w:eastAsia="Arial" w:hAnsi="Arial"/>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Arthur H. Penn</w:t>
      </w:r>
    </w:p>
    <w:p>
      <w:pPr>
        <w:spacing w:after="0" w:line="262" w:lineRule="exact"/>
        <w:rPr>
          <w:sz w:val="20"/>
          <w:szCs w:val="20"/>
          <w:color w:val="auto"/>
        </w:rPr>
      </w:pPr>
    </w:p>
    <w:p>
      <w:pPr>
        <w:ind w:left="1760"/>
        <w:spacing w:after="0"/>
        <w:tabs>
          <w:tab w:leader="none" w:pos="2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VIV</w:t>
      </w:r>
      <w:r>
        <w:rPr>
          <w:rFonts w:ascii="Arial" w:cs="Arial" w:eastAsia="Arial" w:hAnsi="Arial"/>
          <w:sz w:val="16"/>
          <w:szCs w:val="16"/>
          <w:color w:val="auto"/>
        </w:rPr>
        <w:t xml:space="preserve"> E</w:t>
      </w:r>
      <w:r>
        <w:rPr>
          <w:rFonts w:ascii="Arial" w:cs="Arial" w:eastAsia="Arial" w:hAnsi="Arial"/>
          <w:sz w:val="13"/>
          <w:szCs w:val="13"/>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4"/>
          <w:szCs w:val="14"/>
          <w:b w:val="1"/>
          <w:bCs w:val="1"/>
          <w:color w:val="auto"/>
        </w:rPr>
        <w:t>Aviv Efrat</w:t>
      </w:r>
    </w:p>
    <w:p>
      <w:pPr>
        <w:spacing w:after="0" w:line="26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9159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79" w:lineRule="exact"/>
        <w:rPr>
          <w:sz w:val="20"/>
          <w:szCs w:val="20"/>
          <w:color w:val="auto"/>
        </w:rPr>
      </w:pPr>
    </w:p>
    <w:p>
      <w:pPr>
        <w:ind w:left="1960"/>
        <w:spacing w:after="0"/>
        <w:rPr>
          <w:sz w:val="20"/>
          <w:szCs w:val="20"/>
          <w:color w:val="auto"/>
        </w:rPr>
      </w:pPr>
      <w:r>
        <w:rPr>
          <w:rFonts w:ascii="Arial" w:cs="Arial" w:eastAsia="Arial" w:hAnsi="Arial"/>
          <w:sz w:val="12"/>
          <w:szCs w:val="12"/>
          <w:b w:val="1"/>
          <w:bCs w:val="1"/>
          <w:color w:val="auto"/>
        </w:rPr>
        <w:t>Adam K. Bernstein</w:t>
      </w:r>
    </w:p>
    <w:p>
      <w:pPr>
        <w:spacing w:after="0" w:line="23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3053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79"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Jeffrey Flug</w:t>
      </w:r>
    </w:p>
    <w:p>
      <w:pPr>
        <w:spacing w:after="0" w:line="20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9159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79"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Marshall Brozost</w:t>
      </w:r>
    </w:p>
    <w:p>
      <w:pPr>
        <w:spacing w:after="0" w:line="20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29159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79"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Samuel L. Katz</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Chairman of the Board of Directors and Chief Executive Officer (Principal</w:t>
      </w:r>
    </w:p>
    <w:p>
      <w:pPr>
        <w:spacing w:after="0" w:line="3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Executive Officer)</w:t>
      </w:r>
    </w:p>
    <w:p>
      <w:pPr>
        <w:spacing w:after="0" w:line="21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Chief Financial Officer and Treasurer (Principal Financial and Accounting</w:t>
      </w:r>
    </w:p>
    <w:p>
      <w:pPr>
        <w:spacing w:after="0" w:line="3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6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12" w:lineRule="exact"/>
        <w:rPr>
          <w:sz w:val="20"/>
          <w:szCs w:val="20"/>
          <w:color w:val="auto"/>
        </w:rPr>
      </w:pPr>
    </w:p>
    <w:p>
      <w:pPr>
        <w:sectPr>
          <w:pgSz w:w="11900" w:h="16838" w:orient="portrait"/>
          <w:cols w:equalWidth="0" w:num="2">
            <w:col w:w="5160" w:space="720"/>
            <w:col w:w="5540"/>
          </w:cols>
          <w:pgMar w:left="240" w:top="274" w:right="239" w:bottom="1440" w:gutter="0" w:footer="0" w:header="0"/>
          <w:type w:val="continuous"/>
        </w:sectPr>
      </w:pPr>
    </w:p>
    <w:p>
      <w:pPr>
        <w:ind w:left="5580" w:right="1660" w:hanging="5572"/>
        <w:spacing w:after="0" w:line="440" w:lineRule="auto"/>
        <w:tabs>
          <w:tab w:leader="none" w:pos="4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274" w:right="23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(d)(2)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CERTIFICATE FOR COMMON STOCK</w:t>
      </w:r>
    </w:p>
    <w:p>
      <w:pPr>
        <w:spacing w:after="0" w:line="17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Each registered holder of this Subscription Certificate (a “Rights Holder”) is entitled to the number of transferable subscription rights (each, a “Right”) to subscribe for the number of shares of common stock, par value $0.001 per share (“Common Stock”), of PennantPark Investment Corporation, a Maryland</w:t>
      </w:r>
    </w:p>
    <w:p>
      <w:pPr>
        <w:spacing w:after="0"/>
        <w:tabs>
          <w:tab w:leader="none" w:pos="10500" w:val="left"/>
        </w:tabs>
        <w:rPr>
          <w:sz w:val="20"/>
          <w:szCs w:val="20"/>
          <w:color w:val="auto"/>
        </w:rPr>
      </w:pPr>
      <w:r>
        <w:rPr>
          <w:rFonts w:ascii="Arial" w:cs="Arial" w:eastAsia="Arial" w:hAnsi="Arial"/>
          <w:sz w:val="16"/>
          <w:szCs w:val="16"/>
          <w:color w:val="auto"/>
        </w:rPr>
        <w:t>corporation (the “Company”), as specified herein, on the terms and subject to the conditions set forth in the Company’s prospectus dated</w:t>
      </w:r>
      <w:r>
        <w:rPr>
          <w:sz w:val="20"/>
          <w:szCs w:val="20"/>
          <w:color w:val="auto"/>
        </w:rPr>
        <w:tab/>
      </w:r>
      <w:r>
        <w:rPr>
          <w:rFonts w:ascii="Arial" w:cs="Arial" w:eastAsia="Arial" w:hAnsi="Arial"/>
          <w:sz w:val="15"/>
          <w:szCs w:val="15"/>
          <w:color w:val="auto"/>
        </w:rPr>
        <w:t>, 20</w:t>
      </w:r>
    </w:p>
    <w:p>
      <w:pPr>
        <w:spacing w:after="0" w:line="32" w:lineRule="exact"/>
        <w:rPr>
          <w:sz w:val="20"/>
          <w:szCs w:val="20"/>
          <w:color w:val="auto"/>
        </w:rPr>
      </w:pPr>
    </w:p>
    <w:p>
      <w:pPr>
        <w:spacing w:after="0"/>
        <w:tabs>
          <w:tab w:leader="none" w:pos="4560" w:val="left"/>
          <w:tab w:leader="none" w:pos="5220" w:val="left"/>
        </w:tabs>
        <w:rPr>
          <w:sz w:val="20"/>
          <w:szCs w:val="20"/>
          <w:color w:val="auto"/>
        </w:rPr>
      </w:pPr>
      <w:r>
        <w:rPr>
          <w:rFonts w:ascii="Arial" w:cs="Arial" w:eastAsia="Arial" w:hAnsi="Arial"/>
          <w:sz w:val="18"/>
          <w:szCs w:val="18"/>
          <w:color w:val="auto"/>
        </w:rPr>
        <w:t>and the accompanying prospectus supplement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(collectively, the “Prospectus”), which are incorporated herein by reference. Pursuant to</w:t>
      </w:r>
    </w:p>
    <w:p>
      <w:pPr>
        <w:spacing w:after="0" w:line="9" w:lineRule="exact"/>
        <w:rPr>
          <w:sz w:val="20"/>
          <w:szCs w:val="20"/>
          <w:color w:val="auto"/>
        </w:rPr>
      </w:pPr>
    </w:p>
    <w:p>
      <w:pPr>
        <w:spacing w:after="0"/>
        <w:tabs>
          <w:tab w:leader="none" w:pos="9860" w:val="left"/>
          <w:tab w:leader="none" w:pos="10500" w:val="left"/>
        </w:tabs>
        <w:rPr>
          <w:sz w:val="20"/>
          <w:szCs w:val="20"/>
          <w:color w:val="auto"/>
        </w:rPr>
      </w:pPr>
      <w:r>
        <w:rPr>
          <w:rFonts w:ascii="Arial" w:cs="Arial" w:eastAsia="Arial" w:hAnsi="Arial"/>
          <w:sz w:val="18"/>
          <w:szCs w:val="18"/>
          <w:color w:val="auto"/>
        </w:rPr>
        <w:t>the rights offering described in the Prospectus (the “Offering”), each stockholder owning Common Stock of the Company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(such date,</w:t>
      </w:r>
    </w:p>
    <w:p>
      <w:pPr>
        <w:spacing w:after="0" w:line="9" w:lineRule="exact"/>
        <w:rPr>
          <w:sz w:val="20"/>
          <w:szCs w:val="20"/>
          <w:color w:val="auto"/>
        </w:rPr>
      </w:pPr>
    </w:p>
    <w:p>
      <w:pPr>
        <w:spacing w:after="0"/>
        <w:tabs>
          <w:tab w:leader="none" w:pos="7080" w:val="left"/>
          <w:tab w:leader="none" w:pos="8840" w:val="left"/>
        </w:tabs>
        <w:rPr>
          <w:sz w:val="20"/>
          <w:szCs w:val="20"/>
          <w:color w:val="auto"/>
        </w:rPr>
      </w:pPr>
      <w:r>
        <w:rPr>
          <w:rFonts w:ascii="Arial" w:cs="Arial" w:eastAsia="Arial" w:hAnsi="Arial"/>
          <w:sz w:val="18"/>
          <w:szCs w:val="18"/>
          <w:color w:val="auto"/>
        </w:rPr>
        <w:t>the “Record Date” and, such stockholder, a “Record Date Stockholder”) is entitled to receive</w:t>
      </w:r>
      <w:r>
        <w:rPr>
          <w:sz w:val="20"/>
          <w:szCs w:val="20"/>
          <w:color w:val="auto"/>
        </w:rPr>
        <w:tab/>
      </w:r>
      <w:r>
        <w:rPr>
          <w:rFonts w:ascii="Arial" w:cs="Arial" w:eastAsia="Arial" w:hAnsi="Arial"/>
          <w:sz w:val="18"/>
          <w:szCs w:val="18"/>
          <w:color w:val="auto"/>
        </w:rPr>
        <w:t>Right[s] for each</w:t>
      </w:r>
      <w:r>
        <w:rPr>
          <w:sz w:val="20"/>
          <w:szCs w:val="20"/>
          <w:color w:val="auto"/>
        </w:rPr>
        <w:tab/>
      </w:r>
      <w:r>
        <w:rPr>
          <w:rFonts w:ascii="Arial" w:cs="Arial" w:eastAsia="Arial" w:hAnsi="Arial"/>
          <w:sz w:val="15"/>
          <w:szCs w:val="15"/>
          <w:color w:val="auto"/>
        </w:rPr>
        <w:t>share[s] of Common Stock owned</w:t>
      </w:r>
    </w:p>
    <w:p>
      <w:pPr>
        <w:spacing w:after="0" w:line="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on the Record Date. The Company shall not issue any fractional Rights. Each Rights Holder is entitled to subscribe for share[s] of Common Stock for each Right held by such Rights Holder (the “Basic Subscription”) at the subscription price (the “Subscription Price”), to be calculated as described in the Prospectus. The</w:t>
      </w:r>
    </w:p>
    <w:p>
      <w:pPr>
        <w:spacing w:after="0" w:line="1" w:lineRule="exact"/>
        <w:rPr>
          <w:sz w:val="20"/>
          <w:szCs w:val="20"/>
          <w:color w:val="auto"/>
        </w:rPr>
      </w:pPr>
    </w:p>
    <w:p>
      <w:pPr>
        <w:spacing w:after="0"/>
        <w:tabs>
          <w:tab w:leader="none" w:pos="7220" w:val="left"/>
          <w:tab w:leader="none" w:pos="7880" w:val="left"/>
        </w:tabs>
        <w:rPr>
          <w:sz w:val="20"/>
          <w:szCs w:val="20"/>
          <w:color w:val="auto"/>
        </w:rPr>
      </w:pPr>
      <w:r>
        <w:rPr>
          <w:rFonts w:ascii="Arial" w:cs="Arial" w:eastAsia="Arial" w:hAnsi="Arial"/>
          <w:sz w:val="18"/>
          <w:szCs w:val="18"/>
          <w:color w:val="auto"/>
        </w:rPr>
        <w:t>Rights may be exercised at any time during the subscription period, which commences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and ends at 5:00 p.m., New York City time,</w:t>
      </w:r>
    </w:p>
    <w:p>
      <w:pPr>
        <w:spacing w:after="0" w:line="9" w:lineRule="exact"/>
        <w:rPr>
          <w:sz w:val="20"/>
          <w:szCs w:val="20"/>
          <w:color w:val="auto"/>
        </w:rPr>
      </w:pPr>
    </w:p>
    <w:p>
      <w:pPr>
        <w:spacing w:after="0"/>
        <w:tabs>
          <w:tab w:leader="none" w:pos="1080" w:val="left"/>
          <w:tab w:leader="none" w:pos="17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unless extended by the Company in its sole discretion (each such date, the “Expiration Date”). Set forth below is the number of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evidenced by this Subscription Certificate that the Rights Holder is entitled to exercise pursuant to the Basic Subscription.</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any shares of Common Stock available for purchase in the Offering are not subscribed for by Rights Holders pursuant to the Basic Subscription (“Remaining Shares”), a Record Date Stockholder that has exercised fully its Rights pursuant to the Basic Subscription may subscribe for a number of Remaining Shares, on the terms and subject to the conditions set forth in the Prospectus, including as to proration. In addition, any Rights Holder other than a Record Date Stockholder who exercises Rights is entitled to subscribe for any Remaining Shares that are not otherwise subscribed for by Record Date Stockholders pursuant to their over-subscription privilege, on the terms and subject to the conditions set forth in the Prospectus, including as to proration. We refer to these over-subscription privileges as the “Over-Subscription Privilege.”]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ARE TRANSFERABLE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Rights are transferable until the Expiration Date (or if the Offering is extended, until the extended Expiration Date). The Rights are expected to be</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listed for trading on The NASDAQ Global Select Market under the symbol “ ” until and including the Expiration Date (or if the Offering is extended, until the extended Expiration Date). Rights Holders who do not wish to exercise any or all of their Rights may instruct the Subscription Agent to sell any Rights they do not intend to exercise themselves through or to a Dealer Manager. Subscription Certificates representing the Rights to be sold through or to a Dealer Manager</w:t>
      </w:r>
    </w:p>
    <w:p>
      <w:pPr>
        <w:spacing w:after="0" w:line="2" w:lineRule="exact"/>
        <w:rPr>
          <w:sz w:val="20"/>
          <w:szCs w:val="20"/>
          <w:color w:val="auto"/>
        </w:rPr>
      </w:pPr>
    </w:p>
    <w:p>
      <w:pPr>
        <w:spacing w:after="0"/>
        <w:tabs>
          <w:tab w:leader="none" w:pos="4540" w:val="left"/>
          <w:tab w:leader="none" w:pos="5200" w:val="left"/>
          <w:tab w:leader="none" w:pos="7680" w:val="left"/>
        </w:tabs>
        <w:rPr>
          <w:sz w:val="20"/>
          <w:szCs w:val="20"/>
          <w:color w:val="auto"/>
        </w:rPr>
      </w:pPr>
      <w:r>
        <w:rPr>
          <w:rFonts w:ascii="Arial" w:cs="Arial" w:eastAsia="Arial" w:hAnsi="Arial"/>
          <w:sz w:val="18"/>
          <w:szCs w:val="18"/>
          <w:color w:val="auto"/>
        </w:rPr>
        <w:t>must be received by the Subscription Agent on or before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(or, if the offer is extended,</w:t>
      </w:r>
      <w:r>
        <w:rPr>
          <w:sz w:val="20"/>
          <w:szCs w:val="20"/>
          <w:color w:val="auto"/>
        </w:rPr>
        <w:tab/>
      </w:r>
      <w:r>
        <w:rPr>
          <w:rFonts w:ascii="Arial" w:cs="Arial" w:eastAsia="Arial" w:hAnsi="Arial"/>
          <w:sz w:val="16"/>
          <w:szCs w:val="16"/>
          <w:color w:val="auto"/>
        </w:rPr>
        <w:t>prior to the extended Expiration Date).</w:t>
      </w:r>
    </w:p>
    <w:p>
      <w:pPr>
        <w:sectPr>
          <w:pgSz w:w="11900" w:h="16838" w:orient="portrait"/>
          <w:cols w:equalWidth="0" w:num="1">
            <w:col w:w="11420"/>
          </w:cols>
          <w:pgMar w:left="240" w:top="125" w:right="239" w:bottom="1440" w:gutter="0" w:footer="0" w:header="0"/>
        </w:sectPr>
      </w:pPr>
    </w:p>
    <w:bookmarkStart w:id="164" w:name="page165"/>
    <w:bookmarkEnd w:id="164"/>
    <w:p>
      <w:pPr>
        <w:ind w:left="6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No:</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Cusip No.:</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Rights Represented by this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Subscription</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Certificate:</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Maximum Shares Available for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Purchase</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6"/>
          <w:szCs w:val="16"/>
          <w:i w:val="1"/>
          <w:iCs w:val="1"/>
          <w:color w:val="auto"/>
        </w:rPr>
        <w:t>Pursuant to the Basic Subscription:</w:t>
      </w:r>
    </w:p>
    <w:p>
      <w:pPr>
        <w:spacing w:after="0" w:line="269" w:lineRule="exact"/>
        <w:rPr>
          <w:sz w:val="20"/>
          <w:szCs w:val="20"/>
          <w:color w:val="auto"/>
        </w:rPr>
      </w:pPr>
    </w:p>
    <w:p>
      <w:pPr>
        <w:ind w:right="2259" w:firstLine="2998"/>
        <w:spacing w:after="0" w:line="546" w:lineRule="auto"/>
        <w:rPr>
          <w:sz w:val="20"/>
          <w:szCs w:val="20"/>
          <w:color w:val="auto"/>
        </w:rPr>
      </w:pPr>
      <w:r>
        <w:rPr>
          <w:rFonts w:ascii="Arial" w:cs="Arial" w:eastAsia="Arial" w:hAnsi="Arial"/>
          <w:sz w:val="16"/>
          <w:szCs w:val="16"/>
          <w:b w:val="1"/>
          <w:bCs w:val="1"/>
          <w:color w:val="auto"/>
        </w:rPr>
        <w:t xml:space="preserve">[THE OFFERING IS TERMINABLE BY THE COMPANY </w:t>
      </w:r>
      <w:r>
        <w:rPr>
          <w:rFonts w:ascii="Arial" w:cs="Arial" w:eastAsia="Arial" w:hAnsi="Arial"/>
          <w:sz w:val="16"/>
          <w:szCs w:val="16"/>
          <w:color w:val="auto"/>
        </w:rPr>
        <w:t>The Company reserves the right to terminate the Offering prior to delivery of Common Stock.]</w:t>
      </w:r>
    </w:p>
    <w:p>
      <w:pPr>
        <w:ind w:left="3760"/>
        <w:spacing w:after="0"/>
        <w:rPr>
          <w:sz w:val="20"/>
          <w:szCs w:val="20"/>
          <w:color w:val="auto"/>
        </w:rPr>
      </w:pPr>
      <w:r>
        <w:rPr>
          <w:rFonts w:ascii="Arial" w:cs="Arial" w:eastAsia="Arial" w:hAnsi="Arial"/>
          <w:sz w:val="18"/>
          <w:szCs w:val="18"/>
          <w:b w:val="1"/>
          <w:bCs w:val="1"/>
          <w:color w:val="auto"/>
        </w:rPr>
        <w:t>ESTIMATED SUBSCRIPTION PRICE</w:t>
      </w:r>
    </w:p>
    <w:p>
      <w:pPr>
        <w:spacing w:after="0" w:line="177"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The estimated subscription price (the “Estimated Subscription Price”) is $</w:t>
      </w:r>
      <w:r>
        <w:rPr>
          <w:sz w:val="20"/>
          <w:szCs w:val="20"/>
          <w:color w:val="auto"/>
        </w:rPr>
        <w:tab/>
      </w:r>
      <w:r>
        <w:rPr>
          <w:rFonts w:ascii="Arial" w:cs="Arial" w:eastAsia="Arial" w:hAnsi="Arial"/>
          <w:sz w:val="15"/>
          <w:szCs w:val="15"/>
          <w:color w:val="auto"/>
        </w:rPr>
        <w:t>per share of Common Stock.</w:t>
      </w:r>
    </w:p>
    <w:p>
      <w:pPr>
        <w:spacing w:after="0" w:line="24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THE SUBSCRIPTION PRICE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Subscription Price for the shares of Common Stock to be issued pursuant to the Offering shall be [insert price or formula].</w:t>
      </w:r>
    </w:p>
    <w:p>
      <w:pPr>
        <w:sectPr>
          <w:pgSz w:w="11900" w:h="16838" w:orient="portrait"/>
          <w:cols w:equalWidth="0" w:num="1">
            <w:col w:w="9759"/>
          </w:cols>
          <w:pgMar w:left="700" w:top="280" w:right="1440" w:bottom="1440" w:gutter="0" w:footer="0" w:header="0"/>
        </w:sectPr>
      </w:pPr>
    </w:p>
    <w:bookmarkStart w:id="165" w:name="page166"/>
    <w:bookmarkEnd w:id="165"/>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 OF EXERCISE OF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 must exercise any Rights held under this Certificate by the third business day prior to the Expiration Date of the Offering.</w:t>
      </w:r>
    </w:p>
    <w:p>
      <w:pPr>
        <w:spacing w:after="0" w:line="177" w:lineRule="exact"/>
        <w:rPr>
          <w:sz w:val="20"/>
          <w:szCs w:val="20"/>
          <w:color w:val="auto"/>
        </w:rPr>
      </w:pPr>
    </w:p>
    <w:p>
      <w:pPr>
        <w:ind w:left="460"/>
        <w:spacing w:after="0"/>
        <w:tabs>
          <w:tab w:leader="none" w:pos="3600" w:val="left"/>
        </w:tabs>
        <w:rPr>
          <w:sz w:val="20"/>
          <w:szCs w:val="20"/>
          <w:color w:val="auto"/>
        </w:rPr>
      </w:pPr>
      <w:r>
        <w:rPr>
          <w:rFonts w:ascii="Arial" w:cs="Arial" w:eastAsia="Arial" w:hAnsi="Arial"/>
          <w:sz w:val="18"/>
          <w:szCs w:val="18"/>
          <w:color w:val="auto"/>
        </w:rPr>
        <w:t>To exercise your Rights,</w:t>
      </w:r>
      <w:r>
        <w:rPr>
          <w:sz w:val="20"/>
          <w:szCs w:val="20"/>
          <w:color w:val="auto"/>
        </w:rPr>
        <w:tab/>
      </w:r>
      <w:r>
        <w:rPr>
          <w:rFonts w:ascii="Arial" w:cs="Arial" w:eastAsia="Arial" w:hAnsi="Arial"/>
          <w:sz w:val="16"/>
          <w:szCs w:val="16"/>
          <w:color w:val="auto"/>
        </w:rPr>
        <w:t>(the “Subscription Agent”), must receive, in the manner specified herein, at or before 5:00 P.M., New York</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City Time on the Expiration Date, either (i) a properly completed and duly executed Subscription Certificate and a money order or check or bank draft drawn on a bank or branch located in the United States and payable to “[PennantPark Investment Corporation]” for an amount equal to the number of shares of Common Stock subscribed for pursuant to the Basic Subscription [and the Over-Subscription Privilege] multiplied by the Estimated Subscription Price (the “Exercise Price”); or (ii) a Notice of Guaranteed Delivery guaranteeing delivery of (A) a properly completed and duly executed Subscription Certificate and (B) a money order or check or bank draft drawn on a bank or branch located in the United States and payable to “[PennantPark Investment Corporation]” for an amount equal to the Exercise Price. Payment must be made in U.S. dollars.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method of delivery of this Subscription Certificate and the payment of the Estimated Subscription Price and, if required, any additional payment is at the election and risk of the Rights Holder, but if sent by mail it is recommended that the Subscription Certificate and payment be sent by registered mail, properly insured, with return receipt requested, and that a sufficient number of days be allowed to ensure delivery to the Subscription Agent and clearance of payment at least three business days prior to 5:00 p.m., New York City time, on the Expiration Date, or the date guaranteed payments are due under a Notice of Guaranteed Delivery (as applicable). Because uncertified personal checks may take at least five business days to clear, you are strongly urged to pay, or arrange for payment, by means of certified or cashier’s check or money order.</w:t>
      </w:r>
    </w:p>
    <w:p>
      <w:pPr>
        <w:sectPr>
          <w:pgSz w:w="11900" w:h="16838" w:orient="portrait"/>
          <w:cols w:equalWidth="0" w:num="1">
            <w:col w:w="11400"/>
          </w:cols>
          <w:pgMar w:left="240" w:top="274" w:right="259" w:bottom="1440" w:gutter="0" w:footer="0" w:header="0"/>
        </w:sectPr>
      </w:pPr>
    </w:p>
    <w:bookmarkStart w:id="166" w:name="page167"/>
    <w:bookmarkEnd w:id="166"/>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Rights Holders must only pay the Estimated Subscription Price per share to exercise their Rights pursuant to the Offering and the Subscription Price may be higher or lower than the Estimated Subscription Price [(and because a Rights Holder may not receive all the shares for which they subscribe pursuant to the Over-Subscription Privilege)], Rights Holders may receive a refund or be required to pay an additional amount equal to: the difference between the Estimated Subscription Price and the Subscription Price, multiplied by the total number of shares for which they have subscribed and been issued [(including pursuant to the Over-Subscription Privilege)]. Any additional payment required from a Rights Holder must be received by the Subscription Agent within ten business days after the confirmation date in order to receive all the shares of Common Stock subscribed for. Any excess payment to be refunded by the Company to a Rights Holder shall be mailed by the Subscription Agent as promptly as practicable. No interest shall be paid on any amounts refunded.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Stock certificates shall not be issued for shares of the Company’s Common Stock offered in the Offering. Stockholders who are record owners shall have the shares they acquire credited to their account with the Company’s transfer agent. Stockholders whose Common Stock are held by a nominee shall have the shares they acquire credited to the account of such nominee holder.</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Rights Holder exercising Rights shall have no right to rescind their subscription after receipt of their payment for shares or a Notice of Guaranteed Delivery by the Subscription Agent. [Rights may be transferred in the same manner and with the same effect as with a negotiable instrument payable to specific persons, by duly completing this Subscription Certificate. Rights Holders should be aware that if they choose to exercise, assign, transfer or sell only part of their Rights, they may not receive a new Subscription Certificate in sufficient time to exercise, assign, transfer or sell the remaining Rights evidenced thereby.]</w:t>
      </w:r>
    </w:p>
    <w:p>
      <w:pPr>
        <w:sectPr>
          <w:pgSz w:w="11900" w:h="16838" w:orient="portrait"/>
          <w:cols w:equalWidth="0" w:num="1">
            <w:col w:w="11340"/>
          </w:cols>
          <w:pgMar w:left="240" w:top="280" w:right="319" w:bottom="1440" w:gutter="0" w:footer="0" w:header="0"/>
        </w:sectPr>
      </w:pPr>
    </w:p>
    <w:bookmarkStart w:id="167" w:name="page168"/>
    <w:bookmarkEnd w:id="167"/>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subscribe for shares of Common Stock pursuant to the Basic Subscription, please complete line “A” and Section 1 below. [To subscribe for shares of Common Stock pursuant to the Over-Subscription Privilege, please complete lines “A” and “B” and Section 1 below.]</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want the Subscription Agent to attempt to sell any of your unexercised Rights, check box “D” below and complete Section 1 below. If you want a new Subscription Certificate evidencing any unexercised Rights delivered to you, check box “E” below and indicate the address to which the shares should be delivered in Section 1 below. If you want some or all of your unexercised rights transferred to a designated transferee, or to a bank or broker to sell for you, check box “F” below and complete Section 2 below.]</w:t>
      </w:r>
    </w:p>
    <w:p>
      <w:pPr>
        <w:spacing w:after="0" w:line="14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FOR A MORE COMPLETE DESCRIPTION OF THE TERMS AND CONDITIONS OF THE OFFERING, PLEASE REFER TO THE PROSPECTUS, WHICH IS INCORPORATED HEREIN BY REFERENCE. COPIES OF THE PROSPECTUS ARE AVAILABLE UPON REQUEST FROM THE</w:t>
      </w:r>
    </w:p>
    <w:tbl>
      <w:tblPr>
        <w:tblLayout w:type="fixed"/>
        <w:tblInd w:w="0" w:type="dxa"/>
        <w:tblCellMar>
          <w:top w:w="0" w:type="dxa"/>
          <w:left w:w="0" w:type="dxa"/>
          <w:bottom w:w="0" w:type="dxa"/>
          <w:right w:w="0" w:type="dxa"/>
        </w:tblCellMar>
      </w:tblPr>
      <w:tr>
        <w:trPr>
          <w:trHeight w:val="222"/>
        </w:trPr>
        <w:tc>
          <w:tcPr>
            <w:tcW w:w="2540" w:type="dxa"/>
            <w:vAlign w:val="bottom"/>
            <w:gridSpan w:val="4"/>
          </w:tcPr>
          <w:p>
            <w:pPr>
              <w:spacing w:after="0"/>
              <w:rPr>
                <w:sz w:val="20"/>
                <w:szCs w:val="20"/>
                <w:color w:val="auto"/>
              </w:rPr>
            </w:pPr>
            <w:r>
              <w:rPr>
                <w:rFonts w:ascii="Arial" w:cs="Arial" w:eastAsia="Arial" w:hAnsi="Arial"/>
                <w:sz w:val="18"/>
                <w:szCs w:val="18"/>
                <w:color w:val="auto"/>
              </w:rPr>
              <w:t>INFORMATION AGENT,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w w:val="99"/>
              </w:rPr>
              <w:t>, TOLL-FREE AT</w:t>
            </w:r>
          </w:p>
        </w:tc>
        <w:tc>
          <w:tcPr>
            <w:tcW w:w="696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0"/>
              </w:rPr>
              <w:t>A. Basic Subscription</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960" w:type="dxa"/>
            <w:vAlign w:val="bottom"/>
          </w:tcPr>
          <w:p>
            <w:pPr>
              <w:ind w:left="1840"/>
              <w:spacing w:after="0"/>
              <w:rPr>
                <w:sz w:val="20"/>
                <w:szCs w:val="20"/>
                <w:color w:val="auto"/>
              </w:rPr>
            </w:pPr>
            <w:r>
              <w:rPr>
                <w:rFonts w:ascii="Arial" w:cs="Arial" w:eastAsia="Arial" w:hAnsi="Arial"/>
                <w:sz w:val="18"/>
                <w:szCs w:val="18"/>
                <w:b w:val="1"/>
                <w:bCs w:val="1"/>
                <w:color w:val="auto"/>
              </w:rPr>
              <w:t>[D. Sell any unexercised Rights 9]</w:t>
            </w:r>
          </w:p>
        </w:tc>
        <w:tc>
          <w:tcPr>
            <w:tcW w:w="0" w:type="dxa"/>
            <w:vAlign w:val="bottom"/>
          </w:tcPr>
          <w:p>
            <w:pPr>
              <w:spacing w:after="0"/>
              <w:rPr>
                <w:sz w:val="1"/>
                <w:szCs w:val="1"/>
                <w:color w:val="auto"/>
              </w:rPr>
            </w:pPr>
          </w:p>
        </w:tc>
      </w:tr>
      <w:tr>
        <w:trPr>
          <w:trHeight w:val="419"/>
        </w:trPr>
        <w:tc>
          <w:tcPr>
            <w:tcW w:w="700" w:type="dxa"/>
            <w:vAlign w:val="bottom"/>
          </w:tcPr>
          <w:p>
            <w:pPr>
              <w:ind w:left="440"/>
              <w:spacing w:after="0"/>
              <w:rPr>
                <w:sz w:val="20"/>
                <w:szCs w:val="20"/>
                <w:color w:val="auto"/>
              </w:rPr>
            </w:pPr>
            <w:r>
              <w:rPr>
                <w:rFonts w:ascii="Arial" w:cs="Arial" w:eastAsia="Arial" w:hAnsi="Arial"/>
                <w:sz w:val="18"/>
                <w:szCs w:val="18"/>
                <w:color w:val="auto"/>
              </w:rPr>
              <w:t>x</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292"/>
              <w:spacing w:after="0"/>
              <w:rPr>
                <w:sz w:val="20"/>
                <w:szCs w:val="20"/>
                <w:color w:val="auto"/>
              </w:rPr>
            </w:pPr>
            <w:r>
              <w:rPr>
                <w:rFonts w:ascii="Arial" w:cs="Arial" w:eastAsia="Arial" w:hAnsi="Arial"/>
                <w:sz w:val="18"/>
                <w:szCs w:val="18"/>
                <w:color w:val="auto"/>
                <w:w w:val="92"/>
              </w:rPr>
              <w:t>$__________</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120" w:type="dxa"/>
            <w:vAlign w:val="bottom"/>
            <w:gridSpan w:val="5"/>
          </w:tcPr>
          <w:p>
            <w:pPr>
              <w:spacing w:after="0"/>
              <w:rPr>
                <w:sz w:val="20"/>
                <w:szCs w:val="20"/>
                <w:color w:val="auto"/>
              </w:rPr>
            </w:pPr>
            <w:r>
              <w:rPr>
                <w:rFonts w:ascii="Arial" w:cs="Arial" w:eastAsia="Arial" w:hAnsi="Arial"/>
                <w:sz w:val="18"/>
                <w:szCs w:val="18"/>
                <w:color w:val="auto"/>
              </w:rPr>
              <w:t>(No. of Shares) (Estimated Subscription Price)</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540" w:type="dxa"/>
            <w:vAlign w:val="bottom"/>
            <w:gridSpan w:val="4"/>
          </w:tcPr>
          <w:p>
            <w:pPr>
              <w:spacing w:after="0"/>
              <w:rPr>
                <w:sz w:val="20"/>
                <w:szCs w:val="20"/>
                <w:color w:val="auto"/>
              </w:rPr>
            </w:pPr>
            <w:r>
              <w:rPr>
                <w:rFonts w:ascii="Arial" w:cs="Arial" w:eastAsia="Arial" w:hAnsi="Arial"/>
                <w:sz w:val="18"/>
                <w:szCs w:val="18"/>
                <w:b w:val="1"/>
                <w:bCs w:val="1"/>
                <w:color w:val="auto"/>
                <w:w w:val="92"/>
              </w:rPr>
              <w:t>[B. Over-Subscription Privilege*</w:t>
            </w:r>
          </w:p>
        </w:tc>
        <w:tc>
          <w:tcPr>
            <w:tcW w:w="1580" w:type="dxa"/>
            <w:vAlign w:val="bottom"/>
          </w:tcPr>
          <w:p>
            <w:pPr>
              <w:spacing w:after="0"/>
              <w:rPr>
                <w:sz w:val="24"/>
                <w:szCs w:val="24"/>
                <w:color w:val="auto"/>
              </w:rPr>
            </w:pPr>
          </w:p>
        </w:tc>
        <w:tc>
          <w:tcPr>
            <w:tcW w:w="6960" w:type="dxa"/>
            <w:vAlign w:val="bottom"/>
          </w:tcPr>
          <w:p>
            <w:pPr>
              <w:ind w:left="1840"/>
              <w:spacing w:after="0"/>
              <w:rPr>
                <w:sz w:val="20"/>
                <w:szCs w:val="20"/>
                <w:color w:val="auto"/>
              </w:rPr>
            </w:pPr>
            <w:r>
              <w:rPr>
                <w:rFonts w:ascii="Arial" w:cs="Arial" w:eastAsia="Arial" w:hAnsi="Arial"/>
                <w:sz w:val="18"/>
                <w:szCs w:val="18"/>
                <w:b w:val="1"/>
                <w:bCs w:val="1"/>
                <w:color w:val="auto"/>
                <w:w w:val="86"/>
              </w:rPr>
              <w:t>[E. Deliver a certificate representing _____ unexercised Rights to the</w:t>
            </w:r>
          </w:p>
        </w:tc>
        <w:tc>
          <w:tcPr>
            <w:tcW w:w="0" w:type="dxa"/>
            <w:vAlign w:val="bottom"/>
          </w:tcPr>
          <w:p>
            <w:pPr>
              <w:spacing w:after="0"/>
              <w:rPr>
                <w:sz w:val="1"/>
                <w:szCs w:val="1"/>
                <w:color w:val="auto"/>
              </w:rPr>
            </w:pPr>
          </w:p>
        </w:tc>
      </w:tr>
      <w:tr>
        <w:trPr>
          <w:trHeight w:val="228"/>
        </w:trPr>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x</w:t>
            </w:r>
          </w:p>
        </w:tc>
        <w:tc>
          <w:tcPr>
            <w:tcW w:w="44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192"/>
              <w:spacing w:after="0"/>
              <w:rPr>
                <w:sz w:val="20"/>
                <w:szCs w:val="20"/>
                <w:color w:val="auto"/>
              </w:rPr>
            </w:pPr>
            <w:r>
              <w:rPr>
                <w:rFonts w:ascii="Arial" w:cs="Arial" w:eastAsia="Arial" w:hAnsi="Arial"/>
                <w:sz w:val="18"/>
                <w:szCs w:val="18"/>
                <w:color w:val="auto"/>
              </w:rPr>
              <w:t>=</w:t>
            </w:r>
          </w:p>
        </w:tc>
        <w:tc>
          <w:tcPr>
            <w:tcW w:w="242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w w:val="92"/>
              </w:rPr>
              <w:t>$__________</w:t>
            </w:r>
          </w:p>
        </w:tc>
        <w:tc>
          <w:tcPr>
            <w:tcW w:w="6960" w:type="dxa"/>
            <w:vAlign w:val="bottom"/>
          </w:tcPr>
          <w:p>
            <w:pPr>
              <w:ind w:left="1840"/>
              <w:spacing w:after="0"/>
              <w:rPr>
                <w:sz w:val="20"/>
                <w:szCs w:val="20"/>
                <w:color w:val="auto"/>
              </w:rPr>
            </w:pPr>
            <w:r>
              <w:rPr>
                <w:rFonts w:ascii="Arial" w:cs="Arial" w:eastAsia="Arial" w:hAnsi="Arial"/>
                <w:sz w:val="18"/>
                <w:szCs w:val="18"/>
                <w:b w:val="1"/>
                <w:bCs w:val="1"/>
                <w:color w:val="auto"/>
              </w:rPr>
              <w:t>address in Section 1]</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6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120" w:type="dxa"/>
            <w:vAlign w:val="bottom"/>
            <w:gridSpan w:val="5"/>
          </w:tcPr>
          <w:p>
            <w:pPr>
              <w:spacing w:after="0"/>
              <w:rPr>
                <w:sz w:val="20"/>
                <w:szCs w:val="20"/>
                <w:color w:val="auto"/>
              </w:rPr>
            </w:pPr>
            <w:r>
              <w:rPr>
                <w:rFonts w:ascii="Arial" w:cs="Arial" w:eastAsia="Arial" w:hAnsi="Arial"/>
                <w:sz w:val="18"/>
                <w:szCs w:val="18"/>
                <w:color w:val="auto"/>
              </w:rPr>
              <w:t>(No. of Shares) (Estimated Subscription Price)]</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120" w:type="dxa"/>
            <w:vAlign w:val="bottom"/>
            <w:gridSpan w:val="5"/>
          </w:tcPr>
          <w:p>
            <w:pPr>
              <w:spacing w:after="0"/>
              <w:rPr>
                <w:sz w:val="20"/>
                <w:szCs w:val="20"/>
                <w:color w:val="auto"/>
              </w:rPr>
            </w:pPr>
            <w:r>
              <w:rPr>
                <w:rFonts w:ascii="Arial" w:cs="Arial" w:eastAsia="Arial" w:hAnsi="Arial"/>
                <w:sz w:val="18"/>
                <w:szCs w:val="18"/>
                <w:b w:val="1"/>
                <w:bCs w:val="1"/>
                <w:color w:val="auto"/>
              </w:rPr>
              <w:t>[C.] Total Amount Enclosed = $________</w:t>
            </w:r>
          </w:p>
        </w:tc>
        <w:tc>
          <w:tcPr>
            <w:tcW w:w="6960" w:type="dxa"/>
            <w:vAlign w:val="bottom"/>
          </w:tcPr>
          <w:p>
            <w:pPr>
              <w:ind w:left="1840"/>
              <w:spacing w:after="0"/>
              <w:rPr>
                <w:sz w:val="20"/>
                <w:szCs w:val="20"/>
                <w:color w:val="auto"/>
              </w:rPr>
            </w:pPr>
            <w:r>
              <w:rPr>
                <w:rFonts w:ascii="Arial" w:cs="Arial" w:eastAsia="Arial" w:hAnsi="Arial"/>
                <w:sz w:val="18"/>
                <w:szCs w:val="18"/>
                <w:b w:val="1"/>
                <w:bCs w:val="1"/>
                <w:color w:val="auto"/>
                <w:w w:val="88"/>
              </w:rPr>
              <w:t>[F. Transfer _____ Rights to the transferee designated in Section 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[*If a Rights Holder is a Record Date Stockholder, the Over-Subscription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Privilege may only be exercised if its Basic Subscription is exercised in full.]</w:t>
      </w:r>
    </w:p>
    <w:p>
      <w:pPr>
        <w:sectPr>
          <w:pgSz w:w="11900" w:h="16838" w:orient="portrait"/>
          <w:cols w:equalWidth="0" w:num="1">
            <w:col w:w="11380"/>
          </w:cols>
          <w:pgMar w:left="240" w:top="280" w:right="279" w:bottom="1440" w:gutter="0" w:footer="0" w:header="0"/>
        </w:sectPr>
      </w:pPr>
    </w:p>
    <w:bookmarkStart w:id="168" w:name="page169"/>
    <w:bookmarkEnd w:id="168"/>
    <w:p>
      <w:pPr>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 TO SUBSCRIBE: </w:t>
      </w:r>
      <w:r>
        <w:rPr>
          <w:rFonts w:ascii="Arial" w:cs="Arial" w:eastAsia="Arial" w:hAnsi="Arial"/>
          <w:sz w:val="16"/>
          <w:szCs w:val="16"/>
          <w:color w:val="auto"/>
        </w:rPr>
        <w:t>I acknowledge that I have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for the Offering and I hereby irrevocably subscribe for the number of shares of Common Stock indicated as the total of A [and B] above upon the terms and conditions specified in the Prospectus and incorporated by reference herein. I understand and agree that I will be obligated to pay an additional amount if the Subscription Price as determined on the Expiration Date, as it may be extended, is in excess of the Estimated Subscription Price. I hereby agree that if I fail to pay in full for the shares of Common Stock for which I have subscribed, the Company may exercise any of the remedies provided for in the Prospectus.</w:t>
      </w:r>
    </w:p>
    <w:p>
      <w:pPr>
        <w:spacing w:after="0" w:line="159"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[TO SELL: If I have checked the box on line D, I authorize the sale of Rights by the Subscription Agent according to the procedures described in the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[SECTION 2. TO TRANSFER RIGHTS </w:t>
      </w:r>
      <w:r>
        <w:rPr>
          <w:rFonts w:ascii="Arial" w:cs="Arial" w:eastAsia="Arial" w:hAnsi="Arial"/>
          <w:sz w:val="16"/>
          <w:szCs w:val="16"/>
          <w:color w:val="auto"/>
        </w:rPr>
        <w:t>(Per Line F): For value received,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 of the Rights represented by this Subscription Certificate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are assigned to: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(Print full name of Assignee and Social Security Number)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(Print full address)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(Signature(s) of Assignor(s))</w:t>
      </w:r>
    </w:p>
    <w:p>
      <w:pPr>
        <w:spacing w:after="0" w:line="21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signature(s) on the Subscription Certificate must correspond with the name(s) of the registered holder(s) exactly as it appears on the Subscription Certificate without any alteration or change whatsoever. In the case of joint registered holders, each person must sign the Subscription Certificate in accordance with the foregoing. If you sign the</w:t>
      </w:r>
    </w:p>
    <w:p>
      <w:pPr>
        <w:sectPr>
          <w:pgSz w:w="11900" w:h="16838" w:orient="portrait"/>
          <w:cols w:equalWidth="0" w:num="2">
            <w:col w:w="5780" w:space="180"/>
            <w:col w:w="5440"/>
          </w:cols>
          <w:pgMar w:left="240" w:top="274" w:right="259" w:bottom="1440" w:gutter="0" w:footer="0" w:header="0"/>
        </w:sectPr>
      </w:pPr>
    </w:p>
    <w:bookmarkStart w:id="169" w:name="page170"/>
    <w:bookmarkEnd w:id="169"/>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Signature(s) of Subscriber(s)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Address for delivery of certificate representing unexercised Rights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If permanent change of address, check here 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spacing w:after="0"/>
              <w:rPr>
                <w:sz w:val="20"/>
                <w:szCs w:val="20"/>
                <w:color w:val="auto"/>
              </w:rPr>
            </w:pPr>
            <w:r>
              <w:rPr>
                <w:rFonts w:ascii="Arial" w:cs="Arial" w:eastAsia="Arial" w:hAnsi="Arial"/>
                <w:sz w:val="18"/>
                <w:szCs w:val="18"/>
                <w:color w:val="auto"/>
                <w:w w:val="99"/>
              </w:rPr>
              <w:t>Daytime telephone number (</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37"/>
        </w:trPr>
        <w:tc>
          <w:tcPr>
            <w:tcW w:w="2000" w:type="dxa"/>
            <w:vAlign w:val="bottom"/>
          </w:tcPr>
          <w:p>
            <w:pPr>
              <w:spacing w:after="0"/>
              <w:rPr>
                <w:sz w:val="20"/>
                <w:szCs w:val="20"/>
                <w:color w:val="auto"/>
              </w:rPr>
            </w:pPr>
            <w:r>
              <w:rPr>
                <w:rFonts w:ascii="Arial" w:cs="Arial" w:eastAsia="Arial" w:hAnsi="Arial"/>
                <w:sz w:val="18"/>
                <w:szCs w:val="18"/>
                <w:color w:val="auto"/>
              </w:rPr>
              <w:t>_________________</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280" w:type="dxa"/>
            <w:vAlign w:val="bottom"/>
            <w:gridSpan w:val="3"/>
          </w:tcPr>
          <w:p>
            <w:pPr>
              <w:spacing w:after="0"/>
              <w:rPr>
                <w:sz w:val="20"/>
                <w:szCs w:val="20"/>
                <w:color w:val="auto"/>
              </w:rPr>
            </w:pPr>
            <w:r>
              <w:rPr>
                <w:rFonts w:ascii="Arial" w:cs="Arial" w:eastAsia="Arial" w:hAnsi="Arial"/>
                <w:sz w:val="18"/>
                <w:szCs w:val="18"/>
                <w:color w:val="auto"/>
                <w:w w:val="99"/>
              </w:rPr>
              <w:t>Evening telephone number (</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437"/>
        </w:trPr>
        <w:tc>
          <w:tcPr>
            <w:tcW w:w="2000" w:type="dxa"/>
            <w:vAlign w:val="bottom"/>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Email address: _________________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Subscription Certificate in your capacity as a trustee, executor, administrator, guardian, attorney-in-fact, agent, officer of a corporation or other fiduciary or representative, you must indicate the capacity in which you are signing when you sign and, if requested by the Subscription Agent in its sole and absolute discretion, you must present to the Subscription Agent satisfactory evidence of your authority to sign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-938530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signature must be guaranteed by an Eligible Guarantor Institution, as that term is defined in Rule 17Ad-15 of the Securities Exchange Act of 1934, as amended, which may include: (a) a commercial bank or trust company; (b) a member firm of a domestic stock exchange; or (c) a savings bank or credit union.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Signature (name of bank or firm):___________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Guaranteed by (signature/title):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145" w:lineRule="exact"/>
        <w:rPr>
          <w:sz w:val="20"/>
          <w:szCs w:val="20"/>
          <w:color w:val="auto"/>
        </w:rPr>
      </w:pPr>
    </w:p>
    <w:p>
      <w:pPr>
        <w:sectPr>
          <w:pgSz w:w="11900" w:h="16838" w:orient="portrait"/>
          <w:cols w:equalWidth="0" w:num="2">
            <w:col w:w="5240" w:space="720"/>
            <w:col w:w="5460"/>
          </w:cols>
          <w:pgMar w:left="240" w:top="280" w:right="2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Please complete all applicable information and </w:t>
      </w:r>
      <w:r>
        <w:rPr>
          <w:rFonts w:ascii="Arial" w:cs="Arial" w:eastAsia="Arial" w:hAnsi="Arial"/>
          <w:sz w:val="16"/>
          <w:szCs w:val="16"/>
          <w:color w:val="auto"/>
        </w:rPr>
        <w:t>BY FIRST CLASS MAIL ONLY: BY OVERNIGHT DELIVERY:</w:t>
      </w:r>
      <w:r>
        <w:rPr>
          <w:rFonts w:ascii="Arial" w:cs="Arial" w:eastAsia="Arial" w:hAnsi="Arial"/>
          <w:sz w:val="16"/>
          <w:szCs w:val="16"/>
          <w:i w:val="1"/>
          <w:iCs w:val="1"/>
          <w:color w:val="auto"/>
        </w:rPr>
        <w:t xml:space="preserve"> return to:</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questions regarding this Subscription Certificate and the Offering may</w:t>
      </w:r>
    </w:p>
    <w:p>
      <w:pPr>
        <w:spacing w:after="0" w:line="21" w:lineRule="exact"/>
        <w:rPr>
          <w:sz w:val="20"/>
          <w:szCs w:val="20"/>
          <w:color w:val="auto"/>
        </w:rPr>
      </w:pPr>
    </w:p>
    <w:p>
      <w:pPr>
        <w:spacing w:after="0"/>
        <w:tabs>
          <w:tab w:leader="none" w:pos="3540" w:val="left"/>
          <w:tab w:leader="none" w:pos="4960" w:val="left"/>
        </w:tabs>
        <w:rPr>
          <w:sz w:val="20"/>
          <w:szCs w:val="20"/>
          <w:color w:val="auto"/>
        </w:rPr>
      </w:pPr>
      <w:r>
        <w:rPr>
          <w:rFonts w:ascii="Arial" w:cs="Arial" w:eastAsia="Arial" w:hAnsi="Arial"/>
          <w:sz w:val="18"/>
          <w:szCs w:val="18"/>
          <w:b w:val="1"/>
          <w:bCs w:val="1"/>
          <w:color w:val="auto"/>
        </w:rPr>
        <w:t>be directed to the Information Agent,</w:t>
      </w:r>
      <w:r>
        <w:rPr>
          <w:sz w:val="20"/>
          <w:szCs w:val="20"/>
          <w:color w:val="auto"/>
        </w:rPr>
        <w:tab/>
      </w:r>
      <w:r>
        <w:rPr>
          <w:rFonts w:ascii="Arial" w:cs="Arial" w:eastAsia="Arial" w:hAnsi="Arial"/>
          <w:sz w:val="18"/>
          <w:szCs w:val="18"/>
          <w:b w:val="1"/>
          <w:bCs w:val="1"/>
          <w:color w:val="auto"/>
        </w:rPr>
        <w:t>, toll free at</w:t>
      </w:r>
      <w:r>
        <w:rPr>
          <w:sz w:val="20"/>
          <w:szCs w:val="20"/>
          <w:color w:val="auto"/>
        </w:rPr>
        <w:tab/>
      </w:r>
      <w:r>
        <w:rPr>
          <w:rFonts w:ascii="Arial" w:cs="Arial" w:eastAsia="Arial" w:hAnsi="Arial"/>
          <w:sz w:val="14"/>
          <w:szCs w:val="14"/>
          <w:b w:val="1"/>
          <w:bCs w:val="1"/>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DELIVERY OF THIS SUBSCRIPTION CERTIFICATE TO AN ADDRESS OTHER THAN AS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 FORTH ABOVE DOES NOT CONSTITUTE A VALID DELIVERY.</w:t>
      </w:r>
    </w:p>
    <w:p>
      <w:pPr>
        <w:sectPr>
          <w:pgSz w:w="11900" w:h="16838" w:orient="portrait"/>
          <w:cols w:equalWidth="0" w:num="1">
            <w:col w:w="11420"/>
          </w:cols>
          <w:pgMar w:left="240" w:top="280" w:right="239"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(d)(3)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OF INDENTURE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PENNANTPARK INVESTMENT CORPORATION,</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Issuer,</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440"/>
        <w:spacing w:after="0"/>
        <w:tabs>
          <w:tab w:leader="none" w:pos="5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Trustee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ind w:left="3680"/>
        <w:spacing w:after="0"/>
        <w:tabs>
          <w:tab w:leader="none" w:pos="52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Providing for the Issuance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Debt Securities</w:t>
      </w:r>
    </w:p>
    <w:p>
      <w:pPr>
        <w:sectPr>
          <w:pgSz w:w="11900" w:h="16838" w:orient="portrait"/>
          <w:cols w:equalWidth="0" w:num="1">
            <w:col w:w="10220"/>
          </w:cols>
          <w:pgMar w:left="1440" w:top="125"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900" w:type="dxa"/>
            <w:vAlign w:val="bottom"/>
            <w:gridSpan w:val="4"/>
          </w:tcPr>
          <w:p>
            <w:pPr>
              <w:jc w:val="center"/>
              <w:ind w:left="652"/>
              <w:spacing w:after="0"/>
              <w:rPr>
                <w:sz w:val="20"/>
                <w:szCs w:val="20"/>
                <w:color w:val="auto"/>
              </w:rPr>
            </w:pPr>
            <w:r>
              <w:rPr>
                <w:rFonts w:ascii="Arial" w:cs="Arial" w:eastAsia="Arial" w:hAnsi="Arial"/>
                <w:sz w:val="18"/>
                <w:szCs w:val="18"/>
                <w:b w:val="1"/>
                <w:bCs w:val="1"/>
                <w:color w:val="auto"/>
                <w:w w:val="98"/>
              </w:rPr>
              <w:t>PENNANTPARK INVESTMENT CORPORATION</w:t>
            </w:r>
          </w:p>
        </w:tc>
      </w:tr>
      <w:tr>
        <w:trPr>
          <w:trHeight w:val="216"/>
        </w:trPr>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900" w:type="dxa"/>
            <w:vAlign w:val="bottom"/>
            <w:gridSpan w:val="4"/>
          </w:tcPr>
          <w:p>
            <w:pPr>
              <w:jc w:val="center"/>
              <w:ind w:left="632"/>
              <w:spacing w:after="0"/>
              <w:rPr>
                <w:sz w:val="20"/>
                <w:szCs w:val="20"/>
                <w:color w:val="auto"/>
              </w:rPr>
            </w:pPr>
            <w:r>
              <w:rPr>
                <w:rFonts w:ascii="Arial" w:cs="Arial" w:eastAsia="Arial" w:hAnsi="Arial"/>
                <w:sz w:val="18"/>
                <w:szCs w:val="18"/>
                <w:color w:val="auto"/>
                <w:w w:val="89"/>
              </w:rPr>
              <w:t>Reconciliation and tie between Trust Indenture Act of 1939</w:t>
            </w:r>
          </w:p>
        </w:tc>
      </w:tr>
      <w:tr>
        <w:trPr>
          <w:trHeight w:val="222"/>
        </w:trPr>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60" w:type="dxa"/>
            <w:vAlign w:val="bottom"/>
            <w:gridSpan w:val="2"/>
          </w:tcPr>
          <w:p>
            <w:pPr>
              <w:ind w:left="1580"/>
              <w:spacing w:after="0"/>
              <w:rPr>
                <w:sz w:val="20"/>
                <w:szCs w:val="20"/>
                <w:color w:val="auto"/>
              </w:rPr>
            </w:pPr>
            <w:r>
              <w:rPr>
                <w:rFonts w:ascii="Arial" w:cs="Arial" w:eastAsia="Arial" w:hAnsi="Arial"/>
                <w:sz w:val="18"/>
                <w:szCs w:val="18"/>
                <w:color w:val="auto"/>
              </w:rPr>
              <w:t>and Indenture dated as of [</w:t>
            </w:r>
          </w:p>
        </w:tc>
        <w:tc>
          <w:tcPr>
            <w:tcW w:w="6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r>
      <w:tr>
        <w:trPr>
          <w:trHeight w:val="353"/>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Trust Indenture Act Section</w:t>
            </w:r>
          </w:p>
        </w:tc>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Indenture Section</w:t>
            </w:r>
          </w:p>
        </w:tc>
        <w:tc>
          <w:tcPr>
            <w:tcW w:w="420" w:type="dxa"/>
            <w:vAlign w:val="bottom"/>
          </w:tcPr>
          <w:p>
            <w:pPr>
              <w:spacing w:after="0"/>
              <w:rPr>
                <w:sz w:val="24"/>
                <w:szCs w:val="24"/>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§310</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(a)(1)</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607</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(a)(2)</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607</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(b)</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609</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701</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§314</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704</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(a)(4)</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1005</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(c)(1)</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(c)(2)</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(e)</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§315</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(b)</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601</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§316</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 (last sentence)</w:t>
            </w:r>
          </w:p>
        </w:tc>
        <w:tc>
          <w:tcPr>
            <w:tcW w:w="338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w w:val="96"/>
              </w:rPr>
              <w:t>101 (“Outstanding”)</w:t>
            </w: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(a)(1)(A)</w:t>
            </w:r>
          </w:p>
        </w:tc>
        <w:tc>
          <w:tcPr>
            <w:tcW w:w="4480" w:type="dxa"/>
            <w:vAlign w:val="bottom"/>
            <w:gridSpan w:val="3"/>
          </w:tcPr>
          <w:p>
            <w:pPr>
              <w:ind w:left="3380"/>
              <w:spacing w:after="0"/>
              <w:rPr>
                <w:sz w:val="20"/>
                <w:szCs w:val="20"/>
                <w:color w:val="auto"/>
              </w:rPr>
            </w:pPr>
            <w:r>
              <w:rPr>
                <w:rFonts w:ascii="Arial" w:cs="Arial" w:eastAsia="Arial" w:hAnsi="Arial"/>
                <w:sz w:val="18"/>
                <w:szCs w:val="18"/>
                <w:color w:val="auto"/>
              </w:rPr>
              <w:t>502, 512</w:t>
            </w: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(a)(1)(B)</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513</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(b)</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508</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§317</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(a)(1)</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503</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(a)(2)</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504</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§318</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(a)</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3860" w:type="dxa"/>
            <w:vAlign w:val="bottom"/>
            <w:gridSpan w:val="2"/>
          </w:tcPr>
          <w:p>
            <w:pPr>
              <w:ind w:left="3380"/>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NOTE: This reconciliation and tie shall not, for any purpose, be deemed to be a part of the Indenture.</w:t>
      </w:r>
    </w:p>
    <w:p>
      <w:pPr>
        <w:sectPr>
          <w:pgSz w:w="11900" w:h="16838" w:orient="portrait"/>
          <w:cols w:equalWidth="0" w:num="1">
            <w:col w:w="10219"/>
          </w:cols>
          <w:pgMar w:left="240" w:top="274" w:right="1440"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10020" w:type="dxa"/>
            <w:vAlign w:val="bottom"/>
          </w:tcPr>
          <w:p>
            <w:pPr>
              <w:ind w:left="3720"/>
              <w:spacing w:after="0"/>
              <w:rPr>
                <w:sz w:val="20"/>
                <w:szCs w:val="20"/>
                <w:color w:val="auto"/>
              </w:rPr>
            </w:pPr>
            <w:r>
              <w:rPr>
                <w:rFonts w:ascii="Arial" w:cs="Arial" w:eastAsia="Arial" w:hAnsi="Arial"/>
                <w:sz w:val="18"/>
                <w:szCs w:val="18"/>
                <w:b w:val="1"/>
                <w:bCs w:val="1"/>
                <w:color w:val="auto"/>
              </w:rPr>
              <w:t>TABLE OF CONENTS</w:t>
            </w:r>
          </w:p>
        </w:tc>
        <w:tc>
          <w:tcPr>
            <w:tcW w:w="280" w:type="dxa"/>
            <w:vAlign w:val="bottom"/>
          </w:tcPr>
          <w:p>
            <w:pPr>
              <w:spacing w:after="0"/>
              <w:rPr>
                <w:sz w:val="19"/>
                <w:szCs w:val="19"/>
                <w:color w:val="auto"/>
              </w:rPr>
            </w:pPr>
          </w:p>
        </w:tc>
      </w:tr>
      <w:tr>
        <w:trPr>
          <w:trHeight w:val="353"/>
        </w:trPr>
        <w:tc>
          <w:tcPr>
            <w:tcW w:w="112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417"/>
        </w:trPr>
        <w:tc>
          <w:tcPr>
            <w:tcW w:w="112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4"/>
              </w:rPr>
              <w:t>ARTICLE ONE</w:t>
            </w:r>
          </w:p>
        </w:tc>
        <w:tc>
          <w:tcPr>
            <w:tcW w:w="28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4"/>
              </w:rPr>
              <w:t>DEFINITIONS AND OTHER PROVISIONS OF GENERAL APPLICATION</w:t>
            </w:r>
          </w:p>
        </w:tc>
        <w:tc>
          <w:tcPr>
            <w:tcW w:w="28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Section 101.</w:t>
            </w:r>
          </w:p>
        </w:tc>
        <w:tc>
          <w:tcPr>
            <w:tcW w:w="1002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102.</w:t>
            </w:r>
          </w:p>
        </w:tc>
        <w:tc>
          <w:tcPr>
            <w:tcW w:w="10020" w:type="dxa"/>
            <w:vAlign w:val="bottom"/>
          </w:tcPr>
          <w:p>
            <w:pPr>
              <w:ind w:left="220"/>
              <w:spacing w:after="0"/>
              <w:rPr>
                <w:sz w:val="20"/>
                <w:szCs w:val="20"/>
                <w:color w:val="auto"/>
              </w:rPr>
            </w:pPr>
            <w:r>
              <w:rPr>
                <w:rFonts w:ascii="Arial" w:cs="Arial" w:eastAsia="Arial" w:hAnsi="Arial"/>
                <w:sz w:val="18"/>
                <w:szCs w:val="18"/>
                <w:color w:val="auto"/>
              </w:rPr>
              <w:t>Compliance Certificates and Opinions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103.</w:t>
            </w:r>
          </w:p>
        </w:tc>
        <w:tc>
          <w:tcPr>
            <w:tcW w:w="10020" w:type="dxa"/>
            <w:vAlign w:val="bottom"/>
          </w:tcPr>
          <w:p>
            <w:pPr>
              <w:ind w:left="220"/>
              <w:spacing w:after="0"/>
              <w:rPr>
                <w:sz w:val="20"/>
                <w:szCs w:val="20"/>
                <w:color w:val="auto"/>
              </w:rPr>
            </w:pPr>
            <w:r>
              <w:rPr>
                <w:rFonts w:ascii="Arial" w:cs="Arial" w:eastAsia="Arial" w:hAnsi="Arial"/>
                <w:sz w:val="18"/>
                <w:szCs w:val="18"/>
                <w:color w:val="auto"/>
              </w:rPr>
              <w:t>Form of Documents Delivered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104.</w:t>
            </w:r>
          </w:p>
        </w:tc>
        <w:tc>
          <w:tcPr>
            <w:tcW w:w="10020" w:type="dxa"/>
            <w:vAlign w:val="bottom"/>
          </w:tcPr>
          <w:p>
            <w:pPr>
              <w:ind w:left="220"/>
              <w:spacing w:after="0"/>
              <w:rPr>
                <w:sz w:val="20"/>
                <w:szCs w:val="20"/>
                <w:color w:val="auto"/>
              </w:rPr>
            </w:pPr>
            <w:r>
              <w:rPr>
                <w:rFonts w:ascii="Arial" w:cs="Arial" w:eastAsia="Arial" w:hAnsi="Arial"/>
                <w:sz w:val="18"/>
                <w:szCs w:val="18"/>
                <w:color w:val="auto"/>
              </w:rPr>
              <w:t>Acts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105.</w:t>
            </w:r>
          </w:p>
        </w:tc>
        <w:tc>
          <w:tcPr>
            <w:tcW w:w="10020" w:type="dxa"/>
            <w:vAlign w:val="bottom"/>
          </w:tcPr>
          <w:p>
            <w:pPr>
              <w:ind w:left="220"/>
              <w:spacing w:after="0"/>
              <w:rPr>
                <w:sz w:val="20"/>
                <w:szCs w:val="20"/>
                <w:color w:val="auto"/>
              </w:rPr>
            </w:pPr>
            <w:r>
              <w:rPr>
                <w:rFonts w:ascii="Arial" w:cs="Arial" w:eastAsia="Arial" w:hAnsi="Arial"/>
                <w:sz w:val="18"/>
                <w:szCs w:val="18"/>
                <w:color w:val="auto"/>
              </w:rPr>
              <w:t>Notices, Etc., to Trustee and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106.</w:t>
            </w:r>
          </w:p>
        </w:tc>
        <w:tc>
          <w:tcPr>
            <w:tcW w:w="10020" w:type="dxa"/>
            <w:vAlign w:val="bottom"/>
          </w:tcPr>
          <w:p>
            <w:pPr>
              <w:ind w:left="220"/>
              <w:spacing w:after="0"/>
              <w:rPr>
                <w:sz w:val="20"/>
                <w:szCs w:val="20"/>
                <w:color w:val="auto"/>
              </w:rPr>
            </w:pPr>
            <w:r>
              <w:rPr>
                <w:rFonts w:ascii="Arial" w:cs="Arial" w:eastAsia="Arial" w:hAnsi="Arial"/>
                <w:sz w:val="18"/>
                <w:szCs w:val="18"/>
                <w:color w:val="auto"/>
              </w:rPr>
              <w:t>Notice to Holders;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107.</w:t>
            </w:r>
          </w:p>
        </w:tc>
        <w:tc>
          <w:tcPr>
            <w:tcW w:w="10020" w:type="dxa"/>
            <w:vAlign w:val="bottom"/>
          </w:tcPr>
          <w:p>
            <w:pPr>
              <w:ind w:left="220"/>
              <w:spacing w:after="0"/>
              <w:rPr>
                <w:sz w:val="20"/>
                <w:szCs w:val="20"/>
                <w:color w:val="auto"/>
              </w:rPr>
            </w:pPr>
            <w:r>
              <w:rPr>
                <w:rFonts w:ascii="Arial" w:cs="Arial" w:eastAsia="Arial" w:hAnsi="Arial"/>
                <w:sz w:val="18"/>
                <w:szCs w:val="18"/>
                <w:color w:val="auto"/>
              </w:rPr>
              <w:t>Effect of Headings and Table of Contents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108.</w:t>
            </w:r>
          </w:p>
        </w:tc>
        <w:tc>
          <w:tcPr>
            <w:tcW w:w="1002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109.</w:t>
            </w:r>
          </w:p>
        </w:tc>
        <w:tc>
          <w:tcPr>
            <w:tcW w:w="10020" w:type="dxa"/>
            <w:vAlign w:val="bottom"/>
          </w:tcPr>
          <w:p>
            <w:pPr>
              <w:ind w:left="220"/>
              <w:spacing w:after="0"/>
              <w:rPr>
                <w:sz w:val="20"/>
                <w:szCs w:val="20"/>
                <w:color w:val="auto"/>
              </w:rPr>
            </w:pPr>
            <w:r>
              <w:rPr>
                <w:rFonts w:ascii="Arial" w:cs="Arial" w:eastAsia="Arial" w:hAnsi="Arial"/>
                <w:sz w:val="18"/>
                <w:szCs w:val="18"/>
                <w:color w:val="auto"/>
              </w:rPr>
              <w:t>Separability Clause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110.</w:t>
            </w:r>
          </w:p>
        </w:tc>
        <w:tc>
          <w:tcPr>
            <w:tcW w:w="10020" w:type="dxa"/>
            <w:vAlign w:val="bottom"/>
          </w:tcPr>
          <w:p>
            <w:pPr>
              <w:ind w:left="220"/>
              <w:spacing w:after="0"/>
              <w:rPr>
                <w:sz w:val="20"/>
                <w:szCs w:val="20"/>
                <w:color w:val="auto"/>
              </w:rPr>
            </w:pPr>
            <w:r>
              <w:rPr>
                <w:rFonts w:ascii="Arial" w:cs="Arial" w:eastAsia="Arial" w:hAnsi="Arial"/>
                <w:sz w:val="18"/>
                <w:szCs w:val="18"/>
                <w:color w:val="auto"/>
              </w:rPr>
              <w:t>Benefits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111.</w:t>
            </w:r>
          </w:p>
        </w:tc>
        <w:tc>
          <w:tcPr>
            <w:tcW w:w="1002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112.</w:t>
            </w:r>
          </w:p>
        </w:tc>
        <w:tc>
          <w:tcPr>
            <w:tcW w:w="10020" w:type="dxa"/>
            <w:vAlign w:val="bottom"/>
          </w:tcPr>
          <w:p>
            <w:pPr>
              <w:ind w:left="220"/>
              <w:spacing w:after="0"/>
              <w:rPr>
                <w:sz w:val="20"/>
                <w:szCs w:val="20"/>
                <w:color w:val="auto"/>
              </w:rPr>
            </w:pPr>
            <w:r>
              <w:rPr>
                <w:rFonts w:ascii="Arial" w:cs="Arial" w:eastAsia="Arial" w:hAnsi="Arial"/>
                <w:sz w:val="18"/>
                <w:szCs w:val="18"/>
                <w:color w:val="auto"/>
              </w:rPr>
              <w:t>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113.</w:t>
            </w:r>
          </w:p>
        </w:tc>
        <w:tc>
          <w:tcPr>
            <w:tcW w:w="10020" w:type="dxa"/>
            <w:vAlign w:val="bottom"/>
          </w:tcPr>
          <w:p>
            <w:pPr>
              <w:ind w:left="220"/>
              <w:spacing w:after="0"/>
              <w:rPr>
                <w:sz w:val="20"/>
                <w:szCs w:val="20"/>
                <w:color w:val="auto"/>
              </w:rPr>
            </w:pPr>
            <w:r>
              <w:rPr>
                <w:rFonts w:ascii="Arial" w:cs="Arial" w:eastAsia="Arial" w:hAnsi="Arial"/>
                <w:sz w:val="18"/>
                <w:szCs w:val="18"/>
                <w:color w:val="auto"/>
              </w:rPr>
              <w:t>Submission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6"/>
        </w:trPr>
        <w:tc>
          <w:tcPr>
            <w:tcW w:w="112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5"/>
              </w:rPr>
              <w:t>ARTICLE TWO</w:t>
            </w:r>
          </w:p>
        </w:tc>
        <w:tc>
          <w:tcPr>
            <w:tcW w:w="28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0"/>
              </w:rPr>
              <w:t>SECURITIES FORMS</w:t>
            </w:r>
          </w:p>
        </w:tc>
        <w:tc>
          <w:tcPr>
            <w:tcW w:w="28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Section 201.</w:t>
            </w:r>
          </w:p>
        </w:tc>
        <w:tc>
          <w:tcPr>
            <w:tcW w:w="10020" w:type="dxa"/>
            <w:vAlign w:val="bottom"/>
          </w:tcPr>
          <w:p>
            <w:pPr>
              <w:ind w:left="220"/>
              <w:spacing w:after="0"/>
              <w:rPr>
                <w:sz w:val="20"/>
                <w:szCs w:val="20"/>
                <w:color w:val="auto"/>
              </w:rPr>
            </w:pPr>
            <w:r>
              <w:rPr>
                <w:rFonts w:ascii="Arial" w:cs="Arial" w:eastAsia="Arial" w:hAnsi="Arial"/>
                <w:sz w:val="18"/>
                <w:szCs w:val="18"/>
                <w:color w:val="auto"/>
              </w:rPr>
              <w:t>Forms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202.</w:t>
            </w:r>
          </w:p>
        </w:tc>
        <w:tc>
          <w:tcPr>
            <w:tcW w:w="10020" w:type="dxa"/>
            <w:vAlign w:val="bottom"/>
          </w:tcPr>
          <w:p>
            <w:pPr>
              <w:ind w:left="220"/>
              <w:spacing w:after="0"/>
              <w:rPr>
                <w:sz w:val="20"/>
                <w:szCs w:val="20"/>
                <w:color w:val="auto"/>
              </w:rPr>
            </w:pPr>
            <w:r>
              <w:rPr>
                <w:rFonts w:ascii="Arial" w:cs="Arial" w:eastAsia="Arial" w:hAnsi="Arial"/>
                <w:sz w:val="18"/>
                <w:szCs w:val="18"/>
                <w:color w:val="auto"/>
              </w:rPr>
              <w:t>Form of Trustee’s Certificate of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203.</w:t>
            </w:r>
          </w:p>
        </w:tc>
        <w:tc>
          <w:tcPr>
            <w:tcW w:w="10020" w:type="dxa"/>
            <w:vAlign w:val="bottom"/>
          </w:tcPr>
          <w:p>
            <w:pPr>
              <w:ind w:left="220"/>
              <w:spacing w:after="0"/>
              <w:rPr>
                <w:sz w:val="20"/>
                <w:szCs w:val="20"/>
                <w:color w:val="auto"/>
              </w:rPr>
            </w:pPr>
            <w:r>
              <w:rPr>
                <w:rFonts w:ascii="Arial" w:cs="Arial" w:eastAsia="Arial" w:hAnsi="Arial"/>
                <w:sz w:val="18"/>
                <w:szCs w:val="18"/>
                <w:color w:val="auto"/>
              </w:rPr>
              <w:t>Securities Issuable in Global Form</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112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4"/>
              </w:rPr>
              <w:t>ARTICLE THREE</w:t>
            </w:r>
          </w:p>
        </w:tc>
        <w:tc>
          <w:tcPr>
            <w:tcW w:w="28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2"/>
              </w:rPr>
              <w:t>THE SECURITIES</w:t>
            </w:r>
          </w:p>
        </w:tc>
        <w:tc>
          <w:tcPr>
            <w:tcW w:w="28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Section 301.</w:t>
            </w:r>
          </w:p>
        </w:tc>
        <w:tc>
          <w:tcPr>
            <w:tcW w:w="10020" w:type="dxa"/>
            <w:vAlign w:val="bottom"/>
          </w:tcPr>
          <w:p>
            <w:pPr>
              <w:ind w:left="220"/>
              <w:spacing w:after="0"/>
              <w:rPr>
                <w:sz w:val="20"/>
                <w:szCs w:val="20"/>
                <w:color w:val="auto"/>
              </w:rPr>
            </w:pPr>
            <w:r>
              <w:rPr>
                <w:rFonts w:ascii="Arial" w:cs="Arial" w:eastAsia="Arial" w:hAnsi="Arial"/>
                <w:sz w:val="18"/>
                <w:szCs w:val="18"/>
                <w:color w:val="auto"/>
              </w:rPr>
              <w:t>Amount Unlimited; Issuable in Series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302.</w:t>
            </w:r>
          </w:p>
        </w:tc>
        <w:tc>
          <w:tcPr>
            <w:tcW w:w="10020" w:type="dxa"/>
            <w:vAlign w:val="bottom"/>
          </w:tcPr>
          <w:p>
            <w:pPr>
              <w:ind w:left="220"/>
              <w:spacing w:after="0"/>
              <w:rPr>
                <w:sz w:val="20"/>
                <w:szCs w:val="20"/>
                <w:color w:val="auto"/>
              </w:rPr>
            </w:pPr>
            <w:r>
              <w:rPr>
                <w:rFonts w:ascii="Arial" w:cs="Arial" w:eastAsia="Arial" w:hAnsi="Arial"/>
                <w:sz w:val="18"/>
                <w:szCs w:val="18"/>
                <w:color w:val="auto"/>
              </w:rPr>
              <w:t>Denominations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303.</w:t>
            </w:r>
          </w:p>
        </w:tc>
        <w:tc>
          <w:tcPr>
            <w:tcW w:w="10020" w:type="dxa"/>
            <w:vAlign w:val="bottom"/>
          </w:tcPr>
          <w:p>
            <w:pPr>
              <w:ind w:left="220"/>
              <w:spacing w:after="0"/>
              <w:rPr>
                <w:sz w:val="20"/>
                <w:szCs w:val="20"/>
                <w:color w:val="auto"/>
              </w:rPr>
            </w:pPr>
            <w:r>
              <w:rPr>
                <w:rFonts w:ascii="Arial" w:cs="Arial" w:eastAsia="Arial" w:hAnsi="Arial"/>
                <w:sz w:val="18"/>
                <w:szCs w:val="18"/>
                <w:color w:val="auto"/>
              </w:rPr>
              <w:t>Execution, Authentication, Delivery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304.</w:t>
            </w:r>
          </w:p>
        </w:tc>
        <w:tc>
          <w:tcPr>
            <w:tcW w:w="10020" w:type="dxa"/>
            <w:vAlign w:val="bottom"/>
          </w:tcPr>
          <w:p>
            <w:pPr>
              <w:ind w:left="220"/>
              <w:spacing w:after="0"/>
              <w:rPr>
                <w:sz w:val="20"/>
                <w:szCs w:val="20"/>
                <w:color w:val="auto"/>
              </w:rPr>
            </w:pPr>
            <w:r>
              <w:rPr>
                <w:rFonts w:ascii="Arial" w:cs="Arial" w:eastAsia="Arial" w:hAnsi="Arial"/>
                <w:sz w:val="18"/>
                <w:szCs w:val="18"/>
                <w:color w:val="auto"/>
              </w:rPr>
              <w:t>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305.</w:t>
            </w:r>
          </w:p>
        </w:tc>
        <w:tc>
          <w:tcPr>
            <w:tcW w:w="10020" w:type="dxa"/>
            <w:vAlign w:val="bottom"/>
          </w:tcPr>
          <w:p>
            <w:pPr>
              <w:ind w:left="220"/>
              <w:spacing w:after="0"/>
              <w:rPr>
                <w:sz w:val="20"/>
                <w:szCs w:val="20"/>
                <w:color w:val="auto"/>
              </w:rPr>
            </w:pPr>
            <w:r>
              <w:rPr>
                <w:rFonts w:ascii="Arial" w:cs="Arial" w:eastAsia="Arial" w:hAnsi="Arial"/>
                <w:sz w:val="18"/>
                <w:szCs w:val="18"/>
                <w:color w:val="auto"/>
              </w:rPr>
              <w:t>Registration, Registration of 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306.</w:t>
            </w:r>
          </w:p>
        </w:tc>
        <w:tc>
          <w:tcPr>
            <w:tcW w:w="10020" w:type="dxa"/>
            <w:vAlign w:val="bottom"/>
          </w:tcPr>
          <w:p>
            <w:pPr>
              <w:ind w:left="220"/>
              <w:spacing w:after="0"/>
              <w:rPr>
                <w:sz w:val="20"/>
                <w:szCs w:val="20"/>
                <w:color w:val="auto"/>
              </w:rPr>
            </w:pPr>
            <w:r>
              <w:rPr>
                <w:rFonts w:ascii="Arial" w:cs="Arial" w:eastAsia="Arial" w:hAnsi="Arial"/>
                <w:sz w:val="18"/>
                <w:szCs w:val="18"/>
                <w:color w:val="auto"/>
              </w:rPr>
              <w:t>Mutilated, Destroyed, Lost and Stolen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307.</w:t>
            </w:r>
          </w:p>
        </w:tc>
        <w:tc>
          <w:tcPr>
            <w:tcW w:w="10020" w:type="dxa"/>
            <w:vAlign w:val="bottom"/>
          </w:tcPr>
          <w:p>
            <w:pPr>
              <w:ind w:left="220"/>
              <w:spacing w:after="0"/>
              <w:rPr>
                <w:sz w:val="20"/>
                <w:szCs w:val="20"/>
                <w:color w:val="auto"/>
              </w:rPr>
            </w:pPr>
            <w:r>
              <w:rPr>
                <w:rFonts w:ascii="Arial" w:cs="Arial" w:eastAsia="Arial" w:hAnsi="Arial"/>
                <w:sz w:val="18"/>
                <w:szCs w:val="18"/>
                <w:color w:val="auto"/>
              </w:rPr>
              <w:t>Payment of Interest; Interest Rights Preserved; Optional Interest Reset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308.</w:t>
            </w:r>
          </w:p>
        </w:tc>
        <w:tc>
          <w:tcPr>
            <w:tcW w:w="10020" w:type="dxa"/>
            <w:vAlign w:val="bottom"/>
          </w:tcPr>
          <w:p>
            <w:pPr>
              <w:ind w:left="220"/>
              <w:spacing w:after="0"/>
              <w:rPr>
                <w:sz w:val="20"/>
                <w:szCs w:val="20"/>
                <w:color w:val="auto"/>
              </w:rPr>
            </w:pPr>
            <w:r>
              <w:rPr>
                <w:rFonts w:ascii="Arial" w:cs="Arial" w:eastAsia="Arial" w:hAnsi="Arial"/>
                <w:sz w:val="18"/>
                <w:szCs w:val="18"/>
                <w:color w:val="auto"/>
              </w:rPr>
              <w:t>Optional Extension of Maturity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309.</w:t>
            </w:r>
          </w:p>
        </w:tc>
        <w:tc>
          <w:tcPr>
            <w:tcW w:w="10020" w:type="dxa"/>
            <w:vAlign w:val="bottom"/>
          </w:tcPr>
          <w:p>
            <w:pPr>
              <w:ind w:left="220"/>
              <w:spacing w:after="0"/>
              <w:rPr>
                <w:sz w:val="20"/>
                <w:szCs w:val="20"/>
                <w:color w:val="auto"/>
              </w:rPr>
            </w:pPr>
            <w:r>
              <w:rPr>
                <w:rFonts w:ascii="Arial" w:cs="Arial" w:eastAsia="Arial" w:hAnsi="Arial"/>
                <w:sz w:val="18"/>
                <w:szCs w:val="18"/>
                <w:color w:val="auto"/>
              </w:rPr>
              <w:t>Persons Deemed Owners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310.</w:t>
            </w:r>
          </w:p>
        </w:tc>
        <w:tc>
          <w:tcPr>
            <w:tcW w:w="1002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311.</w:t>
            </w:r>
          </w:p>
        </w:tc>
        <w:tc>
          <w:tcPr>
            <w:tcW w:w="10020" w:type="dxa"/>
            <w:vAlign w:val="bottom"/>
          </w:tcPr>
          <w:p>
            <w:pPr>
              <w:ind w:left="220"/>
              <w:spacing w:after="0"/>
              <w:rPr>
                <w:sz w:val="20"/>
                <w:szCs w:val="20"/>
                <w:color w:val="auto"/>
              </w:rPr>
            </w:pPr>
            <w:r>
              <w:rPr>
                <w:rFonts w:ascii="Arial" w:cs="Arial" w:eastAsia="Arial" w:hAnsi="Arial"/>
                <w:sz w:val="18"/>
                <w:szCs w:val="18"/>
                <w:color w:val="auto"/>
              </w:rPr>
              <w:t>Computation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120" w:type="dxa"/>
            <w:vAlign w:val="bottom"/>
          </w:tcPr>
          <w:p>
            <w:pPr>
              <w:spacing w:after="0"/>
              <w:rPr>
                <w:sz w:val="24"/>
                <w:szCs w:val="24"/>
                <w:color w:val="auto"/>
              </w:rPr>
            </w:pPr>
          </w:p>
        </w:tc>
        <w:tc>
          <w:tcPr>
            <w:tcW w:w="10020" w:type="dxa"/>
            <w:vAlign w:val="bottom"/>
          </w:tcPr>
          <w:p>
            <w:pPr>
              <w:ind w:left="45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Section 312.</w:t>
            </w:r>
          </w:p>
        </w:tc>
        <w:tc>
          <w:tcPr>
            <w:tcW w:w="10020" w:type="dxa"/>
            <w:vAlign w:val="bottom"/>
          </w:tcPr>
          <w:p>
            <w:pPr>
              <w:ind w:left="220"/>
              <w:spacing w:after="0"/>
              <w:rPr>
                <w:sz w:val="20"/>
                <w:szCs w:val="20"/>
                <w:color w:val="auto"/>
              </w:rPr>
            </w:pPr>
            <w:r>
              <w:rPr>
                <w:rFonts w:ascii="Arial" w:cs="Arial" w:eastAsia="Arial" w:hAnsi="Arial"/>
                <w:sz w:val="18"/>
                <w:szCs w:val="18"/>
                <w:color w:val="auto"/>
              </w:rPr>
              <w:t>Currency and Manner of Payments in Respect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313.</w:t>
            </w:r>
          </w:p>
        </w:tc>
        <w:tc>
          <w:tcPr>
            <w:tcW w:w="10020" w:type="dxa"/>
            <w:vAlign w:val="bottom"/>
          </w:tcPr>
          <w:p>
            <w:pPr>
              <w:ind w:left="220"/>
              <w:spacing w:after="0"/>
              <w:rPr>
                <w:sz w:val="20"/>
                <w:szCs w:val="20"/>
                <w:color w:val="auto"/>
              </w:rPr>
            </w:pPr>
            <w:r>
              <w:rPr>
                <w:rFonts w:ascii="Arial" w:cs="Arial" w:eastAsia="Arial" w:hAnsi="Arial"/>
                <w:sz w:val="18"/>
                <w:szCs w:val="18"/>
                <w:color w:val="auto"/>
              </w:rPr>
              <w:t>Appointment and Resignation of Successor Exchange Rate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314.</w:t>
            </w:r>
          </w:p>
        </w:tc>
        <w:tc>
          <w:tcPr>
            <w:tcW w:w="10020" w:type="dxa"/>
            <w:vAlign w:val="bottom"/>
          </w:tcPr>
          <w:p>
            <w:pPr>
              <w:ind w:left="22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6"/>
        </w:trPr>
        <w:tc>
          <w:tcPr>
            <w:tcW w:w="112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3"/>
              </w:rPr>
              <w:t>ARTICLE FOUR</w:t>
            </w:r>
          </w:p>
        </w:tc>
        <w:tc>
          <w:tcPr>
            <w:tcW w:w="28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4"/>
              </w:rPr>
              <w:t>SATISFACTION AND DISCHARGE</w:t>
            </w:r>
          </w:p>
        </w:tc>
        <w:tc>
          <w:tcPr>
            <w:tcW w:w="28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Section 401.</w:t>
            </w:r>
          </w:p>
        </w:tc>
        <w:tc>
          <w:tcPr>
            <w:tcW w:w="10020" w:type="dxa"/>
            <w:vAlign w:val="bottom"/>
          </w:tcPr>
          <w:p>
            <w:pPr>
              <w:ind w:left="220"/>
              <w:spacing w:after="0"/>
              <w:rPr>
                <w:sz w:val="20"/>
                <w:szCs w:val="20"/>
                <w:color w:val="auto"/>
              </w:rPr>
            </w:pPr>
            <w:r>
              <w:rPr>
                <w:rFonts w:ascii="Arial" w:cs="Arial" w:eastAsia="Arial" w:hAnsi="Arial"/>
                <w:sz w:val="18"/>
                <w:szCs w:val="18"/>
                <w:color w:val="auto"/>
              </w:rPr>
              <w:t>Satisfaction and Discharge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402.</w:t>
            </w:r>
          </w:p>
        </w:tc>
        <w:tc>
          <w:tcPr>
            <w:tcW w:w="10020" w:type="dxa"/>
            <w:vAlign w:val="bottom"/>
          </w:tcPr>
          <w:p>
            <w:pPr>
              <w:ind w:left="220"/>
              <w:spacing w:after="0"/>
              <w:rPr>
                <w:sz w:val="20"/>
                <w:szCs w:val="20"/>
                <w:color w:val="auto"/>
              </w:rPr>
            </w:pPr>
            <w:r>
              <w:rPr>
                <w:rFonts w:ascii="Arial" w:cs="Arial" w:eastAsia="Arial" w:hAnsi="Arial"/>
                <w:sz w:val="18"/>
                <w:szCs w:val="18"/>
                <w:color w:val="auto"/>
              </w:rPr>
              <w:t>Application of Trust Funds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6"/>
        </w:trPr>
        <w:tc>
          <w:tcPr>
            <w:tcW w:w="112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5"/>
              </w:rPr>
              <w:t>ARTICLE FIVE</w:t>
            </w:r>
          </w:p>
        </w:tc>
        <w:tc>
          <w:tcPr>
            <w:tcW w:w="28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3"/>
              </w:rPr>
              <w:t>REMEDIES</w:t>
            </w:r>
          </w:p>
        </w:tc>
        <w:tc>
          <w:tcPr>
            <w:tcW w:w="28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Section 501.</w:t>
            </w:r>
          </w:p>
        </w:tc>
        <w:tc>
          <w:tcPr>
            <w:tcW w:w="100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502.</w:t>
            </w:r>
          </w:p>
        </w:tc>
        <w:tc>
          <w:tcPr>
            <w:tcW w:w="10020" w:type="dxa"/>
            <w:vAlign w:val="bottom"/>
          </w:tcPr>
          <w:p>
            <w:pPr>
              <w:ind w:left="220"/>
              <w:spacing w:after="0"/>
              <w:rPr>
                <w:sz w:val="20"/>
                <w:szCs w:val="20"/>
                <w:color w:val="auto"/>
              </w:rPr>
            </w:pPr>
            <w:r>
              <w:rPr>
                <w:rFonts w:ascii="Arial" w:cs="Arial" w:eastAsia="Arial" w:hAnsi="Arial"/>
                <w:sz w:val="18"/>
                <w:szCs w:val="18"/>
                <w:color w:val="auto"/>
              </w:rPr>
              <w:t>Acceleration of Maturity; Rescission and Annulment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503.</w:t>
            </w:r>
          </w:p>
        </w:tc>
        <w:tc>
          <w:tcPr>
            <w:tcW w:w="10020" w:type="dxa"/>
            <w:vAlign w:val="bottom"/>
          </w:tcPr>
          <w:p>
            <w:pPr>
              <w:ind w:left="2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504.</w:t>
            </w:r>
          </w:p>
        </w:tc>
        <w:tc>
          <w:tcPr>
            <w:tcW w:w="1002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505.</w:t>
            </w:r>
          </w:p>
        </w:tc>
        <w:tc>
          <w:tcPr>
            <w:tcW w:w="1002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506.</w:t>
            </w:r>
          </w:p>
        </w:tc>
        <w:tc>
          <w:tcPr>
            <w:tcW w:w="1002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507.</w:t>
            </w:r>
          </w:p>
        </w:tc>
        <w:tc>
          <w:tcPr>
            <w:tcW w:w="1002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508.</w:t>
            </w:r>
          </w:p>
        </w:tc>
        <w:tc>
          <w:tcPr>
            <w:tcW w:w="10020" w:type="dxa"/>
            <w:vAlign w:val="bottom"/>
          </w:tcPr>
          <w:p>
            <w:pPr>
              <w:ind w:left="2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509.</w:t>
            </w:r>
          </w:p>
        </w:tc>
        <w:tc>
          <w:tcPr>
            <w:tcW w:w="1002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510.</w:t>
            </w:r>
          </w:p>
        </w:tc>
        <w:tc>
          <w:tcPr>
            <w:tcW w:w="1002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511.</w:t>
            </w:r>
          </w:p>
        </w:tc>
        <w:tc>
          <w:tcPr>
            <w:tcW w:w="1002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512.</w:t>
            </w:r>
          </w:p>
        </w:tc>
        <w:tc>
          <w:tcPr>
            <w:tcW w:w="10020" w:type="dxa"/>
            <w:vAlign w:val="bottom"/>
          </w:tcPr>
          <w:p>
            <w:pPr>
              <w:ind w:left="220"/>
              <w:spacing w:after="0"/>
              <w:rPr>
                <w:sz w:val="20"/>
                <w:szCs w:val="20"/>
                <w:color w:val="auto"/>
              </w:rPr>
            </w:pPr>
            <w:r>
              <w:rPr>
                <w:rFonts w:ascii="Arial" w:cs="Arial" w:eastAsia="Arial" w:hAnsi="Arial"/>
                <w:sz w:val="18"/>
                <w:szCs w:val="18"/>
                <w:color w:val="auto"/>
              </w:rPr>
              <w:t>Control by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513.</w:t>
            </w:r>
          </w:p>
        </w:tc>
        <w:tc>
          <w:tcPr>
            <w:tcW w:w="1002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514.</w:t>
            </w:r>
          </w:p>
        </w:tc>
        <w:tc>
          <w:tcPr>
            <w:tcW w:w="10020" w:type="dxa"/>
            <w:vAlign w:val="bottom"/>
          </w:tcPr>
          <w:p>
            <w:pPr>
              <w:ind w:left="220"/>
              <w:spacing w:after="0"/>
              <w:rPr>
                <w:sz w:val="20"/>
                <w:szCs w:val="20"/>
                <w:color w:val="auto"/>
              </w:rPr>
            </w:pPr>
            <w:r>
              <w:rPr>
                <w:rFonts w:ascii="Arial" w:cs="Arial" w:eastAsia="Arial" w:hAnsi="Arial"/>
                <w:sz w:val="18"/>
                <w:szCs w:val="18"/>
                <w:color w:val="auto"/>
              </w:rPr>
              <w:t>Waiver of Stay or Extension Laws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12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6"/>
              </w:rPr>
              <w:t>ARTICLE SIX</w:t>
            </w:r>
          </w:p>
        </w:tc>
        <w:tc>
          <w:tcPr>
            <w:tcW w:w="28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2"/>
              </w:rPr>
              <w:t>THE TRUSTEE</w:t>
            </w:r>
          </w:p>
        </w:tc>
        <w:tc>
          <w:tcPr>
            <w:tcW w:w="280" w:type="dxa"/>
            <w:vAlign w:val="bottom"/>
          </w:tcPr>
          <w:p>
            <w:pPr>
              <w:spacing w:after="0"/>
              <w:rPr>
                <w:sz w:val="19"/>
                <w:szCs w:val="19"/>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Section 601.</w:t>
            </w:r>
          </w:p>
        </w:tc>
        <w:tc>
          <w:tcPr>
            <w:tcW w:w="1002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602.</w:t>
            </w:r>
          </w:p>
        </w:tc>
        <w:tc>
          <w:tcPr>
            <w:tcW w:w="10020" w:type="dxa"/>
            <w:vAlign w:val="bottom"/>
          </w:tcPr>
          <w:p>
            <w:pPr>
              <w:ind w:left="220"/>
              <w:spacing w:after="0"/>
              <w:rPr>
                <w:sz w:val="20"/>
                <w:szCs w:val="20"/>
                <w:color w:val="auto"/>
              </w:rPr>
            </w:pPr>
            <w:r>
              <w:rPr>
                <w:rFonts w:ascii="Arial" w:cs="Arial" w:eastAsia="Arial" w:hAnsi="Arial"/>
                <w:sz w:val="18"/>
                <w:szCs w:val="18"/>
                <w:color w:val="auto"/>
              </w:rPr>
              <w:t>Certain 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603.</w:t>
            </w:r>
          </w:p>
        </w:tc>
        <w:tc>
          <w:tcPr>
            <w:tcW w:w="10020" w:type="dxa"/>
            <w:vAlign w:val="bottom"/>
          </w:tcPr>
          <w:p>
            <w:pPr>
              <w:ind w:left="220"/>
              <w:spacing w:after="0"/>
              <w:rPr>
                <w:sz w:val="20"/>
                <w:szCs w:val="20"/>
                <w:color w:val="auto"/>
              </w:rPr>
            </w:pPr>
            <w:r>
              <w:rPr>
                <w:rFonts w:ascii="Arial" w:cs="Arial" w:eastAsia="Arial" w:hAnsi="Arial"/>
                <w:sz w:val="18"/>
                <w:szCs w:val="18"/>
                <w:color w:val="auto"/>
              </w:rPr>
              <w:t>Not Responsible for Recitals or Issuance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604.</w:t>
            </w:r>
          </w:p>
        </w:tc>
        <w:tc>
          <w:tcPr>
            <w:tcW w:w="10020" w:type="dxa"/>
            <w:vAlign w:val="bottom"/>
          </w:tcPr>
          <w:p>
            <w:pPr>
              <w:ind w:left="220"/>
              <w:spacing w:after="0"/>
              <w:rPr>
                <w:sz w:val="20"/>
                <w:szCs w:val="20"/>
                <w:color w:val="auto"/>
              </w:rPr>
            </w:pPr>
            <w:r>
              <w:rPr>
                <w:rFonts w:ascii="Arial" w:cs="Arial" w:eastAsia="Arial" w:hAnsi="Arial"/>
                <w:sz w:val="18"/>
                <w:szCs w:val="18"/>
                <w:color w:val="auto"/>
              </w:rPr>
              <w:t>May Hold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605.</w:t>
            </w:r>
          </w:p>
        </w:tc>
        <w:tc>
          <w:tcPr>
            <w:tcW w:w="10020" w:type="dxa"/>
            <w:vAlign w:val="bottom"/>
          </w:tcPr>
          <w:p>
            <w:pPr>
              <w:ind w:left="220"/>
              <w:spacing w:after="0"/>
              <w:rPr>
                <w:sz w:val="20"/>
                <w:szCs w:val="20"/>
                <w:color w:val="auto"/>
              </w:rPr>
            </w:pPr>
            <w:r>
              <w:rPr>
                <w:rFonts w:ascii="Arial" w:cs="Arial" w:eastAsia="Arial" w:hAnsi="Arial"/>
                <w:sz w:val="18"/>
                <w:szCs w:val="18"/>
                <w:color w:val="auto"/>
              </w:rPr>
              <w:t>Money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606.</w:t>
            </w:r>
          </w:p>
        </w:tc>
        <w:tc>
          <w:tcPr>
            <w:tcW w:w="10020" w:type="dxa"/>
            <w:vAlign w:val="bottom"/>
          </w:tcPr>
          <w:p>
            <w:pPr>
              <w:ind w:left="220"/>
              <w:spacing w:after="0"/>
              <w:rPr>
                <w:sz w:val="20"/>
                <w:szCs w:val="20"/>
                <w:color w:val="auto"/>
              </w:rPr>
            </w:pPr>
            <w:r>
              <w:rPr>
                <w:rFonts w:ascii="Arial" w:cs="Arial" w:eastAsia="Arial" w:hAnsi="Arial"/>
                <w:sz w:val="18"/>
                <w:szCs w:val="18"/>
                <w:color w:val="auto"/>
              </w:rPr>
              <w:t>Compensation and Reimbursement and Indemnification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607.</w:t>
            </w:r>
          </w:p>
        </w:tc>
        <w:tc>
          <w:tcPr>
            <w:tcW w:w="10020" w:type="dxa"/>
            <w:vAlign w:val="bottom"/>
          </w:tcPr>
          <w:p>
            <w:pPr>
              <w:ind w:left="220"/>
              <w:spacing w:after="0"/>
              <w:rPr>
                <w:sz w:val="20"/>
                <w:szCs w:val="20"/>
                <w:color w:val="auto"/>
              </w:rPr>
            </w:pPr>
            <w:r>
              <w:rPr>
                <w:rFonts w:ascii="Arial" w:cs="Arial" w:eastAsia="Arial" w:hAnsi="Arial"/>
                <w:sz w:val="18"/>
                <w:szCs w:val="18"/>
                <w:color w:val="auto"/>
              </w:rPr>
              <w:t>Corporate Trustee Required; Eligibility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608.</w:t>
            </w:r>
          </w:p>
        </w:tc>
        <w:tc>
          <w:tcPr>
            <w:tcW w:w="10020" w:type="dxa"/>
            <w:vAlign w:val="bottom"/>
          </w:tcPr>
          <w:p>
            <w:pPr>
              <w:ind w:left="220"/>
              <w:spacing w:after="0"/>
              <w:rPr>
                <w:sz w:val="20"/>
                <w:szCs w:val="20"/>
                <w:color w:val="auto"/>
              </w:rPr>
            </w:pPr>
            <w:r>
              <w:rPr>
                <w:rFonts w:ascii="Arial" w:cs="Arial" w:eastAsia="Arial" w:hAnsi="Arial"/>
                <w:sz w:val="18"/>
                <w:szCs w:val="18"/>
                <w:color w:val="auto"/>
              </w:rPr>
              <w:t>Disqualification; Conflicting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1120" w:type="dxa"/>
            <w:vAlign w:val="bottom"/>
          </w:tcPr>
          <w:p>
            <w:pPr>
              <w:spacing w:after="0"/>
              <w:rPr>
                <w:sz w:val="24"/>
                <w:szCs w:val="24"/>
                <w:color w:val="auto"/>
              </w:rPr>
            </w:pPr>
          </w:p>
        </w:tc>
        <w:tc>
          <w:tcPr>
            <w:tcW w:w="10020" w:type="dxa"/>
            <w:vAlign w:val="bottom"/>
          </w:tcPr>
          <w:p>
            <w:pPr>
              <w:ind w:left="448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9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60" w:type="dxa"/>
            <w:vAlign w:val="bottom"/>
          </w:tcPr>
          <w:p>
            <w:pPr>
              <w:spacing w:after="0"/>
              <w:rPr>
                <w:sz w:val="20"/>
                <w:szCs w:val="20"/>
                <w:color w:val="auto"/>
              </w:rPr>
            </w:pPr>
            <w:r>
              <w:rPr>
                <w:rFonts w:ascii="Arial" w:cs="Arial" w:eastAsia="Arial" w:hAnsi="Arial"/>
                <w:sz w:val="18"/>
                <w:szCs w:val="18"/>
                <w:color w:val="auto"/>
              </w:rPr>
              <w:t>Section 609.</w:t>
            </w:r>
          </w:p>
        </w:tc>
        <w:tc>
          <w:tcPr>
            <w:tcW w:w="998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610.</w:t>
            </w:r>
          </w:p>
        </w:tc>
        <w:tc>
          <w:tcPr>
            <w:tcW w:w="998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611.</w:t>
            </w:r>
          </w:p>
        </w:tc>
        <w:tc>
          <w:tcPr>
            <w:tcW w:w="998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612.</w:t>
            </w:r>
          </w:p>
        </w:tc>
        <w:tc>
          <w:tcPr>
            <w:tcW w:w="9980" w:type="dxa"/>
            <w:vAlign w:val="bottom"/>
          </w:tcPr>
          <w:p>
            <w:pPr>
              <w:ind w:left="180"/>
              <w:spacing w:after="0"/>
              <w:rPr>
                <w:sz w:val="20"/>
                <w:szCs w:val="20"/>
                <w:color w:val="auto"/>
              </w:rPr>
            </w:pPr>
            <w:r>
              <w:rPr>
                <w:rFonts w:ascii="Arial" w:cs="Arial" w:eastAsia="Arial" w:hAnsi="Arial"/>
                <w:sz w:val="18"/>
                <w:szCs w:val="18"/>
                <w:color w:val="auto"/>
              </w:rPr>
              <w:t>Appointment of Authenticating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1160" w:type="dxa"/>
            <w:vAlign w:val="bottom"/>
          </w:tcPr>
          <w:p>
            <w:pPr>
              <w:spacing w:after="0"/>
              <w:rPr>
                <w:sz w:val="24"/>
                <w:szCs w:val="24"/>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4"/>
              </w:rPr>
              <w:t>ARTICLE SEVEN</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3"/>
              </w:rPr>
              <w:t>HOLDERS’ LISTS AND REPORTS BY TRUSTEE AND COMPANY</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701.</w:t>
            </w:r>
          </w:p>
        </w:tc>
        <w:tc>
          <w:tcPr>
            <w:tcW w:w="9980" w:type="dxa"/>
            <w:vAlign w:val="bottom"/>
          </w:tcPr>
          <w:p>
            <w:pPr>
              <w:ind w:left="180"/>
              <w:spacing w:after="0"/>
              <w:rPr>
                <w:sz w:val="20"/>
                <w:szCs w:val="20"/>
                <w:color w:val="auto"/>
              </w:rPr>
            </w:pPr>
            <w:r>
              <w:rPr>
                <w:rFonts w:ascii="Arial" w:cs="Arial" w:eastAsia="Arial" w:hAnsi="Arial"/>
                <w:sz w:val="18"/>
                <w:szCs w:val="18"/>
                <w:color w:val="auto"/>
              </w:rPr>
              <w:t>Disclosure of Names and Addresses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702.</w:t>
            </w:r>
          </w:p>
        </w:tc>
        <w:tc>
          <w:tcPr>
            <w:tcW w:w="998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to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703.</w:t>
            </w:r>
          </w:p>
        </w:tc>
        <w:tc>
          <w:tcPr>
            <w:tcW w:w="9980" w:type="dxa"/>
            <w:vAlign w:val="bottom"/>
          </w:tcPr>
          <w:p>
            <w:pPr>
              <w:ind w:left="180"/>
              <w:spacing w:after="0"/>
              <w:rPr>
                <w:sz w:val="20"/>
                <w:szCs w:val="20"/>
                <w:color w:val="auto"/>
              </w:rPr>
            </w:pPr>
            <w:r>
              <w:rPr>
                <w:rFonts w:ascii="Arial" w:cs="Arial" w:eastAsia="Arial" w:hAnsi="Arial"/>
                <w:sz w:val="18"/>
                <w:szCs w:val="18"/>
                <w:color w:val="auto"/>
              </w:rPr>
              <w:t>Reports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704.</w:t>
            </w:r>
          </w:p>
        </w:tc>
        <w:tc>
          <w:tcPr>
            <w:tcW w:w="9980" w:type="dxa"/>
            <w:vAlign w:val="bottom"/>
          </w:tcPr>
          <w:p>
            <w:pPr>
              <w:ind w:left="180"/>
              <w:spacing w:after="0"/>
              <w:rPr>
                <w:sz w:val="20"/>
                <w:szCs w:val="20"/>
                <w:color w:val="auto"/>
              </w:rPr>
            </w:pPr>
            <w:r>
              <w:rPr>
                <w:rFonts w:ascii="Arial" w:cs="Arial" w:eastAsia="Arial" w:hAnsi="Arial"/>
                <w:sz w:val="18"/>
                <w:szCs w:val="18"/>
                <w:color w:val="auto"/>
              </w:rPr>
              <w:t>Reports by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705.</w:t>
            </w:r>
          </w:p>
        </w:tc>
        <w:tc>
          <w:tcPr>
            <w:tcW w:w="9980" w:type="dxa"/>
            <w:vAlign w:val="bottom"/>
          </w:tcPr>
          <w:p>
            <w:pPr>
              <w:ind w:left="180"/>
              <w:spacing w:after="0"/>
              <w:rPr>
                <w:sz w:val="20"/>
                <w:szCs w:val="20"/>
                <w:color w:val="auto"/>
              </w:rPr>
            </w:pPr>
            <w:r>
              <w:rPr>
                <w:rFonts w:ascii="Arial" w:cs="Arial" w:eastAsia="Arial" w:hAnsi="Arial"/>
                <w:sz w:val="18"/>
                <w:szCs w:val="18"/>
                <w:color w:val="auto"/>
              </w:rPr>
              <w:t>Calculation of Original Issue Discount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6"/>
        </w:trPr>
        <w:tc>
          <w:tcPr>
            <w:tcW w:w="1160" w:type="dxa"/>
            <w:vAlign w:val="bottom"/>
          </w:tcPr>
          <w:p>
            <w:pPr>
              <w:spacing w:after="0"/>
              <w:rPr>
                <w:sz w:val="24"/>
                <w:szCs w:val="24"/>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5"/>
              </w:rPr>
              <w:t>ARTICLE EIGHT</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3"/>
              </w:rPr>
              <w:t>CONSOLIDATION, MERGER, CONVEYANCE OR TRANSFER</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801.</w:t>
            </w:r>
          </w:p>
        </w:tc>
        <w:tc>
          <w:tcPr>
            <w:tcW w:w="9980" w:type="dxa"/>
            <w:vAlign w:val="bottom"/>
          </w:tcPr>
          <w:p>
            <w:pPr>
              <w:ind w:left="180"/>
              <w:spacing w:after="0"/>
              <w:rPr>
                <w:sz w:val="20"/>
                <w:szCs w:val="20"/>
                <w:color w:val="auto"/>
              </w:rPr>
            </w:pPr>
            <w:r>
              <w:rPr>
                <w:rFonts w:ascii="Arial" w:cs="Arial" w:eastAsia="Arial" w:hAnsi="Arial"/>
                <w:sz w:val="18"/>
                <w:szCs w:val="18"/>
                <w:color w:val="auto"/>
              </w:rPr>
              <w:t>Company May Consolidate, Etc., Only on 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802.</w:t>
            </w:r>
          </w:p>
        </w:tc>
        <w:tc>
          <w:tcPr>
            <w:tcW w:w="9980" w:type="dxa"/>
            <w:vAlign w:val="bottom"/>
          </w:tcPr>
          <w:p>
            <w:pPr>
              <w:ind w:left="180"/>
              <w:spacing w:after="0"/>
              <w:rPr>
                <w:sz w:val="20"/>
                <w:szCs w:val="20"/>
                <w:color w:val="auto"/>
              </w:rPr>
            </w:pPr>
            <w:r>
              <w:rPr>
                <w:rFonts w:ascii="Arial" w:cs="Arial" w:eastAsia="Arial" w:hAnsi="Arial"/>
                <w:sz w:val="18"/>
                <w:szCs w:val="18"/>
                <w:color w:val="auto"/>
              </w:rPr>
              <w:t>Successor Person Substituted</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26"/>
        </w:trPr>
        <w:tc>
          <w:tcPr>
            <w:tcW w:w="1160" w:type="dxa"/>
            <w:vAlign w:val="bottom"/>
          </w:tcPr>
          <w:p>
            <w:pPr>
              <w:spacing w:after="0"/>
              <w:rPr>
                <w:sz w:val="24"/>
                <w:szCs w:val="24"/>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5"/>
              </w:rPr>
              <w:t>ARTICLE NINE</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3"/>
              </w:rPr>
              <w:t>SUPPLEMENTAL INDENTURES</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901.</w:t>
            </w:r>
          </w:p>
        </w:tc>
        <w:tc>
          <w:tcPr>
            <w:tcW w:w="9980" w:type="dxa"/>
            <w:vAlign w:val="bottom"/>
          </w:tcPr>
          <w:p>
            <w:pPr>
              <w:ind w:left="180"/>
              <w:spacing w:after="0"/>
              <w:rPr>
                <w:sz w:val="20"/>
                <w:szCs w:val="20"/>
                <w:color w:val="auto"/>
              </w:rPr>
            </w:pPr>
            <w:r>
              <w:rPr>
                <w:rFonts w:ascii="Arial" w:cs="Arial" w:eastAsia="Arial" w:hAnsi="Arial"/>
                <w:sz w:val="18"/>
                <w:szCs w:val="18"/>
                <w:color w:val="auto"/>
              </w:rPr>
              <w:t>Supplemental Indentures Without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902.</w:t>
            </w:r>
          </w:p>
        </w:tc>
        <w:tc>
          <w:tcPr>
            <w:tcW w:w="9980" w:type="dxa"/>
            <w:vAlign w:val="bottom"/>
          </w:tcPr>
          <w:p>
            <w:pPr>
              <w:ind w:left="180"/>
              <w:spacing w:after="0"/>
              <w:rPr>
                <w:sz w:val="20"/>
                <w:szCs w:val="20"/>
                <w:color w:val="auto"/>
              </w:rPr>
            </w:pPr>
            <w:r>
              <w:rPr>
                <w:rFonts w:ascii="Arial" w:cs="Arial" w:eastAsia="Arial" w:hAnsi="Arial"/>
                <w:sz w:val="18"/>
                <w:szCs w:val="18"/>
                <w:color w:val="auto"/>
              </w:rPr>
              <w:t>Supplemental Indentures with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903.</w:t>
            </w:r>
          </w:p>
        </w:tc>
        <w:tc>
          <w:tcPr>
            <w:tcW w:w="9980" w:type="dxa"/>
            <w:vAlign w:val="bottom"/>
          </w:tcPr>
          <w:p>
            <w:pPr>
              <w:ind w:left="180"/>
              <w:spacing w:after="0"/>
              <w:rPr>
                <w:sz w:val="20"/>
                <w:szCs w:val="20"/>
                <w:color w:val="auto"/>
              </w:rPr>
            </w:pPr>
            <w:r>
              <w:rPr>
                <w:rFonts w:ascii="Arial" w:cs="Arial" w:eastAsia="Arial" w:hAnsi="Arial"/>
                <w:sz w:val="18"/>
                <w:szCs w:val="18"/>
                <w:color w:val="auto"/>
              </w:rPr>
              <w:t>Execution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904.</w:t>
            </w:r>
          </w:p>
        </w:tc>
        <w:tc>
          <w:tcPr>
            <w:tcW w:w="9980" w:type="dxa"/>
            <w:vAlign w:val="bottom"/>
          </w:tcPr>
          <w:p>
            <w:pPr>
              <w:ind w:left="180"/>
              <w:spacing w:after="0"/>
              <w:rPr>
                <w:sz w:val="20"/>
                <w:szCs w:val="20"/>
                <w:color w:val="auto"/>
              </w:rPr>
            </w:pPr>
            <w:r>
              <w:rPr>
                <w:rFonts w:ascii="Arial" w:cs="Arial" w:eastAsia="Arial" w:hAnsi="Arial"/>
                <w:sz w:val="18"/>
                <w:szCs w:val="18"/>
                <w:color w:val="auto"/>
              </w:rPr>
              <w:t>Effect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905.</w:t>
            </w:r>
          </w:p>
        </w:tc>
        <w:tc>
          <w:tcPr>
            <w:tcW w:w="9980" w:type="dxa"/>
            <w:vAlign w:val="bottom"/>
          </w:tcPr>
          <w:p>
            <w:pPr>
              <w:ind w:left="180"/>
              <w:spacing w:after="0"/>
              <w:rPr>
                <w:sz w:val="20"/>
                <w:szCs w:val="20"/>
                <w:color w:val="auto"/>
              </w:rPr>
            </w:pPr>
            <w:r>
              <w:rPr>
                <w:rFonts w:ascii="Arial" w:cs="Arial" w:eastAsia="Arial" w:hAnsi="Arial"/>
                <w:sz w:val="18"/>
                <w:szCs w:val="18"/>
                <w:color w:val="auto"/>
              </w:rPr>
              <w:t>Conformity with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906.</w:t>
            </w:r>
          </w:p>
        </w:tc>
        <w:tc>
          <w:tcPr>
            <w:tcW w:w="9980" w:type="dxa"/>
            <w:vAlign w:val="bottom"/>
          </w:tcPr>
          <w:p>
            <w:pPr>
              <w:ind w:left="180"/>
              <w:spacing w:after="0"/>
              <w:rPr>
                <w:sz w:val="20"/>
                <w:szCs w:val="20"/>
                <w:color w:val="auto"/>
              </w:rPr>
            </w:pPr>
            <w:r>
              <w:rPr>
                <w:rFonts w:ascii="Arial" w:cs="Arial" w:eastAsia="Arial" w:hAnsi="Arial"/>
                <w:sz w:val="18"/>
                <w:szCs w:val="18"/>
                <w:color w:val="auto"/>
              </w:rPr>
              <w:t>Reference in Securities to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26"/>
        </w:trPr>
        <w:tc>
          <w:tcPr>
            <w:tcW w:w="1160" w:type="dxa"/>
            <w:vAlign w:val="bottom"/>
          </w:tcPr>
          <w:p>
            <w:pPr>
              <w:spacing w:after="0"/>
              <w:rPr>
                <w:sz w:val="24"/>
                <w:szCs w:val="24"/>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5"/>
              </w:rPr>
              <w:t>ARTICLE TEN</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4"/>
              </w:rPr>
              <w:t>COVENANTS</w:t>
            </w:r>
          </w:p>
        </w:tc>
        <w:tc>
          <w:tcPr>
            <w:tcW w:w="280" w:type="dxa"/>
            <w:vAlign w:val="bottom"/>
          </w:tcPr>
          <w:p>
            <w:pPr>
              <w:spacing w:after="0"/>
              <w:rPr>
                <w:sz w:val="19"/>
                <w:szCs w:val="19"/>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18"/>
                <w:szCs w:val="18"/>
                <w:color w:val="auto"/>
              </w:rPr>
              <w:t>Section 1001.</w:t>
            </w:r>
          </w:p>
        </w:tc>
        <w:tc>
          <w:tcPr>
            <w:tcW w:w="9980" w:type="dxa"/>
            <w:vAlign w:val="bottom"/>
          </w:tcPr>
          <w:p>
            <w:pPr>
              <w:ind w:left="180"/>
              <w:spacing w:after="0"/>
              <w:rPr>
                <w:sz w:val="20"/>
                <w:szCs w:val="20"/>
                <w:color w:val="auto"/>
              </w:rPr>
            </w:pPr>
            <w:r>
              <w:rPr>
                <w:rFonts w:ascii="Arial" w:cs="Arial" w:eastAsia="Arial" w:hAnsi="Arial"/>
                <w:sz w:val="18"/>
                <w:szCs w:val="18"/>
                <w:color w:val="auto"/>
              </w:rPr>
              <w:t>Payment of Principal, Premium, if any,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1002.</w:t>
            </w:r>
          </w:p>
        </w:tc>
        <w:tc>
          <w:tcPr>
            <w:tcW w:w="998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1003.</w:t>
            </w:r>
          </w:p>
        </w:tc>
        <w:tc>
          <w:tcPr>
            <w:tcW w:w="9980" w:type="dxa"/>
            <w:vAlign w:val="bottom"/>
          </w:tcPr>
          <w:p>
            <w:pPr>
              <w:ind w:left="180"/>
              <w:spacing w:after="0"/>
              <w:rPr>
                <w:sz w:val="20"/>
                <w:szCs w:val="20"/>
                <w:color w:val="auto"/>
              </w:rPr>
            </w:pPr>
            <w:r>
              <w:rPr>
                <w:rFonts w:ascii="Arial" w:cs="Arial" w:eastAsia="Arial" w:hAnsi="Arial"/>
                <w:sz w:val="18"/>
                <w:szCs w:val="18"/>
                <w:color w:val="auto"/>
              </w:rPr>
              <w:t>Money for Securities Payments to Be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1004.</w:t>
            </w:r>
          </w:p>
        </w:tc>
        <w:tc>
          <w:tcPr>
            <w:tcW w:w="9980" w:type="dxa"/>
            <w:vAlign w:val="bottom"/>
          </w:tcPr>
          <w:p>
            <w:pPr>
              <w:ind w:left="180"/>
              <w:spacing w:after="0"/>
              <w:rPr>
                <w:sz w:val="20"/>
                <w:szCs w:val="20"/>
                <w:color w:val="auto"/>
              </w:rPr>
            </w:pPr>
            <w:r>
              <w:rPr>
                <w:rFonts w:ascii="Arial" w:cs="Arial" w:eastAsia="Arial" w:hAnsi="Arial"/>
                <w:sz w:val="18"/>
                <w:szCs w:val="18"/>
                <w:color w:val="auto"/>
              </w:rPr>
              <w:t>Additional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1005.</w:t>
            </w:r>
          </w:p>
        </w:tc>
        <w:tc>
          <w:tcPr>
            <w:tcW w:w="9980" w:type="dxa"/>
            <w:vAlign w:val="bottom"/>
          </w:tcPr>
          <w:p>
            <w:pPr>
              <w:ind w:left="180"/>
              <w:spacing w:after="0"/>
              <w:rPr>
                <w:sz w:val="20"/>
                <w:szCs w:val="20"/>
                <w:color w:val="auto"/>
              </w:rPr>
            </w:pPr>
            <w:r>
              <w:rPr>
                <w:rFonts w:ascii="Arial" w:cs="Arial" w:eastAsia="Arial" w:hAnsi="Arial"/>
                <w:sz w:val="18"/>
                <w:szCs w:val="18"/>
                <w:color w:val="auto"/>
              </w:rPr>
              <w:t>Statement as to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1006.</w:t>
            </w:r>
          </w:p>
        </w:tc>
        <w:tc>
          <w:tcPr>
            <w:tcW w:w="9980" w:type="dxa"/>
            <w:vAlign w:val="bottom"/>
          </w:tcPr>
          <w:p>
            <w:pPr>
              <w:ind w:left="180"/>
              <w:spacing w:after="0"/>
              <w:rPr>
                <w:sz w:val="20"/>
                <w:szCs w:val="20"/>
                <w:color w:val="auto"/>
              </w:rPr>
            </w:pPr>
            <w:r>
              <w:rPr>
                <w:rFonts w:ascii="Arial" w:cs="Arial" w:eastAsia="Arial" w:hAnsi="Arial"/>
                <w:sz w:val="18"/>
                <w:szCs w:val="18"/>
                <w:color w:val="auto"/>
              </w:rPr>
              <w:t>Limitations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1007.</w:t>
            </w:r>
          </w:p>
        </w:tc>
        <w:tc>
          <w:tcPr>
            <w:tcW w:w="9980" w:type="dxa"/>
            <w:vAlign w:val="bottom"/>
          </w:tcPr>
          <w:p>
            <w:pPr>
              <w:ind w:left="180"/>
              <w:spacing w:after="0"/>
              <w:rPr>
                <w:sz w:val="20"/>
                <w:szCs w:val="20"/>
                <w:color w:val="auto"/>
              </w:rPr>
            </w:pPr>
            <w:r>
              <w:rPr>
                <w:rFonts w:ascii="Arial" w:cs="Arial" w:eastAsia="Arial" w:hAnsi="Arial"/>
                <w:sz w:val="18"/>
                <w:szCs w:val="18"/>
                <w:color w:val="auto"/>
              </w:rPr>
              <w:t>Waiver of Certain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65"/>
        </w:trPr>
        <w:tc>
          <w:tcPr>
            <w:tcW w:w="1160" w:type="dxa"/>
            <w:vAlign w:val="bottom"/>
          </w:tcPr>
          <w:p>
            <w:pPr>
              <w:spacing w:after="0"/>
              <w:rPr>
                <w:sz w:val="24"/>
                <w:szCs w:val="24"/>
                <w:color w:val="auto"/>
              </w:rPr>
            </w:pPr>
          </w:p>
        </w:tc>
        <w:tc>
          <w:tcPr>
            <w:tcW w:w="9980" w:type="dxa"/>
            <w:vAlign w:val="bottom"/>
          </w:tcPr>
          <w:p>
            <w:pPr>
              <w:ind w:left="442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9980" w:type="dxa"/>
            <w:vAlign w:val="bottom"/>
          </w:tcPr>
          <w:p>
            <w:pPr>
              <w:jc w:val="center"/>
              <w:ind w:right="772"/>
              <w:spacing w:after="0"/>
              <w:rPr>
                <w:sz w:val="20"/>
                <w:szCs w:val="20"/>
                <w:color w:val="auto"/>
              </w:rPr>
            </w:pPr>
            <w:r>
              <w:rPr>
                <w:rFonts w:ascii="Arial" w:cs="Arial" w:eastAsia="Arial" w:hAnsi="Arial"/>
                <w:sz w:val="18"/>
                <w:szCs w:val="18"/>
                <w:b w:val="1"/>
                <w:bCs w:val="1"/>
                <w:color w:val="auto"/>
                <w:w w:val="96"/>
              </w:rPr>
              <w:t>TABLE OF CONENTS</w:t>
            </w:r>
          </w:p>
        </w:tc>
        <w:tc>
          <w:tcPr>
            <w:tcW w:w="280" w:type="dxa"/>
            <w:vAlign w:val="bottom"/>
          </w:tcPr>
          <w:p>
            <w:pPr>
              <w:spacing w:after="0"/>
              <w:rPr>
                <w:sz w:val="19"/>
                <w:szCs w:val="19"/>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ind w:right="792"/>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19"/>
                <w:szCs w:val="19"/>
                <w:color w:val="auto"/>
              </w:rPr>
            </w:pPr>
          </w:p>
        </w:tc>
      </w:tr>
      <w:tr>
        <w:trPr>
          <w:trHeight w:val="353"/>
        </w:trPr>
        <w:tc>
          <w:tcPr>
            <w:tcW w:w="116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417"/>
        </w:trPr>
        <w:tc>
          <w:tcPr>
            <w:tcW w:w="1160" w:type="dxa"/>
            <w:vAlign w:val="bottom"/>
          </w:tcPr>
          <w:p>
            <w:pPr>
              <w:spacing w:after="0"/>
              <w:rPr>
                <w:sz w:val="24"/>
                <w:szCs w:val="24"/>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5"/>
              </w:rPr>
              <w:t>ARTICLE ELEVEN</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2"/>
              </w:rPr>
              <w:t>REDEMPTION OF SECURITIES</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1101.</w:t>
            </w:r>
          </w:p>
        </w:tc>
        <w:tc>
          <w:tcPr>
            <w:tcW w:w="9980" w:type="dxa"/>
            <w:vAlign w:val="bottom"/>
          </w:tcPr>
          <w:p>
            <w:pPr>
              <w:ind w:left="180"/>
              <w:spacing w:after="0"/>
              <w:rPr>
                <w:sz w:val="20"/>
                <w:szCs w:val="20"/>
                <w:color w:val="auto"/>
              </w:rPr>
            </w:pPr>
            <w:r>
              <w:rPr>
                <w:rFonts w:ascii="Arial" w:cs="Arial" w:eastAsia="Arial" w:hAnsi="Arial"/>
                <w:sz w:val="18"/>
                <w:szCs w:val="18"/>
                <w:color w:val="auto"/>
              </w:rPr>
              <w:t>Applicability of Article</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1102.</w:t>
            </w:r>
          </w:p>
        </w:tc>
        <w:tc>
          <w:tcPr>
            <w:tcW w:w="9980" w:type="dxa"/>
            <w:vAlign w:val="bottom"/>
          </w:tcPr>
          <w:p>
            <w:pPr>
              <w:ind w:left="180"/>
              <w:spacing w:after="0"/>
              <w:rPr>
                <w:sz w:val="20"/>
                <w:szCs w:val="20"/>
                <w:color w:val="auto"/>
              </w:rPr>
            </w:pPr>
            <w:r>
              <w:rPr>
                <w:rFonts w:ascii="Arial" w:cs="Arial" w:eastAsia="Arial" w:hAnsi="Arial"/>
                <w:sz w:val="18"/>
                <w:szCs w:val="18"/>
                <w:color w:val="auto"/>
              </w:rPr>
              <w:t>Election to Redeem; Notice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1103.</w:t>
            </w:r>
          </w:p>
        </w:tc>
        <w:tc>
          <w:tcPr>
            <w:tcW w:w="9980" w:type="dxa"/>
            <w:vAlign w:val="bottom"/>
          </w:tcPr>
          <w:p>
            <w:pPr>
              <w:ind w:left="180"/>
              <w:spacing w:after="0"/>
              <w:rPr>
                <w:sz w:val="20"/>
                <w:szCs w:val="20"/>
                <w:color w:val="auto"/>
              </w:rPr>
            </w:pPr>
            <w:r>
              <w:rPr>
                <w:rFonts w:ascii="Arial" w:cs="Arial" w:eastAsia="Arial" w:hAnsi="Arial"/>
                <w:sz w:val="18"/>
                <w:szCs w:val="18"/>
                <w:color w:val="auto"/>
              </w:rPr>
              <w:t>Selection by Trustee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1104.</w:t>
            </w:r>
          </w:p>
        </w:tc>
        <w:tc>
          <w:tcPr>
            <w:tcW w:w="9980" w:type="dxa"/>
            <w:vAlign w:val="bottom"/>
          </w:tcPr>
          <w:p>
            <w:pPr>
              <w:ind w:left="18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1105.</w:t>
            </w:r>
          </w:p>
        </w:tc>
        <w:tc>
          <w:tcPr>
            <w:tcW w:w="9980" w:type="dxa"/>
            <w:vAlign w:val="bottom"/>
          </w:tcPr>
          <w:p>
            <w:pPr>
              <w:ind w:left="180"/>
              <w:spacing w:after="0"/>
              <w:rPr>
                <w:sz w:val="20"/>
                <w:szCs w:val="20"/>
                <w:color w:val="auto"/>
              </w:rPr>
            </w:pPr>
            <w:r>
              <w:rPr>
                <w:rFonts w:ascii="Arial" w:cs="Arial" w:eastAsia="Arial" w:hAnsi="Arial"/>
                <w:sz w:val="18"/>
                <w:szCs w:val="18"/>
                <w:color w:val="auto"/>
              </w:rPr>
              <w:t>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1106.</w:t>
            </w:r>
          </w:p>
        </w:tc>
        <w:tc>
          <w:tcPr>
            <w:tcW w:w="9980" w:type="dxa"/>
            <w:vAlign w:val="bottom"/>
          </w:tcPr>
          <w:p>
            <w:pPr>
              <w:ind w:left="180"/>
              <w:spacing w:after="0"/>
              <w:rPr>
                <w:sz w:val="20"/>
                <w:szCs w:val="20"/>
                <w:color w:val="auto"/>
              </w:rPr>
            </w:pPr>
            <w:r>
              <w:rPr>
                <w:rFonts w:ascii="Arial" w:cs="Arial" w:eastAsia="Arial" w:hAnsi="Arial"/>
                <w:sz w:val="18"/>
                <w:szCs w:val="18"/>
                <w:color w:val="auto"/>
              </w:rPr>
              <w:t>Securities Payable on Redemption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1107.</w:t>
            </w:r>
          </w:p>
        </w:tc>
        <w:tc>
          <w:tcPr>
            <w:tcW w:w="9980" w:type="dxa"/>
            <w:vAlign w:val="bottom"/>
          </w:tcPr>
          <w:p>
            <w:pPr>
              <w:ind w:left="180"/>
              <w:spacing w:after="0"/>
              <w:rPr>
                <w:sz w:val="20"/>
                <w:szCs w:val="20"/>
                <w:color w:val="auto"/>
              </w:rPr>
            </w:pPr>
            <w:r>
              <w:rPr>
                <w:rFonts w:ascii="Arial" w:cs="Arial" w:eastAsia="Arial" w:hAnsi="Arial"/>
                <w:sz w:val="18"/>
                <w:szCs w:val="18"/>
                <w:color w:val="auto"/>
              </w:rPr>
              <w:t>Securities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26"/>
        </w:trPr>
        <w:tc>
          <w:tcPr>
            <w:tcW w:w="1160" w:type="dxa"/>
            <w:vAlign w:val="bottom"/>
          </w:tcPr>
          <w:p>
            <w:pPr>
              <w:spacing w:after="0"/>
              <w:rPr>
                <w:sz w:val="24"/>
                <w:szCs w:val="24"/>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5"/>
              </w:rPr>
              <w:t>ARTICLE TWELVE</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spacing w:after="0"/>
              <w:rPr>
                <w:sz w:val="20"/>
                <w:szCs w:val="20"/>
                <w:color w:val="auto"/>
              </w:rPr>
            </w:pPr>
            <w:r>
              <w:rPr>
                <w:rFonts w:ascii="Arial" w:cs="Arial" w:eastAsia="Arial" w:hAnsi="Arial"/>
                <w:sz w:val="18"/>
                <w:szCs w:val="18"/>
                <w:color w:val="auto"/>
                <w:w w:val="94"/>
              </w:rPr>
              <w:t>SINKING FUNDS</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1201.</w:t>
            </w:r>
          </w:p>
        </w:tc>
        <w:tc>
          <w:tcPr>
            <w:tcW w:w="9980" w:type="dxa"/>
            <w:vAlign w:val="bottom"/>
          </w:tcPr>
          <w:p>
            <w:pPr>
              <w:ind w:left="180"/>
              <w:spacing w:after="0"/>
              <w:rPr>
                <w:sz w:val="20"/>
                <w:szCs w:val="20"/>
                <w:color w:val="auto"/>
              </w:rPr>
            </w:pPr>
            <w:r>
              <w:rPr>
                <w:rFonts w:ascii="Arial" w:cs="Arial" w:eastAsia="Arial" w:hAnsi="Arial"/>
                <w:sz w:val="18"/>
                <w:szCs w:val="18"/>
                <w:color w:val="auto"/>
              </w:rPr>
              <w:t>Applicability of Article</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1202.</w:t>
            </w:r>
          </w:p>
        </w:tc>
        <w:tc>
          <w:tcPr>
            <w:tcW w:w="9980" w:type="dxa"/>
            <w:vAlign w:val="bottom"/>
          </w:tcPr>
          <w:p>
            <w:pPr>
              <w:ind w:left="180"/>
              <w:spacing w:after="0"/>
              <w:rPr>
                <w:sz w:val="20"/>
                <w:szCs w:val="20"/>
                <w:color w:val="auto"/>
              </w:rPr>
            </w:pPr>
            <w:r>
              <w:rPr>
                <w:rFonts w:ascii="Arial" w:cs="Arial" w:eastAsia="Arial" w:hAnsi="Arial"/>
                <w:sz w:val="18"/>
                <w:szCs w:val="18"/>
                <w:color w:val="auto"/>
              </w:rPr>
              <w:t>Satisfaction of Sinking Fund Payments with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1203.</w:t>
            </w:r>
          </w:p>
        </w:tc>
        <w:tc>
          <w:tcPr>
            <w:tcW w:w="9980" w:type="dxa"/>
            <w:vAlign w:val="bottom"/>
          </w:tcPr>
          <w:p>
            <w:pPr>
              <w:ind w:left="180"/>
              <w:spacing w:after="0"/>
              <w:rPr>
                <w:sz w:val="20"/>
                <w:szCs w:val="20"/>
                <w:color w:val="auto"/>
              </w:rPr>
            </w:pPr>
            <w:r>
              <w:rPr>
                <w:rFonts w:ascii="Arial" w:cs="Arial" w:eastAsia="Arial" w:hAnsi="Arial"/>
                <w:sz w:val="18"/>
                <w:szCs w:val="18"/>
                <w:color w:val="auto"/>
              </w:rPr>
              <w:t>Redemption of Securities for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26"/>
        </w:trPr>
        <w:tc>
          <w:tcPr>
            <w:tcW w:w="1160" w:type="dxa"/>
            <w:vAlign w:val="bottom"/>
          </w:tcPr>
          <w:p>
            <w:pPr>
              <w:spacing w:after="0"/>
              <w:rPr>
                <w:sz w:val="24"/>
                <w:szCs w:val="24"/>
                <w:color w:val="auto"/>
              </w:rPr>
            </w:pPr>
          </w:p>
        </w:tc>
        <w:tc>
          <w:tcPr>
            <w:tcW w:w="9980" w:type="dxa"/>
            <w:vAlign w:val="bottom"/>
          </w:tcPr>
          <w:p>
            <w:pPr>
              <w:jc w:val="center"/>
              <w:ind w:right="1272"/>
              <w:spacing w:after="0"/>
              <w:rPr>
                <w:sz w:val="20"/>
                <w:szCs w:val="20"/>
                <w:color w:val="auto"/>
              </w:rPr>
            </w:pPr>
            <w:r>
              <w:rPr>
                <w:rFonts w:ascii="Arial" w:cs="Arial" w:eastAsia="Arial" w:hAnsi="Arial"/>
                <w:sz w:val="18"/>
                <w:szCs w:val="18"/>
                <w:color w:val="auto"/>
                <w:w w:val="94"/>
              </w:rPr>
              <w:t>ARTICLE THIRTEEN</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ind w:right="1272"/>
              <w:spacing w:after="0"/>
              <w:rPr>
                <w:sz w:val="20"/>
                <w:szCs w:val="20"/>
                <w:color w:val="auto"/>
              </w:rPr>
            </w:pPr>
            <w:r>
              <w:rPr>
                <w:rFonts w:ascii="Arial" w:cs="Arial" w:eastAsia="Arial" w:hAnsi="Arial"/>
                <w:sz w:val="18"/>
                <w:szCs w:val="18"/>
                <w:color w:val="auto"/>
                <w:w w:val="92"/>
              </w:rPr>
              <w:t>REPAYMENT AT THE OPTION OF HOLDERS</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1301.</w:t>
            </w:r>
          </w:p>
        </w:tc>
        <w:tc>
          <w:tcPr>
            <w:tcW w:w="9980" w:type="dxa"/>
            <w:vAlign w:val="bottom"/>
          </w:tcPr>
          <w:p>
            <w:pPr>
              <w:ind w:left="180"/>
              <w:spacing w:after="0"/>
              <w:rPr>
                <w:sz w:val="20"/>
                <w:szCs w:val="20"/>
                <w:color w:val="auto"/>
              </w:rPr>
            </w:pPr>
            <w:r>
              <w:rPr>
                <w:rFonts w:ascii="Arial" w:cs="Arial" w:eastAsia="Arial" w:hAnsi="Arial"/>
                <w:sz w:val="18"/>
                <w:szCs w:val="18"/>
                <w:color w:val="auto"/>
              </w:rPr>
              <w:t>Applicability of Article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1302.</w:t>
            </w:r>
          </w:p>
        </w:tc>
        <w:tc>
          <w:tcPr>
            <w:tcW w:w="9980" w:type="dxa"/>
            <w:vAlign w:val="bottom"/>
          </w:tcPr>
          <w:p>
            <w:pPr>
              <w:ind w:left="180"/>
              <w:spacing w:after="0"/>
              <w:rPr>
                <w:sz w:val="20"/>
                <w:szCs w:val="20"/>
                <w:color w:val="auto"/>
              </w:rPr>
            </w:pPr>
            <w:r>
              <w:rPr>
                <w:rFonts w:ascii="Arial" w:cs="Arial" w:eastAsia="Arial" w:hAnsi="Arial"/>
                <w:sz w:val="18"/>
                <w:szCs w:val="18"/>
                <w:color w:val="auto"/>
              </w:rPr>
              <w:t>Repayment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1303.</w:t>
            </w:r>
          </w:p>
        </w:tc>
        <w:tc>
          <w:tcPr>
            <w:tcW w:w="9980" w:type="dxa"/>
            <w:vAlign w:val="bottom"/>
          </w:tcPr>
          <w:p>
            <w:pPr>
              <w:ind w:left="180"/>
              <w:spacing w:after="0"/>
              <w:rPr>
                <w:sz w:val="20"/>
                <w:szCs w:val="20"/>
                <w:color w:val="auto"/>
              </w:rPr>
            </w:pPr>
            <w:r>
              <w:rPr>
                <w:rFonts w:ascii="Arial" w:cs="Arial" w:eastAsia="Arial" w:hAnsi="Arial"/>
                <w:sz w:val="18"/>
                <w:szCs w:val="18"/>
                <w:color w:val="auto"/>
              </w:rPr>
              <w:t>Exercise of Option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1304.</w:t>
            </w:r>
          </w:p>
        </w:tc>
        <w:tc>
          <w:tcPr>
            <w:tcW w:w="9980" w:type="dxa"/>
            <w:vAlign w:val="bottom"/>
          </w:tcPr>
          <w:p>
            <w:pPr>
              <w:ind w:left="180"/>
              <w:spacing w:after="0"/>
              <w:rPr>
                <w:sz w:val="20"/>
                <w:szCs w:val="20"/>
                <w:color w:val="auto"/>
              </w:rPr>
            </w:pPr>
            <w:r>
              <w:rPr>
                <w:rFonts w:ascii="Arial" w:cs="Arial" w:eastAsia="Arial" w:hAnsi="Arial"/>
                <w:sz w:val="18"/>
                <w:szCs w:val="18"/>
                <w:color w:val="auto"/>
              </w:rPr>
              <w:t>When Securities Presented for Repayment Become Due and Payable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1305.</w:t>
            </w:r>
          </w:p>
        </w:tc>
        <w:tc>
          <w:tcPr>
            <w:tcW w:w="9980" w:type="dxa"/>
            <w:vAlign w:val="bottom"/>
          </w:tcPr>
          <w:p>
            <w:pPr>
              <w:ind w:left="180"/>
              <w:spacing w:after="0"/>
              <w:rPr>
                <w:sz w:val="20"/>
                <w:szCs w:val="20"/>
                <w:color w:val="auto"/>
              </w:rPr>
            </w:pPr>
            <w:r>
              <w:rPr>
                <w:rFonts w:ascii="Arial" w:cs="Arial" w:eastAsia="Arial" w:hAnsi="Arial"/>
                <w:sz w:val="18"/>
                <w:szCs w:val="18"/>
                <w:color w:val="auto"/>
              </w:rPr>
              <w:t>Securities Repaid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26"/>
        </w:trPr>
        <w:tc>
          <w:tcPr>
            <w:tcW w:w="1160" w:type="dxa"/>
            <w:vAlign w:val="bottom"/>
          </w:tcPr>
          <w:p>
            <w:pPr>
              <w:spacing w:after="0"/>
              <w:rPr>
                <w:sz w:val="24"/>
                <w:szCs w:val="24"/>
                <w:color w:val="auto"/>
              </w:rPr>
            </w:pPr>
          </w:p>
        </w:tc>
        <w:tc>
          <w:tcPr>
            <w:tcW w:w="9980" w:type="dxa"/>
            <w:vAlign w:val="bottom"/>
          </w:tcPr>
          <w:p>
            <w:pPr>
              <w:jc w:val="center"/>
              <w:ind w:right="1292"/>
              <w:spacing w:after="0"/>
              <w:rPr>
                <w:sz w:val="20"/>
                <w:szCs w:val="20"/>
                <w:color w:val="auto"/>
              </w:rPr>
            </w:pPr>
            <w:r>
              <w:rPr>
                <w:rFonts w:ascii="Arial" w:cs="Arial" w:eastAsia="Arial" w:hAnsi="Arial"/>
                <w:sz w:val="18"/>
                <w:szCs w:val="18"/>
                <w:color w:val="auto"/>
                <w:w w:val="93"/>
              </w:rPr>
              <w:t>ARTICLE FOURTEEN</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ind w:right="1292"/>
              <w:spacing w:after="0"/>
              <w:rPr>
                <w:sz w:val="20"/>
                <w:szCs w:val="20"/>
                <w:color w:val="auto"/>
              </w:rPr>
            </w:pPr>
            <w:r>
              <w:rPr>
                <w:rFonts w:ascii="Arial" w:cs="Arial" w:eastAsia="Arial" w:hAnsi="Arial"/>
                <w:sz w:val="18"/>
                <w:szCs w:val="18"/>
                <w:color w:val="auto"/>
                <w:w w:val="94"/>
              </w:rPr>
              <w:t>DEFEASANCE AND COVENANT DEFEASANCE</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1401.</w:t>
            </w:r>
          </w:p>
        </w:tc>
        <w:tc>
          <w:tcPr>
            <w:tcW w:w="9980" w:type="dxa"/>
            <w:vAlign w:val="bottom"/>
          </w:tcPr>
          <w:p>
            <w:pPr>
              <w:ind w:left="18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1402.</w:t>
            </w:r>
          </w:p>
        </w:tc>
        <w:tc>
          <w:tcPr>
            <w:tcW w:w="9980" w:type="dxa"/>
            <w:vAlign w:val="bottom"/>
          </w:tcPr>
          <w:p>
            <w:pPr>
              <w:ind w:left="180"/>
              <w:spacing w:after="0"/>
              <w:rPr>
                <w:sz w:val="20"/>
                <w:szCs w:val="20"/>
                <w:color w:val="auto"/>
              </w:rPr>
            </w:pPr>
            <w:r>
              <w:rPr>
                <w:rFonts w:ascii="Arial" w:cs="Arial" w:eastAsia="Arial" w:hAnsi="Arial"/>
                <w:sz w:val="18"/>
                <w:szCs w:val="18"/>
                <w:color w:val="auto"/>
              </w:rPr>
              <w:t>Defeasance and Discharge</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1403.</w:t>
            </w:r>
          </w:p>
        </w:tc>
        <w:tc>
          <w:tcPr>
            <w:tcW w:w="998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1404.</w:t>
            </w:r>
          </w:p>
        </w:tc>
        <w:tc>
          <w:tcPr>
            <w:tcW w:w="9980" w:type="dxa"/>
            <w:vAlign w:val="bottom"/>
          </w:tcPr>
          <w:p>
            <w:pPr>
              <w:ind w:left="180"/>
              <w:spacing w:after="0"/>
              <w:rPr>
                <w:sz w:val="20"/>
                <w:szCs w:val="20"/>
                <w:color w:val="auto"/>
              </w:rPr>
            </w:pPr>
            <w:r>
              <w:rPr>
                <w:rFonts w:ascii="Arial" w:cs="Arial" w:eastAsia="Arial" w:hAnsi="Arial"/>
                <w:sz w:val="18"/>
                <w:szCs w:val="18"/>
                <w:color w:val="auto"/>
              </w:rPr>
              <w:t>Conditions to Defeasance or 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1405.</w:t>
            </w:r>
          </w:p>
        </w:tc>
        <w:tc>
          <w:tcPr>
            <w:tcW w:w="9980" w:type="dxa"/>
            <w:vAlign w:val="bottom"/>
          </w:tcPr>
          <w:p>
            <w:pPr>
              <w:ind w:left="18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26"/>
        </w:trPr>
        <w:tc>
          <w:tcPr>
            <w:tcW w:w="1160" w:type="dxa"/>
            <w:vAlign w:val="bottom"/>
          </w:tcPr>
          <w:p>
            <w:pPr>
              <w:spacing w:after="0"/>
              <w:rPr>
                <w:sz w:val="24"/>
                <w:szCs w:val="24"/>
                <w:color w:val="auto"/>
              </w:rPr>
            </w:pPr>
          </w:p>
        </w:tc>
        <w:tc>
          <w:tcPr>
            <w:tcW w:w="9980" w:type="dxa"/>
            <w:vAlign w:val="bottom"/>
          </w:tcPr>
          <w:p>
            <w:pPr>
              <w:jc w:val="center"/>
              <w:ind w:right="1292"/>
              <w:spacing w:after="0"/>
              <w:rPr>
                <w:sz w:val="20"/>
                <w:szCs w:val="20"/>
                <w:color w:val="auto"/>
              </w:rPr>
            </w:pPr>
            <w:r>
              <w:rPr>
                <w:rFonts w:ascii="Arial" w:cs="Arial" w:eastAsia="Arial" w:hAnsi="Arial"/>
                <w:sz w:val="18"/>
                <w:szCs w:val="18"/>
                <w:color w:val="auto"/>
                <w:w w:val="94"/>
              </w:rPr>
              <w:t>ARTICLE FIFTEEN</w:t>
            </w:r>
          </w:p>
        </w:tc>
        <w:tc>
          <w:tcPr>
            <w:tcW w:w="28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ind w:right="1292"/>
              <w:spacing w:after="0"/>
              <w:rPr>
                <w:sz w:val="20"/>
                <w:szCs w:val="20"/>
                <w:color w:val="auto"/>
              </w:rPr>
            </w:pPr>
            <w:r>
              <w:rPr>
                <w:rFonts w:ascii="Arial" w:cs="Arial" w:eastAsia="Arial" w:hAnsi="Arial"/>
                <w:sz w:val="18"/>
                <w:szCs w:val="18"/>
                <w:color w:val="auto"/>
                <w:w w:val="92"/>
              </w:rPr>
              <w:t>MEETINGS OF HOLDERS OF SECURITIES</w:t>
            </w:r>
          </w:p>
        </w:tc>
        <w:tc>
          <w:tcPr>
            <w:tcW w:w="280" w:type="dxa"/>
            <w:vAlign w:val="bottom"/>
          </w:tcPr>
          <w:p>
            <w:pPr>
              <w:spacing w:after="0"/>
              <w:rPr>
                <w:sz w:val="19"/>
                <w:szCs w:val="19"/>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Section 1501.</w:t>
            </w:r>
          </w:p>
        </w:tc>
        <w:tc>
          <w:tcPr>
            <w:tcW w:w="9980" w:type="dxa"/>
            <w:vAlign w:val="bottom"/>
          </w:tcPr>
          <w:p>
            <w:pPr>
              <w:ind w:left="180"/>
              <w:spacing w:after="0"/>
              <w:rPr>
                <w:sz w:val="20"/>
                <w:szCs w:val="20"/>
                <w:color w:val="auto"/>
              </w:rPr>
            </w:pPr>
            <w:r>
              <w:rPr>
                <w:rFonts w:ascii="Arial" w:cs="Arial" w:eastAsia="Arial" w:hAnsi="Arial"/>
                <w:sz w:val="18"/>
                <w:szCs w:val="18"/>
                <w:color w:val="auto"/>
              </w:rPr>
              <w:t>Purposes for Which Meetings May Be Called</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1502.</w:t>
            </w:r>
          </w:p>
        </w:tc>
        <w:tc>
          <w:tcPr>
            <w:tcW w:w="9980" w:type="dxa"/>
            <w:vAlign w:val="bottom"/>
          </w:tcPr>
          <w:p>
            <w:pPr>
              <w:ind w:left="180"/>
              <w:spacing w:after="0"/>
              <w:rPr>
                <w:sz w:val="20"/>
                <w:szCs w:val="20"/>
                <w:color w:val="auto"/>
              </w:rPr>
            </w:pPr>
            <w:r>
              <w:rPr>
                <w:rFonts w:ascii="Arial" w:cs="Arial" w:eastAsia="Arial" w:hAnsi="Arial"/>
                <w:sz w:val="18"/>
                <w:szCs w:val="18"/>
                <w:color w:val="auto"/>
              </w:rPr>
              <w:t>Call, Notice and Place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1503.</w:t>
            </w:r>
          </w:p>
        </w:tc>
        <w:tc>
          <w:tcPr>
            <w:tcW w:w="9980" w:type="dxa"/>
            <w:vAlign w:val="bottom"/>
          </w:tcPr>
          <w:p>
            <w:pPr>
              <w:ind w:left="180"/>
              <w:spacing w:after="0"/>
              <w:rPr>
                <w:sz w:val="20"/>
                <w:szCs w:val="20"/>
                <w:color w:val="auto"/>
              </w:rPr>
            </w:pPr>
            <w:r>
              <w:rPr>
                <w:rFonts w:ascii="Arial" w:cs="Arial" w:eastAsia="Arial" w:hAnsi="Arial"/>
                <w:sz w:val="18"/>
                <w:szCs w:val="18"/>
                <w:color w:val="auto"/>
              </w:rPr>
              <w:t>Persons Entitled to Vote at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Section 1504.</w:t>
            </w:r>
          </w:p>
        </w:tc>
        <w:tc>
          <w:tcPr>
            <w:tcW w:w="9980" w:type="dxa"/>
            <w:vAlign w:val="bottom"/>
          </w:tcPr>
          <w:p>
            <w:pPr>
              <w:ind w:left="180"/>
              <w:spacing w:after="0"/>
              <w:rPr>
                <w:sz w:val="20"/>
                <w:szCs w:val="20"/>
                <w:color w:val="auto"/>
              </w:rPr>
            </w:pPr>
            <w:r>
              <w:rPr>
                <w:rFonts w:ascii="Arial" w:cs="Arial" w:eastAsia="Arial" w:hAnsi="Arial"/>
                <w:sz w:val="18"/>
                <w:szCs w:val="18"/>
                <w:color w:val="auto"/>
              </w:rPr>
              <w:t>Quorum;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1160" w:type="dxa"/>
            <w:vAlign w:val="bottom"/>
          </w:tcPr>
          <w:p>
            <w:pPr>
              <w:spacing w:after="0"/>
              <w:rPr>
                <w:sz w:val="24"/>
                <w:szCs w:val="24"/>
                <w:color w:val="auto"/>
              </w:rPr>
            </w:pPr>
          </w:p>
        </w:tc>
        <w:tc>
          <w:tcPr>
            <w:tcW w:w="9980" w:type="dxa"/>
            <w:vAlign w:val="bottom"/>
          </w:tcPr>
          <w:p>
            <w:pPr>
              <w:jc w:val="center"/>
              <w:ind w:right="792"/>
              <w:spacing w:after="0"/>
              <w:rPr>
                <w:sz w:val="20"/>
                <w:szCs w:val="20"/>
                <w:color w:val="auto"/>
              </w:rPr>
            </w:pPr>
            <w:r>
              <w:rPr>
                <w:rFonts w:ascii="Arial" w:cs="Arial" w:eastAsia="Arial" w:hAnsi="Arial"/>
                <w:sz w:val="18"/>
                <w:szCs w:val="18"/>
                <w:color w:val="auto"/>
              </w:rPr>
              <w:t>-iv-</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Section 1505.</w:t>
            </w:r>
          </w:p>
        </w:tc>
        <w:tc>
          <w:tcPr>
            <w:tcW w:w="9800" w:type="dxa"/>
            <w:vAlign w:val="bottom"/>
          </w:tcPr>
          <w:p>
            <w:pPr>
              <w:ind w:left="12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1506.</w:t>
            </w:r>
          </w:p>
        </w:tc>
        <w:tc>
          <w:tcPr>
            <w:tcW w:w="9800" w:type="dxa"/>
            <w:vAlign w:val="bottom"/>
          </w:tcPr>
          <w:p>
            <w:pPr>
              <w:ind w:left="120"/>
              <w:spacing w:after="0"/>
              <w:rPr>
                <w:sz w:val="20"/>
                <w:szCs w:val="20"/>
                <w:color w:val="auto"/>
              </w:rPr>
            </w:pPr>
            <w:r>
              <w:rPr>
                <w:rFonts w:ascii="Arial" w:cs="Arial" w:eastAsia="Arial" w:hAnsi="Arial"/>
                <w:sz w:val="18"/>
                <w:szCs w:val="18"/>
                <w:color w:val="auto"/>
              </w:rPr>
              <w:t>Counting Votes and Recording Action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26"/>
        </w:trPr>
        <w:tc>
          <w:tcPr>
            <w:tcW w:w="1340" w:type="dxa"/>
            <w:vAlign w:val="bottom"/>
          </w:tcPr>
          <w:p>
            <w:pPr>
              <w:spacing w:after="0"/>
              <w:rPr>
                <w:sz w:val="24"/>
                <w:szCs w:val="24"/>
                <w:color w:val="auto"/>
              </w:rPr>
            </w:pPr>
          </w:p>
        </w:tc>
        <w:tc>
          <w:tcPr>
            <w:tcW w:w="9800" w:type="dxa"/>
            <w:vAlign w:val="bottom"/>
          </w:tcPr>
          <w:p>
            <w:pPr>
              <w:ind w:left="4100"/>
              <w:spacing w:after="0"/>
              <w:rPr>
                <w:sz w:val="20"/>
                <w:szCs w:val="20"/>
                <w:color w:val="auto"/>
              </w:rPr>
            </w:pPr>
            <w:r>
              <w:rPr>
                <w:rFonts w:ascii="Arial" w:cs="Arial" w:eastAsia="Arial" w:hAnsi="Arial"/>
                <w:sz w:val="18"/>
                <w:szCs w:val="18"/>
                <w:color w:val="auto"/>
              </w:rPr>
              <w:t>ARTICLE SIXTEEN</w:t>
            </w:r>
          </w:p>
        </w:tc>
        <w:tc>
          <w:tcPr>
            <w:tcW w:w="28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9800" w:type="dxa"/>
            <w:vAlign w:val="bottom"/>
          </w:tcPr>
          <w:p>
            <w:pPr>
              <w:ind w:left="3480"/>
              <w:spacing w:after="0"/>
              <w:rPr>
                <w:sz w:val="20"/>
                <w:szCs w:val="20"/>
                <w:color w:val="auto"/>
              </w:rPr>
            </w:pPr>
            <w:r>
              <w:rPr>
                <w:rFonts w:ascii="Arial" w:cs="Arial" w:eastAsia="Arial" w:hAnsi="Arial"/>
                <w:sz w:val="18"/>
                <w:szCs w:val="18"/>
                <w:color w:val="auto"/>
              </w:rPr>
              <w:t>SUBORDINATION OF SECURITIES</w:t>
            </w:r>
          </w:p>
        </w:tc>
        <w:tc>
          <w:tcPr>
            <w:tcW w:w="280" w:type="dxa"/>
            <w:vAlign w:val="bottom"/>
          </w:tcPr>
          <w:p>
            <w:pPr>
              <w:spacing w:after="0"/>
              <w:rPr>
                <w:sz w:val="19"/>
                <w:szCs w:val="19"/>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Section 1601.</w:t>
            </w:r>
          </w:p>
        </w:tc>
        <w:tc>
          <w:tcPr>
            <w:tcW w:w="9800" w:type="dxa"/>
            <w:vAlign w:val="bottom"/>
          </w:tcPr>
          <w:p>
            <w:pPr>
              <w:ind w:left="120"/>
              <w:spacing w:after="0"/>
              <w:rPr>
                <w:sz w:val="20"/>
                <w:szCs w:val="20"/>
                <w:color w:val="auto"/>
              </w:rPr>
            </w:pPr>
            <w:r>
              <w:rPr>
                <w:rFonts w:ascii="Arial" w:cs="Arial" w:eastAsia="Arial" w:hAnsi="Arial"/>
                <w:sz w:val="18"/>
                <w:szCs w:val="18"/>
                <w:color w:val="auto"/>
              </w:rPr>
              <w:t>Agreement to Subordinate</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1602.</w:t>
            </w:r>
          </w:p>
        </w:tc>
        <w:tc>
          <w:tcPr>
            <w:tcW w:w="9800" w:type="dxa"/>
            <w:vAlign w:val="bottom"/>
          </w:tcPr>
          <w:p>
            <w:pPr>
              <w:ind w:left="120"/>
              <w:spacing w:after="0"/>
              <w:rPr>
                <w:sz w:val="20"/>
                <w:szCs w:val="20"/>
                <w:color w:val="auto"/>
              </w:rPr>
            </w:pPr>
            <w:r>
              <w:rPr>
                <w:rFonts w:ascii="Arial" w:cs="Arial" w:eastAsia="Arial" w:hAnsi="Arial"/>
                <w:sz w:val="18"/>
                <w:szCs w:val="18"/>
                <w:color w:val="auto"/>
              </w:rPr>
              <w:t>Distribution on Dissolution, Liquidation and Reorganization; Subrogation of Subordinated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1603.</w:t>
            </w:r>
          </w:p>
        </w:tc>
        <w:tc>
          <w:tcPr>
            <w:tcW w:w="9800" w:type="dxa"/>
            <w:vAlign w:val="bottom"/>
          </w:tcPr>
          <w:p>
            <w:pPr>
              <w:ind w:left="120"/>
              <w:spacing w:after="0"/>
              <w:rPr>
                <w:sz w:val="20"/>
                <w:szCs w:val="20"/>
                <w:color w:val="auto"/>
              </w:rPr>
            </w:pPr>
            <w:r>
              <w:rPr>
                <w:rFonts w:ascii="Arial" w:cs="Arial" w:eastAsia="Arial" w:hAnsi="Arial"/>
                <w:sz w:val="18"/>
                <w:szCs w:val="18"/>
                <w:color w:val="auto"/>
              </w:rPr>
              <w:t>No Payment on Subordinated Securities in Event of Default on Senior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1604.</w:t>
            </w:r>
          </w:p>
        </w:tc>
        <w:tc>
          <w:tcPr>
            <w:tcW w:w="9800" w:type="dxa"/>
            <w:vAlign w:val="bottom"/>
          </w:tcPr>
          <w:p>
            <w:pPr>
              <w:ind w:left="120"/>
              <w:spacing w:after="0"/>
              <w:rPr>
                <w:sz w:val="20"/>
                <w:szCs w:val="20"/>
                <w:color w:val="auto"/>
              </w:rPr>
            </w:pPr>
            <w:r>
              <w:rPr>
                <w:rFonts w:ascii="Arial" w:cs="Arial" w:eastAsia="Arial" w:hAnsi="Arial"/>
                <w:sz w:val="18"/>
                <w:szCs w:val="18"/>
                <w:color w:val="auto"/>
              </w:rPr>
              <w:t>Payments on Subordinated Securities Permitted</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1605.</w:t>
            </w:r>
          </w:p>
        </w:tc>
        <w:tc>
          <w:tcPr>
            <w:tcW w:w="9800" w:type="dxa"/>
            <w:vAlign w:val="bottom"/>
          </w:tcPr>
          <w:p>
            <w:pPr>
              <w:ind w:left="120"/>
              <w:spacing w:after="0"/>
              <w:rPr>
                <w:sz w:val="20"/>
                <w:szCs w:val="20"/>
                <w:color w:val="auto"/>
              </w:rPr>
            </w:pPr>
            <w:r>
              <w:rPr>
                <w:rFonts w:ascii="Arial" w:cs="Arial" w:eastAsia="Arial" w:hAnsi="Arial"/>
                <w:sz w:val="18"/>
                <w:szCs w:val="18"/>
                <w:color w:val="auto"/>
              </w:rPr>
              <w:t>Authorization of Holders to Trustee to Effect Subordination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1606.</w:t>
            </w:r>
          </w:p>
        </w:tc>
        <w:tc>
          <w:tcPr>
            <w:tcW w:w="9800" w:type="dxa"/>
            <w:vAlign w:val="bottom"/>
          </w:tcPr>
          <w:p>
            <w:pPr>
              <w:ind w:left="120"/>
              <w:spacing w:after="0"/>
              <w:rPr>
                <w:sz w:val="20"/>
                <w:szCs w:val="20"/>
                <w:color w:val="auto"/>
              </w:rPr>
            </w:pPr>
            <w:r>
              <w:rPr>
                <w:rFonts w:ascii="Arial" w:cs="Arial" w:eastAsia="Arial" w:hAnsi="Arial"/>
                <w:sz w:val="18"/>
                <w:szCs w:val="18"/>
                <w:color w:val="auto"/>
              </w:rPr>
              <w:t>Notices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1607.</w:t>
            </w:r>
          </w:p>
        </w:tc>
        <w:tc>
          <w:tcPr>
            <w:tcW w:w="9800" w:type="dxa"/>
            <w:vAlign w:val="bottom"/>
          </w:tcPr>
          <w:p>
            <w:pPr>
              <w:ind w:left="120"/>
              <w:spacing w:after="0"/>
              <w:rPr>
                <w:sz w:val="20"/>
                <w:szCs w:val="20"/>
                <w:color w:val="auto"/>
              </w:rPr>
            </w:pPr>
            <w:r>
              <w:rPr>
                <w:rFonts w:ascii="Arial" w:cs="Arial" w:eastAsia="Arial" w:hAnsi="Arial"/>
                <w:sz w:val="18"/>
                <w:szCs w:val="18"/>
                <w:color w:val="auto"/>
              </w:rPr>
              <w:t>Trustee as Holder of Senior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1608.</w:t>
            </w:r>
          </w:p>
        </w:tc>
        <w:tc>
          <w:tcPr>
            <w:tcW w:w="9800" w:type="dxa"/>
            <w:vAlign w:val="bottom"/>
          </w:tcPr>
          <w:p>
            <w:pPr>
              <w:ind w:left="120"/>
              <w:spacing w:after="0"/>
              <w:rPr>
                <w:sz w:val="20"/>
                <w:szCs w:val="20"/>
                <w:color w:val="auto"/>
              </w:rPr>
            </w:pPr>
            <w:r>
              <w:rPr>
                <w:rFonts w:ascii="Arial" w:cs="Arial" w:eastAsia="Arial" w:hAnsi="Arial"/>
                <w:sz w:val="18"/>
                <w:szCs w:val="18"/>
                <w:color w:val="auto"/>
              </w:rPr>
              <w:t>Modifications of Terms of Senior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1609.</w:t>
            </w:r>
          </w:p>
        </w:tc>
        <w:tc>
          <w:tcPr>
            <w:tcW w:w="9800" w:type="dxa"/>
            <w:vAlign w:val="bottom"/>
          </w:tcPr>
          <w:p>
            <w:pPr>
              <w:ind w:left="120"/>
              <w:spacing w:after="0"/>
              <w:rPr>
                <w:sz w:val="20"/>
                <w:szCs w:val="20"/>
                <w:color w:val="auto"/>
              </w:rPr>
            </w:pPr>
            <w:r>
              <w:rPr>
                <w:rFonts w:ascii="Arial" w:cs="Arial" w:eastAsia="Arial" w:hAnsi="Arial"/>
                <w:sz w:val="18"/>
                <w:szCs w:val="18"/>
                <w:color w:val="auto"/>
              </w:rPr>
              <w:t>Reliance on Judicial Order or Certificate of Liquidating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2"/>
        </w:trPr>
        <w:tc>
          <w:tcPr>
            <w:tcW w:w="1340" w:type="dxa"/>
            <w:vAlign w:val="bottom"/>
          </w:tcPr>
          <w:p>
            <w:pPr>
              <w:ind w:left="160"/>
              <w:spacing w:after="0"/>
              <w:rPr>
                <w:sz w:val="20"/>
                <w:szCs w:val="20"/>
                <w:color w:val="auto"/>
              </w:rPr>
            </w:pPr>
            <w:r>
              <w:rPr>
                <w:rFonts w:ascii="Arial" w:cs="Arial" w:eastAsia="Arial" w:hAnsi="Arial"/>
                <w:sz w:val="18"/>
                <w:szCs w:val="18"/>
                <w:color w:val="auto"/>
              </w:rPr>
              <w:t>EXHIBIT A-1:</w:t>
            </w:r>
          </w:p>
        </w:tc>
        <w:tc>
          <w:tcPr>
            <w:tcW w:w="9800" w:type="dxa"/>
            <w:vAlign w:val="bottom"/>
          </w:tcPr>
          <w:p>
            <w:pPr>
              <w:ind w:left="140"/>
              <w:spacing w:after="0"/>
              <w:rPr>
                <w:sz w:val="20"/>
                <w:szCs w:val="20"/>
                <w:color w:val="auto"/>
              </w:rPr>
            </w:pPr>
            <w:r>
              <w:rPr>
                <w:rFonts w:ascii="Arial" w:cs="Arial" w:eastAsia="Arial" w:hAnsi="Arial"/>
                <w:sz w:val="18"/>
                <w:szCs w:val="18"/>
                <w:color w:val="auto"/>
              </w:rPr>
              <w:t>FORM OF CERTIFICATE TO BE GIVEN BY PERSON ENTITLED TO RECEIVE BEARER SECURITY OR</w:t>
            </w:r>
          </w:p>
        </w:tc>
        <w:tc>
          <w:tcPr>
            <w:tcW w:w="28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TO OBTAIN INTEREST PAYABLE PRIOR TO THE EXCHANGE DATE</w:t>
            </w:r>
          </w:p>
        </w:tc>
        <w:tc>
          <w:tcPr>
            <w:tcW w:w="280" w:type="dxa"/>
            <w:vAlign w:val="bottom"/>
          </w:tcPr>
          <w:p>
            <w:pPr>
              <w:spacing w:after="0"/>
              <w:rPr>
                <w:sz w:val="19"/>
                <w:szCs w:val="19"/>
                <w:color w:val="auto"/>
              </w:rPr>
            </w:pPr>
          </w:p>
        </w:tc>
      </w:tr>
      <w:tr>
        <w:trPr>
          <w:trHeight w:val="318"/>
        </w:trPr>
        <w:tc>
          <w:tcPr>
            <w:tcW w:w="1340" w:type="dxa"/>
            <w:vAlign w:val="bottom"/>
          </w:tcPr>
          <w:p>
            <w:pPr>
              <w:spacing w:after="0"/>
              <w:rPr>
                <w:sz w:val="20"/>
                <w:szCs w:val="20"/>
                <w:color w:val="auto"/>
              </w:rPr>
            </w:pPr>
            <w:r>
              <w:rPr>
                <w:rFonts w:ascii="Arial" w:cs="Arial" w:eastAsia="Arial" w:hAnsi="Arial"/>
                <w:sz w:val="18"/>
                <w:szCs w:val="18"/>
                <w:color w:val="auto"/>
              </w:rPr>
              <w:t>EXHIBIT A-2:</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w w:val="94"/>
              </w:rPr>
              <w:t>FORM OF CERTIFICATE TO BE GIVEN BY EUROCLEAR AND CLEARSTREAM IN CONNECTION WITH THE EXCHANGE OF A</w:t>
            </w:r>
          </w:p>
        </w:tc>
      </w:tr>
      <w:tr>
        <w:trPr>
          <w:trHeight w:val="222"/>
        </w:trPr>
        <w:tc>
          <w:tcPr>
            <w:tcW w:w="1340" w:type="dxa"/>
            <w:vAlign w:val="bottom"/>
          </w:tcPr>
          <w:p>
            <w:pPr>
              <w:spacing w:after="0"/>
              <w:rPr>
                <w:sz w:val="19"/>
                <w:szCs w:val="19"/>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PORTION OF A TEMPORARY GLOBAL SECURITY OR TO OBTAIN INTEREST PAYABLE PRIOR TO THE EXCHANGE DATE</w:t>
            </w:r>
          </w:p>
        </w:tc>
        <w:tc>
          <w:tcPr>
            <w:tcW w:w="28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4"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w w:val="91"/>
              </w:rPr>
              <w:t>Exhibit (d)(3)</w:t>
            </w:r>
          </w:p>
        </w:tc>
      </w:tr>
      <w:tr>
        <w:trPr>
          <w:trHeight w:val="340"/>
        </w:trPr>
        <w:tc>
          <w:tcPr>
            <w:tcW w:w="2420" w:type="dxa"/>
            <w:vAlign w:val="bottom"/>
          </w:tcPr>
          <w:p>
            <w:pPr>
              <w:ind w:left="460"/>
              <w:spacing w:after="0"/>
              <w:rPr>
                <w:sz w:val="20"/>
                <w:szCs w:val="20"/>
                <w:color w:val="auto"/>
              </w:rPr>
            </w:pPr>
            <w:r>
              <w:rPr>
                <w:rFonts w:ascii="Arial" w:cs="Arial" w:eastAsia="Arial" w:hAnsi="Arial"/>
                <w:sz w:val="18"/>
                <w:szCs w:val="18"/>
                <w:color w:val="auto"/>
                <w:w w:val="90"/>
              </w:rPr>
              <w:t>INDENTURE, dated as of [</w:t>
            </w:r>
          </w:p>
        </w:tc>
        <w:tc>
          <w:tcPr>
            <w:tcW w:w="880" w:type="dxa"/>
            <w:vAlign w:val="bottom"/>
            <w:tcBorders>
              <w:bottom w:val="single" w:sz="8" w:color="auto"/>
            </w:tcBorders>
          </w:tcPr>
          <w:p>
            <w:pPr>
              <w:spacing w:after="0"/>
              <w:rPr>
                <w:sz w:val="24"/>
                <w:szCs w:val="24"/>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w w:val="92"/>
              </w:rPr>
              <w:t>], 2005, between PENNANTPARK INVESTMENT CORPORATION, a Maryland corporation (hereinafter called</w:t>
            </w:r>
          </w:p>
        </w:tc>
      </w:tr>
      <w:tr>
        <w:trPr>
          <w:trHeight w:val="228"/>
        </w:trPr>
        <w:tc>
          <w:tcPr>
            <w:tcW w:w="8520" w:type="dxa"/>
            <w:vAlign w:val="bottom"/>
            <w:gridSpan w:val="4"/>
          </w:tcPr>
          <w:p>
            <w:pPr>
              <w:spacing w:after="0" w:line="228" w:lineRule="exact"/>
              <w:rPr>
                <w:sz w:val="20"/>
                <w:szCs w:val="20"/>
                <w:color w:val="auto"/>
              </w:rPr>
            </w:pPr>
            <w:r>
              <w:rPr>
                <w:rFonts w:ascii="Arial" w:cs="Arial" w:eastAsia="Arial" w:hAnsi="Arial"/>
                <w:sz w:val="18"/>
                <w:szCs w:val="18"/>
                <w:color w:val="auto"/>
                <w:w w:val="95"/>
              </w:rPr>
              <w:t>the “Company”), having its principal office at 590 Madison Avenue, 15</w:t>
            </w:r>
            <w:r>
              <w:rPr>
                <w:rFonts w:ascii="Arial" w:cs="Arial" w:eastAsia="Arial" w:hAnsi="Arial"/>
                <w:sz w:val="22"/>
                <w:szCs w:val="22"/>
                <w:color w:val="auto"/>
                <w:w w:val="95"/>
                <w:vertAlign w:val="superscript"/>
              </w:rPr>
              <w:t>th</w:t>
            </w:r>
            <w:r>
              <w:rPr>
                <w:rFonts w:ascii="Arial" w:cs="Arial" w:eastAsia="Arial" w:hAnsi="Arial"/>
                <w:sz w:val="18"/>
                <w:szCs w:val="18"/>
                <w:color w:val="auto"/>
                <w:w w:val="95"/>
              </w:rPr>
              <w:t xml:space="preserve"> Floor, New York, New York 10022, and [</w:t>
            </w:r>
          </w:p>
        </w:tc>
        <w:tc>
          <w:tcPr>
            <w:tcW w:w="2900" w:type="dxa"/>
            <w:vAlign w:val="bottom"/>
          </w:tcPr>
          <w:p>
            <w:pPr>
              <w:ind w:left="440"/>
              <w:spacing w:after="0"/>
              <w:rPr>
                <w:sz w:val="20"/>
                <w:szCs w:val="20"/>
                <w:color w:val="auto"/>
              </w:rPr>
            </w:pPr>
            <w:r>
              <w:rPr>
                <w:rFonts w:ascii="Arial" w:cs="Arial" w:eastAsia="Arial" w:hAnsi="Arial"/>
                <w:sz w:val="18"/>
                <w:szCs w:val="18"/>
                <w:color w:val="auto"/>
                <w:w w:val="97"/>
              </w:rPr>
              <w:t>], trustee (hereinafter called the</w:t>
            </w:r>
          </w:p>
        </w:tc>
      </w:tr>
      <w:tr>
        <w:trPr>
          <w:trHeight w:val="222"/>
        </w:trPr>
        <w:tc>
          <w:tcPr>
            <w:tcW w:w="3880" w:type="dxa"/>
            <w:vAlign w:val="bottom"/>
            <w:gridSpan w:val="3"/>
          </w:tcPr>
          <w:p>
            <w:pPr>
              <w:spacing w:after="0"/>
              <w:rPr>
                <w:sz w:val="20"/>
                <w:szCs w:val="20"/>
                <w:color w:val="auto"/>
              </w:rPr>
            </w:pPr>
            <w:r>
              <w:rPr>
                <w:rFonts w:ascii="Arial" w:cs="Arial" w:eastAsia="Arial" w:hAnsi="Arial"/>
                <w:sz w:val="18"/>
                <w:szCs w:val="18"/>
                <w:color w:val="auto"/>
              </w:rPr>
              <w:t>“Trustee”), having its Corporate Trust Office at [</w:t>
            </w:r>
          </w:p>
        </w:tc>
        <w:tc>
          <w:tcPr>
            <w:tcW w:w="4640" w:type="dxa"/>
            <w:vAlign w:val="bottom"/>
          </w:tcPr>
          <w:p>
            <w:pPr>
              <w:jc w:val="right"/>
              <w:ind w:right="4012"/>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9"/>
                <w:szCs w:val="19"/>
                <w:color w:val="auto"/>
              </w:rPr>
            </w:pPr>
          </w:p>
        </w:tc>
      </w:tr>
    </w:tbl>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17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 deems it necessary to issue from time to time for its lawful purposes debt securities (hereinafter called the “Securities”) evidencing its unsecured indebtedness, which may or may not be convertible into or exchangeable for any securities of any Person (including the Company), and has duly authorized the execution and delivery of the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9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Indenture (as defined herein) is subject to the provisions of the Trust Indenture Act of 1939, as amended, that are required to be part of this Indenture and shall, to the extent applicable, be governed by such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things necessary to make this Indenture a valid and legally binding agreement of the Company, in accordance with its terms, have been done.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(as defined herein) thereof, it is mutually covenanted and agreed, for the equal and proportionate benefit of all Holders of the Securities and coupons, or of a series thereof,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101. 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71" w:lineRule="exact"/>
        <w:rPr>
          <w:sz w:val="20"/>
          <w:szCs w:val="20"/>
          <w:color w:val="auto"/>
        </w:rPr>
      </w:pPr>
    </w:p>
    <w:p>
      <w:pPr>
        <w:ind w:right="520" w:firstLine="464"/>
        <w:spacing w:after="0" w:line="332" w:lineRule="auto"/>
        <w:tabs>
          <w:tab w:leader="none" w:pos="7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85" w:lineRule="exact"/>
        <w:rPr>
          <w:rFonts w:ascii="Arial" w:cs="Arial" w:eastAsia="Arial" w:hAnsi="Arial"/>
          <w:sz w:val="16"/>
          <w:szCs w:val="16"/>
          <w:color w:val="auto"/>
        </w:rPr>
      </w:pPr>
    </w:p>
    <w:p>
      <w:pPr>
        <w:ind w:right="60" w:firstLine="464"/>
        <w:spacing w:after="0" w:line="306" w:lineRule="auto"/>
        <w:tabs>
          <w:tab w:leader="none" w:pos="7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other terms used herein which are defined in the Trust Indenture Act (as defined herein),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ectPr>
          <w:pgSz w:w="11900" w:h="16838" w:orient="portrait"/>
          <w:cols w:equalWidth="0" w:num="1">
            <w:col w:w="11420"/>
          </w:cols>
          <w:pgMar w:left="240" w:top="280" w:right="239" w:bottom="1440" w:gutter="0" w:footer="0" w:header="0"/>
        </w:sectPr>
      </w:pPr>
    </w:p>
    <w:bookmarkStart w:id="178" w:name="page179"/>
    <w:bookmarkEnd w:id="178"/>
    <w:p>
      <w:pPr>
        <w:ind w:right="12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accounting terms not otherwise defined herein have the meanings assigned to them in accordance with generally accepted accounting principles in the United States of America;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terms, used principally in Article Three, Article Five, Article Six and Article Ten, are defined in those Articles.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of a Security, has the meaning specified in Section 104.</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Amounts</w:t>
      </w:r>
      <w:r>
        <w:rPr>
          <w:rFonts w:ascii="Arial" w:cs="Arial" w:eastAsia="Arial" w:hAnsi="Arial"/>
          <w:sz w:val="16"/>
          <w:szCs w:val="16"/>
          <w:color w:val="auto"/>
        </w:rPr>
        <w:t>” means any additional amounts which are required by a Security or by or pursuant to a Board Resolution, under circumstances specified therein, to be paid by the Company in respect of certain taxes imposed on certain Holders and which are owing to such Holders.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authenticating agent appointed by the Trustee pursuant to Section 612 to act on behalf of the Trustee to authenticate Securities of one or more series.</w:t>
      </w:r>
    </w:p>
    <w:p>
      <w:pPr>
        <w:spacing w:after="0" w:line="132"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Authorized Newspaper</w:t>
      </w:r>
      <w:r>
        <w:rPr>
          <w:rFonts w:ascii="Arial" w:cs="Arial" w:eastAsia="Arial" w:hAnsi="Arial"/>
          <w:sz w:val="15"/>
          <w:szCs w:val="15"/>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bearer.</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the executive committee or any committee of that board duly authorized to act hereunder.</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 particular location are authorized or obligated by law or executive order to close.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International or its successor.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79" w:name="page180"/>
    <w:bookmarkEnd w:id="179"/>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execution of this instrument, such Commission is not existing and performing the duties now assigned to it under the Trust Indenture Act, then the body performing such duties on such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Depositary</w:t>
      </w:r>
      <w:r>
        <w:rPr>
          <w:rFonts w:ascii="Arial" w:cs="Arial" w:eastAsia="Arial" w:hAnsi="Arial"/>
          <w:sz w:val="18"/>
          <w:szCs w:val="18"/>
          <w:color w:val="auto"/>
        </w:rPr>
        <w:t>” has the meaning specified in Section 304.</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the Chairman, the President or a Vice President, and by the Chief Financial Officer, the Chief Operating Officer, the Secretary or an Assistant Secretary, of the Company, and delivered to the Trustee.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has the meaning specified in Section 312(d).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Euro both within the European Monetary System and for the settlement of transactions by public institutions of or within the European Communities or (iii) any currency unit (or composite currency) other than the Euro for the purposes for which it was established.</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the address set forth in the preamble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any currency or currencies, composite currency or currency unit or currency units, including, without limitation, the Euro, issued by the government of one or more countries or by any reorganized confederation or association of such governments.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U.S. dollar or other equivalent unit in such coin or currency of the United States of America as at the time shall be legal tender for the payment of public and private debts.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euro or other equivalent unit in such official coin or currency of European Union.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Date” has the meaning specified in Section 312(h).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Euroclear</w:t>
      </w:r>
      <w:r>
        <w:rPr>
          <w:rFonts w:ascii="Arial" w:cs="Arial" w:eastAsia="Arial" w:hAnsi="Arial"/>
          <w:sz w:val="18"/>
          <w:szCs w:val="18"/>
          <w:color w:val="auto"/>
        </w:rPr>
        <w:t>” means Morgan Guaranty Trust Company of New York, Brussels Office, or its successor as operator of the Euroclear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Communities</w:t>
      </w:r>
      <w:r>
        <w:rPr>
          <w:rFonts w:ascii="Arial" w:cs="Arial" w:eastAsia="Arial" w:hAnsi="Arial"/>
          <w:sz w:val="16"/>
          <w:szCs w:val="16"/>
          <w:color w:val="auto"/>
        </w:rPr>
        <w:t>” means the European Union, the European Coal and Steel Community and the European Atomic Energy Community.</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Agent</w:t>
      </w:r>
      <w:r>
        <w:rPr>
          <w:rFonts w:ascii="Arial" w:cs="Arial" w:eastAsia="Arial" w:hAnsi="Arial"/>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Officer’s Certificate</w:t>
      </w:r>
      <w:r>
        <w:rPr>
          <w:rFonts w:ascii="Arial" w:cs="Arial" w:eastAsia="Arial" w:hAnsi="Arial"/>
          <w:sz w:val="18"/>
          <w:szCs w:val="18"/>
          <w:color w:val="auto"/>
        </w:rPr>
        <w:t>”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Executive Officer, Chief Financial Officer or any Vice President of the Company.</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including, without limitation, the Euro issued by the government of one or more countries other than the United States of America or by any recognized confederation or association of such governments.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Obligations</w:t>
      </w:r>
      <w:r>
        <w:rPr>
          <w:rFonts w:ascii="Arial" w:cs="Arial" w:eastAsia="Arial" w:hAnsi="Arial"/>
          <w:sz w:val="16"/>
          <w:szCs w:val="16"/>
          <w:color w:val="auto"/>
        </w:rPr>
        <w:t xml:space="preserve">” means securities which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2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32" w:lineRule="exact"/>
        <w:rPr>
          <w:sz w:val="20"/>
          <w:szCs w:val="20"/>
          <w:color w:val="auto"/>
        </w:rPr>
      </w:pPr>
    </w:p>
    <w:p>
      <w:pPr>
        <w:ind w:right="70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Indenture</w:t>
      </w:r>
      <w:r>
        <w:rPr>
          <w:rFonts w:ascii="Arial" w:cs="Arial" w:eastAsia="Arial" w:hAnsi="Arial"/>
          <w:sz w:val="15"/>
          <w:szCs w:val="15"/>
          <w:color w:val="auto"/>
        </w:rPr>
        <w:t>”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81" w:name="page182"/>
    <w:bookmarkEnd w:id="18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contemplated by Section 301;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excluding, </w:t>
      </w:r>
      <w:r>
        <w:rPr>
          <w:rFonts w:ascii="Arial" w:cs="Arial" w:eastAsia="Arial" w:hAnsi="Arial"/>
          <w:sz w:val="16"/>
          <w:szCs w:val="16"/>
          <w:u w:val="single" w:color="auto"/>
          <w:color w:val="auto"/>
        </w:rPr>
        <w:t>however</w:t>
      </w:r>
      <w:r>
        <w:rPr>
          <w:rFonts w:ascii="Arial" w:cs="Arial" w:eastAsia="Arial" w:hAnsi="Arial"/>
          <w:sz w:val="16"/>
          <w:szCs w:val="16"/>
          <w:color w:val="auto"/>
        </w:rPr>
        <w:t>,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19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Junior Subordinated Securities</w:t>
      </w:r>
      <w:r>
        <w:rPr>
          <w:rFonts w:ascii="Arial" w:cs="Arial" w:eastAsia="Arial" w:hAnsi="Arial"/>
          <w:sz w:val="18"/>
          <w:szCs w:val="18"/>
          <w:color w:val="auto"/>
        </w:rPr>
        <w:t>” means any Security or Securities designated pursuant to Section 301 as a Junior Subordinated Security.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Indebtedness</w:t>
      </w:r>
      <w:r>
        <w:rPr>
          <w:rFonts w:ascii="Arial" w:cs="Arial" w:eastAsia="Arial" w:hAnsi="Arial"/>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and Senior Subordinated Indebtedness and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to any other Junior Subordinated Indebtedness, (b) Junior Subordinated Securities and (c) renewals, extensions, modifications and refinancings of any such indebtedness.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Exchange Rate</w:t>
      </w:r>
      <w:r>
        <w:rPr>
          <w:rFonts w:ascii="Arial" w:cs="Arial" w:eastAsia="Arial" w:hAnsi="Arial"/>
          <w:sz w:val="16"/>
          <w:szCs w:val="16"/>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82" w:name="page183"/>
    <w:bookmarkEnd w:id="18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has the meaning provided in Section 501.</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by the Chairman, the Chief Executive Officers, the President, or any Vice President, the Chief Financial Officer, the Chief Operating Officer, the Secretary or any Assistant Secretary of the Company, and delivered to the Trustee.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or any series of Securities, means, as of the date of determination, all Securities or all Securities of such series, as the case may be, theretofore authenticated and delivered under this Indenture, except:</w:t>
      </w:r>
    </w:p>
    <w:p>
      <w:pPr>
        <w:spacing w:after="0" w:line="51" w:lineRule="exact"/>
        <w:rPr>
          <w:sz w:val="20"/>
          <w:szCs w:val="20"/>
          <w:color w:val="auto"/>
        </w:rPr>
      </w:pPr>
    </w:p>
    <w:p>
      <w:pPr>
        <w:ind w:left="1120" w:hanging="217"/>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460" w:right="120" w:firstLine="443"/>
        <w:spacing w:after="0" w:line="255" w:lineRule="auto"/>
        <w:tabs>
          <w:tab w:leader="none" w:pos="115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61" w:lineRule="exact"/>
        <w:rPr>
          <w:rFonts w:ascii="Arial" w:cs="Arial" w:eastAsia="Arial" w:hAnsi="Arial"/>
          <w:sz w:val="18"/>
          <w:szCs w:val="18"/>
          <w:color w:val="auto"/>
        </w:rPr>
      </w:pPr>
    </w:p>
    <w:p>
      <w:pPr>
        <w:ind w:left="460" w:firstLine="443"/>
        <w:spacing w:after="0" w:line="268" w:lineRule="auto"/>
        <w:tabs>
          <w:tab w:leader="none" w:pos="12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50" w:lineRule="exact"/>
        <w:rPr>
          <w:rFonts w:ascii="Arial" w:cs="Arial" w:eastAsia="Arial" w:hAnsi="Arial"/>
          <w:sz w:val="18"/>
          <w:szCs w:val="18"/>
          <w:color w:val="auto"/>
        </w:rPr>
      </w:pPr>
    </w:p>
    <w:p>
      <w:pPr>
        <w:ind w:left="460" w:firstLine="443"/>
        <w:spacing w:after="0" w:line="306" w:lineRule="auto"/>
        <w:tabs>
          <w:tab w:leader="none" w:pos="119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83" w:name="page184"/>
    <w:bookmarkEnd w:id="183"/>
    <w:p>
      <w:pPr>
        <w:spacing w:after="0" w:line="28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2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premium, if any) or interest, if any, on any Securities or coupons on behalf of the Company.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means, when used with respect to the Securities of or within any series, the place or places where the principal of (and premium, if any) and interest, if any, on such Securities are payable as specified and as contemplated by Sections 301 and 1002.</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 7</w:t>
      </w:r>
    </w:p>
    <w:p>
      <w:pPr>
        <w:sectPr>
          <w:pgSz w:w="11900" w:h="16838" w:orient="portrait"/>
          <w:cols w:equalWidth="0" w:num="1">
            <w:col w:w="11400"/>
          </w:cols>
          <w:pgMar w:left="240" w:top="280" w:right="25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which is registered in the Security Register.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means the date fixed for such repayment by or pursuant to this Indenture.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means the price at which it is to be repaid by or pursuant to this Indenture.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assigned by the Trustee to administer its corporate trust matters and who shall have direct responsibility for the administration of this Indenture.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w:t>
      </w:r>
      <w:r>
        <w:rPr>
          <w:rFonts w:ascii="Arial" w:cs="Arial" w:eastAsia="Arial" w:hAnsi="Arial"/>
          <w:sz w:val="16"/>
          <w:szCs w:val="16"/>
          <w:color w:val="auto"/>
        </w:rPr>
        <w:t>” or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w:t>
      </w:r>
      <w:r>
        <w:rPr>
          <w:rFonts w:ascii="Arial" w:cs="Arial" w:eastAsia="Arial" w:hAnsi="Arial"/>
          <w:sz w:val="16"/>
          <w:szCs w:val="16"/>
          <w:u w:val="single" w:color="auto"/>
          <w:color w:val="auto"/>
        </w:rPr>
        <w:t>exclusive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of Securities of any series as to which such Person is not Trustee.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pursuant to which the same is outstanding it is provided that such indebtedness is expressly subordinated, and is not senior or prior in right of payment, to Subordinated Indebtedness, (b) Senior Securities and (c) renewals, extensions, modifications and refinancings of any such indebtedness.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Security or Securities designated pursuant to Section 301 as a Senior Security.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Subordinated Indebtedness</w:t>
      </w:r>
      <w:r>
        <w:rPr>
          <w:rFonts w:ascii="Arial" w:cs="Arial" w:eastAsia="Arial" w:hAnsi="Arial"/>
          <w:sz w:val="16"/>
          <w:szCs w:val="16"/>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Subordinated Securities</w:t>
      </w:r>
      <w:r>
        <w:rPr>
          <w:rFonts w:ascii="Arial" w:cs="Arial" w:eastAsia="Arial" w:hAnsi="Arial"/>
          <w:sz w:val="18"/>
          <w:szCs w:val="18"/>
          <w:color w:val="auto"/>
        </w:rPr>
        <w:t>” means any Security or Securities designated pursuant to Section 301 as a Senior Subordinated Security.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5" w:name="page186"/>
    <w:bookmarkEnd w:id="185"/>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 pursuant to Section 307.</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Senior Subordinated Indebtedness or Junior Subordinated Indebtedness.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a majority of the outstanding voting stock of which is owned, directly or indirectly, by the Company or by one or more other Subsidiaries of the Company. For the purposes of this definition, “voting stock” means stock having voting power for the election of directors, whether at all times or only so long as no senior class of stock has such voting power by reason of any contingency.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as in force at the date as of which this Indenture was executed, except as provided in Section 905.</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has the meaning specified in Section 312(c).</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6" w:name="page187"/>
    <w:bookmarkEnd w:id="18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102. Compliance Certificates and Opinions.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this Indenture (other than pursuant to Section 1005)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include:</w:t>
      </w:r>
    </w:p>
    <w:p>
      <w:pPr>
        <w:spacing w:after="0" w:line="165" w:lineRule="exact"/>
        <w:rPr>
          <w:sz w:val="20"/>
          <w:szCs w:val="20"/>
          <w:color w:val="auto"/>
        </w:rPr>
      </w:pPr>
    </w:p>
    <w:p>
      <w:pPr>
        <w:ind w:left="720" w:hanging="256"/>
        <w:spacing w:after="0"/>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94"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or she has made such examination or investigation as is necessary to enable such individual to express an informed opinion as to whether or not such condition or covenant has been complied with;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103. Form of Documents Delivered to Trustee.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87" w:name="page188"/>
    <w:bookmarkEnd w:id="187"/>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104. Acts of Holders.</w:t>
      </w:r>
    </w:p>
    <w:p>
      <w:pPr>
        <w:spacing w:after="0" w:line="177" w:lineRule="exact"/>
        <w:rPr>
          <w:sz w:val="20"/>
          <w:szCs w:val="20"/>
          <w:color w:val="auto"/>
        </w:rPr>
      </w:pPr>
    </w:p>
    <w:p>
      <w:pPr>
        <w:ind w:left="-40" w:firstLine="464"/>
        <w:spacing w:after="0" w:line="286"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20" w:lineRule="exact"/>
        <w:rPr>
          <w:rFonts w:ascii="Arial" w:cs="Arial" w:eastAsia="Arial" w:hAnsi="Arial"/>
          <w:sz w:val="16"/>
          <w:szCs w:val="16"/>
          <w:color w:val="auto"/>
        </w:rPr>
      </w:pPr>
    </w:p>
    <w:p>
      <w:pPr>
        <w:ind w:left="-40" w:right="80" w:firstLine="464"/>
        <w:spacing w:after="0" w:line="294" w:lineRule="auto"/>
        <w:tabs>
          <w:tab w:leader="none" w:pos="6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15" w:lineRule="exact"/>
        <w:rPr>
          <w:rFonts w:ascii="Arial" w:cs="Arial" w:eastAsia="Arial" w:hAnsi="Arial"/>
          <w:sz w:val="16"/>
          <w:szCs w:val="16"/>
          <w:color w:val="auto"/>
        </w:rPr>
      </w:pPr>
    </w:p>
    <w:p>
      <w:pPr>
        <w:ind w:left="660" w:hanging="2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171" w:lineRule="exact"/>
        <w:rPr>
          <w:rFonts w:ascii="Arial" w:cs="Arial" w:eastAsia="Arial" w:hAnsi="Arial"/>
          <w:sz w:val="18"/>
          <w:szCs w:val="18"/>
          <w:color w:val="auto"/>
        </w:rPr>
      </w:pPr>
    </w:p>
    <w:p>
      <w:pPr>
        <w:ind w:left="-40" w:right="20" w:firstLine="464"/>
        <w:spacing w:after="0" w:line="289" w:lineRule="auto"/>
        <w:tabs>
          <w:tab w:leader="none" w:pos="6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that the Trustee deems reasonably sufficient.</w:t>
      </w:r>
    </w:p>
    <w:p>
      <w:pPr>
        <w:spacing w:after="0" w:line="118" w:lineRule="exact"/>
        <w:rPr>
          <w:rFonts w:ascii="Arial" w:cs="Arial" w:eastAsia="Arial" w:hAnsi="Arial"/>
          <w:sz w:val="16"/>
          <w:szCs w:val="16"/>
          <w:color w:val="auto"/>
        </w:rPr>
      </w:pPr>
    </w:p>
    <w:p>
      <w:pPr>
        <w:ind w:left="-40" w:right="240" w:firstLine="464"/>
        <w:spacing w:after="0" w:line="256"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188" w:name="page189"/>
    <w:bookmarkEnd w:id="18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18" w:lineRule="exact"/>
        <w:rPr>
          <w:sz w:val="20"/>
          <w:szCs w:val="20"/>
          <w:color w:val="auto"/>
        </w:rPr>
      </w:pPr>
    </w:p>
    <w:p>
      <w:pPr>
        <w:ind w:right="200" w:firstLine="464"/>
        <w:spacing w:after="0" w:line="256" w:lineRule="auto"/>
        <w:tabs>
          <w:tab w:leader="none" w:pos="67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105. Notices, Etc., to Trustee and Company.</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Trustee by any Holder or by the Company shall be sufficient for every purpose hereunder if made, given, furnished, filed or mailed, first-class</w:t>
      </w:r>
    </w:p>
    <w:p>
      <w:pPr>
        <w:spacing w:after="0" w:line="38" w:lineRule="exact"/>
        <w:rPr>
          <w:sz w:val="20"/>
          <w:szCs w:val="20"/>
          <w:color w:val="auto"/>
        </w:rPr>
      </w:pPr>
    </w:p>
    <w:p>
      <w:pPr>
        <w:spacing w:after="0"/>
        <w:tabs>
          <w:tab w:leader="none" w:pos="7160" w:val="left"/>
        </w:tabs>
        <w:rPr>
          <w:sz w:val="20"/>
          <w:szCs w:val="20"/>
          <w:color w:val="auto"/>
        </w:rPr>
      </w:pPr>
      <w:r>
        <w:rPr>
          <w:rFonts w:ascii="Arial" w:cs="Arial" w:eastAsia="Arial" w:hAnsi="Arial"/>
          <w:sz w:val="18"/>
          <w:szCs w:val="18"/>
          <w:color w:val="auto"/>
        </w:rPr>
        <w:t>postage prepaid in writing to or with the Trustee at its Corporate Trust Office, Attention: [</w:t>
      </w:r>
      <w:r>
        <w:rPr>
          <w:sz w:val="20"/>
          <w:szCs w:val="20"/>
          <w:color w:val="auto"/>
        </w:rPr>
        <w:tab/>
      </w:r>
      <w:r>
        <w:rPr>
          <w:rFonts w:ascii="Arial" w:cs="Arial" w:eastAsia="Arial" w:hAnsi="Arial"/>
          <w:sz w:val="16"/>
          <w:szCs w:val="16"/>
          <w:color w:val="auto"/>
        </w:rPr>
        <w:t>]; or</w:t>
      </w:r>
    </w:p>
    <w:p>
      <w:pPr>
        <w:spacing w:after="0" w:line="165" w:lineRule="exact"/>
        <w:rPr>
          <w:sz w:val="20"/>
          <w:szCs w:val="20"/>
          <w:color w:val="auto"/>
        </w:rPr>
      </w:pPr>
    </w:p>
    <w:p>
      <w:pPr>
        <w:jc w:val="both"/>
        <w:ind w:right="60" w:firstLine="464"/>
        <w:spacing w:after="0" w:line="306"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Chief Financial Officer or at any other address previously furnished in writing to the Trustee by the Company.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106. Notice to Holders; Waiver.</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9" w:name="page190"/>
    <w:bookmarkEnd w:id="189"/>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and not earlier than the earliest date, prescribed for the giving of such notice. Any such notice shall be deemed to have been given on the date of such publication or, if published more than once, on the date of the first such publication.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107. Effect of Headings and Table of Contents.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108. Successors and Assigns.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109. Separability Clause.</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 Benefits of Indenture.</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in this Indenture or in 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90" w:name="page191"/>
    <w:bookmarkEnd w:id="19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111. Governing Law.</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Indenture and the Securities and coupons shall be governed by, and construed in accordance with, the law of the State of New York. This Indenture is subject to the provisions of the Trust Indenture Act that are required to be part of this Indenture and shall, to the extent applicable, be governed by such provisions.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112. Legal Holidays.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113. Submission to Jurisdiction.</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state or federal court in New York. The Company hereby irrevocably waives, to the fullest extent it may effectively do so, the defense of an inconvenient forum to the maintenance of such action or proceeding.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201. 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Registered Securities, if any, of each series and the Bearer Securities, if any, of each series and related coupons,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1" w:name="page192"/>
    <w:bookmarkEnd w:id="19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definitive Securities and coupons shall be printed, lithographed, engraved, photocopied, produced by any combination of these methods on a steel engraved border or may be produced in any other manner, all as determined by the officers executing such Securities or coupons, as evidenced by their execution of such Securities or coupons.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202. Form of Trustee’s Certificate of Authentication.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611, the Trustee’s certificate of authentication shall be in substantially the following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ind w:left="7240"/>
        <w:spacing w:after="0"/>
        <w:tabs>
          <w:tab w:leader="none" w:pos="8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Authorized Officer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203. Securities Issuable in Global Form.</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Securities of or within a series are issuable in global form, as specified as contemplated by Section 301, then, notwithstanding clause (8)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delivery or redelivery of a Security in global form shall be in writing but need not comply with Section 102 and need not be accompanied by an Opinion of Counsel.</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provisions of the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Notwithstanding the provisions of Section 309 and except as provided in the preceding paragraph, the Company, the Trustee and any agent of the Company and the Trustee shall treat as the Holder of such principal amount of Outstanding Securities represented by a permanent global Security (i) in the case of a</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2" w:name="page193"/>
    <w:bookmarkEnd w:id="19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permanent global Security in registered form, the Holder of such permanent global Security in registered form or (ii) in the case of a permanent global Security in bearer form, Euroclear or Clearstream.</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THREE</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301. Amount Unlimited; Issuable in Series.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17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The Securities may be issued in one or more series and shall be designated as Senior Securities, Senior Subordinated Securities or Junior Subordinated Securities. Senior Securities are unsubordinated, shall rank equally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of the Company’s Senior Indebtedness and senior to all Subordinated Securities. Senior Subordinated Securities be expressly subordinated and shall rank junior to the Company’s Senior Indebtedness, equally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other Senior Subordinated Indebtedness and senior to any Junior Subordinated Indebtedness. Junior Subordinated Securities shall be expressly subordinated and rank junior to the Company’s Senior Indebtedness and any Senior Subordinated Indebtedness and equally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other Junior Subordinated Indebtedness.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when issued from time to time):</w:t>
      </w:r>
    </w:p>
    <w:p>
      <w:pPr>
        <w:spacing w:after="0" w:line="108" w:lineRule="exact"/>
        <w:rPr>
          <w:sz w:val="20"/>
          <w:szCs w:val="20"/>
          <w:color w:val="auto"/>
        </w:rPr>
      </w:pPr>
    </w:p>
    <w:p>
      <w:pPr>
        <w:ind w:right="800" w:firstLine="464"/>
        <w:spacing w:after="0" w:line="268"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31" w:lineRule="exact"/>
        <w:rPr>
          <w:rFonts w:ascii="Arial" w:cs="Arial" w:eastAsia="Arial" w:hAnsi="Arial"/>
          <w:sz w:val="18"/>
          <w:szCs w:val="18"/>
          <w:color w:val="auto"/>
        </w:rPr>
      </w:pPr>
    </w:p>
    <w:p>
      <w:pPr>
        <w:ind w:right="60" w:firstLine="464"/>
        <w:spacing w:after="0" w:line="335" w:lineRule="auto"/>
        <w:tabs>
          <w:tab w:leader="none" w:pos="70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88" w:lineRule="exact"/>
        <w:rPr>
          <w:rFonts w:ascii="Arial" w:cs="Arial" w:eastAsia="Arial" w:hAnsi="Arial"/>
          <w:sz w:val="15"/>
          <w:szCs w:val="15"/>
          <w:color w:val="auto"/>
        </w:rPr>
      </w:pPr>
    </w:p>
    <w:p>
      <w:pPr>
        <w:ind w:right="60" w:firstLine="464"/>
        <w:spacing w:after="0" w:line="268"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shall be determined or extended, on which the principal of the Securities of the series shall be payable;</w:t>
      </w:r>
    </w:p>
    <w:p>
      <w:pPr>
        <w:spacing w:after="0" w:line="131" w:lineRule="exact"/>
        <w:rPr>
          <w:rFonts w:ascii="Arial" w:cs="Arial" w:eastAsia="Arial" w:hAnsi="Arial"/>
          <w:sz w:val="18"/>
          <w:szCs w:val="18"/>
          <w:color w:val="auto"/>
        </w:rPr>
      </w:pPr>
    </w:p>
    <w:p>
      <w:pPr>
        <w:ind w:right="40" w:firstLine="464"/>
        <w:spacing w:after="0" w:line="298"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12" w:lineRule="exact"/>
        <w:rPr>
          <w:rFonts w:ascii="Arial" w:cs="Arial" w:eastAsia="Arial" w:hAnsi="Arial"/>
          <w:sz w:val="16"/>
          <w:szCs w:val="16"/>
          <w:color w:val="auto"/>
        </w:rPr>
      </w:pPr>
    </w:p>
    <w:p>
      <w:pPr>
        <w:ind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The City of New York,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93" w:name="page194"/>
    <w:bookmarkEnd w:id="193"/>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convertible or exchangeable may be surrendered for conversion or exchange, as applicable, and where notices or demands to or upon the Company in respect of the Securities of the series and this Indenture may be served;</w:t>
      </w:r>
    </w:p>
    <w:p>
      <w:pPr>
        <w:spacing w:after="0" w:line="132" w:lineRule="exact"/>
        <w:rPr>
          <w:sz w:val="20"/>
          <w:szCs w:val="20"/>
          <w:color w:val="auto"/>
        </w:rPr>
      </w:pPr>
    </w:p>
    <w:p>
      <w:pPr>
        <w:ind w:right="40" w:firstLine="464"/>
        <w:spacing w:after="0" w:line="332" w:lineRule="auto"/>
        <w:tabs>
          <w:tab w:leader="none" w:pos="70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85" w:lineRule="exact"/>
        <w:rPr>
          <w:rFonts w:ascii="Arial" w:cs="Arial" w:eastAsia="Arial" w:hAnsi="Arial"/>
          <w:sz w:val="16"/>
          <w:szCs w:val="16"/>
          <w:color w:val="auto"/>
        </w:rPr>
      </w:pPr>
    </w:p>
    <w:p>
      <w:pPr>
        <w:jc w:val="both"/>
        <w:ind w:firstLine="464"/>
        <w:spacing w:after="0" w:line="335" w:lineRule="auto"/>
        <w:tabs>
          <w:tab w:leader="none" w:pos="70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88" w:lineRule="exact"/>
        <w:rPr>
          <w:rFonts w:ascii="Arial" w:cs="Arial" w:eastAsia="Arial" w:hAnsi="Arial"/>
          <w:sz w:val="15"/>
          <w:szCs w:val="15"/>
          <w:color w:val="auto"/>
        </w:rPr>
      </w:pPr>
    </w:p>
    <w:p>
      <w:pPr>
        <w:ind w:right="200"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and/or Paying Agent;</w:t>
      </w:r>
    </w:p>
    <w:p>
      <w:pPr>
        <w:spacing w:after="0" w:line="171" w:lineRule="exact"/>
        <w:rPr>
          <w:rFonts w:ascii="Arial" w:cs="Arial" w:eastAsia="Arial" w:hAnsi="Arial"/>
          <w:sz w:val="18"/>
          <w:szCs w:val="18"/>
          <w:color w:val="auto"/>
        </w:rPr>
      </w:pPr>
    </w:p>
    <w:p>
      <w:pPr>
        <w:ind w:right="240" w:firstLine="464"/>
        <w:spacing w:after="0" w:line="256" w:lineRule="auto"/>
        <w:tabs>
          <w:tab w:leader="none" w:pos="7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143" w:lineRule="exact"/>
        <w:rPr>
          <w:rFonts w:ascii="Arial" w:cs="Arial" w:eastAsia="Arial" w:hAnsi="Arial"/>
          <w:sz w:val="18"/>
          <w:szCs w:val="18"/>
          <w:color w:val="auto"/>
        </w:rPr>
      </w:pPr>
    </w:p>
    <w:p>
      <w:pPr>
        <w:jc w:val="both"/>
        <w:ind w:right="180" w:firstLine="464"/>
        <w:spacing w:after="0" w:line="259" w:lineRule="auto"/>
        <w:tabs>
          <w:tab w:leader="none" w:pos="78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140" w:lineRule="exact"/>
        <w:rPr>
          <w:rFonts w:ascii="Arial" w:cs="Arial" w:eastAsia="Arial" w:hAnsi="Arial"/>
          <w:sz w:val="18"/>
          <w:szCs w:val="18"/>
          <w:color w:val="auto"/>
        </w:rPr>
      </w:pPr>
    </w:p>
    <w:p>
      <w:pPr>
        <w:ind w:right="400" w:firstLine="464"/>
        <w:spacing w:after="0" w:line="259" w:lineRule="auto"/>
        <w:tabs>
          <w:tab w:leader="none" w:pos="7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40" w:lineRule="exact"/>
        <w:rPr>
          <w:rFonts w:ascii="Arial" w:cs="Arial" w:eastAsia="Arial" w:hAnsi="Arial"/>
          <w:sz w:val="18"/>
          <w:szCs w:val="18"/>
          <w:color w:val="auto"/>
        </w:rPr>
      </w:pPr>
    </w:p>
    <w:p>
      <w:pPr>
        <w:ind w:right="20" w:firstLine="464"/>
        <w:spacing w:after="0" w:line="294" w:lineRule="auto"/>
        <w:tabs>
          <w:tab w:leader="none" w:pos="79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115" w:lineRule="exact"/>
        <w:rPr>
          <w:rFonts w:ascii="Arial" w:cs="Arial" w:eastAsia="Arial" w:hAnsi="Arial"/>
          <w:sz w:val="16"/>
          <w:szCs w:val="16"/>
          <w:color w:val="auto"/>
        </w:rPr>
      </w:pPr>
    </w:p>
    <w:p>
      <w:pPr>
        <w:ind w:left="800" w:hanging="336"/>
        <w:spacing w:after="0"/>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4" w:name="page195"/>
    <w:bookmarkEnd w:id="194"/>
    <w:p>
      <w:pPr>
        <w:jc w:val="both"/>
        <w:ind w:left="-20" w:right="100" w:firstLine="464"/>
        <w:spacing w:after="0" w:line="259" w:lineRule="auto"/>
        <w:tabs>
          <w:tab w:leader="none" w:pos="7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deletions from, modifications of or additions to the Events of Default or covenants (including any deletions from, modifications of or additions to any of the provisions of Section 1007) of the Company with respect to Securities of the series, whether or not such Events of Default or covenants are consistent with the Events of Default or covenants set forth herein;</w:t>
      </w:r>
    </w:p>
    <w:p>
      <w:pPr>
        <w:spacing w:after="0" w:line="140" w:lineRule="exact"/>
        <w:rPr>
          <w:rFonts w:ascii="Arial" w:cs="Arial" w:eastAsia="Arial" w:hAnsi="Arial"/>
          <w:sz w:val="18"/>
          <w:szCs w:val="18"/>
          <w:color w:val="auto"/>
        </w:rPr>
      </w:pPr>
    </w:p>
    <w:p>
      <w:pPr>
        <w:ind w:left="-20" w:right="20" w:firstLine="464"/>
        <w:spacing w:after="0" w:line="309" w:lineRule="auto"/>
        <w:tabs>
          <w:tab w:leader="none" w:pos="77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with or without coupons and whether any Securities of the series are to be issuable in permanent global form with or without coupons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the series, and the circumstances under which and the place or places where such exchanges may be made and if Securities of the series are to be issuable as a global Security, the identity of the depository for such series;</w:t>
      </w:r>
    </w:p>
    <w:p>
      <w:pPr>
        <w:spacing w:after="0" w:line="108" w:lineRule="exact"/>
        <w:rPr>
          <w:rFonts w:ascii="Arial" w:cs="Arial" w:eastAsia="Arial" w:hAnsi="Arial"/>
          <w:sz w:val="15"/>
          <w:szCs w:val="15"/>
          <w:color w:val="auto"/>
        </w:rPr>
      </w:pPr>
    </w:p>
    <w:p>
      <w:pPr>
        <w:ind w:left="-20" w:right="280" w:firstLine="464"/>
        <w:spacing w:after="0" w:line="268" w:lineRule="auto"/>
        <w:tabs>
          <w:tab w:leader="none" w:pos="7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31" w:lineRule="exact"/>
        <w:rPr>
          <w:rFonts w:ascii="Arial" w:cs="Arial" w:eastAsia="Arial" w:hAnsi="Arial"/>
          <w:sz w:val="18"/>
          <w:szCs w:val="18"/>
          <w:color w:val="auto"/>
        </w:rPr>
      </w:pPr>
    </w:p>
    <w:p>
      <w:pPr>
        <w:ind w:left="-20" w:right="60" w:firstLine="464"/>
        <w:spacing w:after="0" w:line="291" w:lineRule="auto"/>
        <w:tabs>
          <w:tab w:leader="none" w:pos="7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shall be paid if other than in the manner provided in Section 307;</w:t>
      </w:r>
    </w:p>
    <w:p>
      <w:pPr>
        <w:spacing w:after="0" w:line="120" w:lineRule="exact"/>
        <w:rPr>
          <w:rFonts w:ascii="Arial" w:cs="Arial" w:eastAsia="Arial" w:hAnsi="Arial"/>
          <w:sz w:val="16"/>
          <w:szCs w:val="16"/>
          <w:color w:val="auto"/>
        </w:rPr>
      </w:pPr>
    </w:p>
    <w:p>
      <w:pPr>
        <w:ind w:left="-20" w:right="220" w:firstLine="464"/>
        <w:spacing w:after="0" w:line="268" w:lineRule="auto"/>
        <w:tabs>
          <w:tab w:leader="none" w:pos="7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131" w:lineRule="exact"/>
        <w:rPr>
          <w:rFonts w:ascii="Arial" w:cs="Arial" w:eastAsia="Arial" w:hAnsi="Arial"/>
          <w:sz w:val="18"/>
          <w:szCs w:val="18"/>
          <w:color w:val="auto"/>
        </w:rPr>
      </w:pPr>
    </w:p>
    <w:p>
      <w:pPr>
        <w:ind w:left="-20" w:right="180" w:firstLine="464"/>
        <w:spacing w:after="0" w:line="259" w:lineRule="auto"/>
        <w:tabs>
          <w:tab w:leader="none" w:pos="7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40" w:lineRule="exact"/>
        <w:rPr>
          <w:rFonts w:ascii="Arial" w:cs="Arial" w:eastAsia="Arial" w:hAnsi="Arial"/>
          <w:sz w:val="18"/>
          <w:szCs w:val="18"/>
          <w:color w:val="auto"/>
        </w:rPr>
      </w:pPr>
    </w:p>
    <w:p>
      <w:pPr>
        <w:ind w:left="-20" w:firstLine="464"/>
        <w:spacing w:after="0" w:line="256" w:lineRule="auto"/>
        <w:tabs>
          <w:tab w:leader="none" w:pos="77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shall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43" w:lineRule="exact"/>
        <w:rPr>
          <w:rFonts w:ascii="Arial" w:cs="Arial" w:eastAsia="Arial" w:hAnsi="Arial"/>
          <w:sz w:val="18"/>
          <w:szCs w:val="18"/>
          <w:color w:val="auto"/>
        </w:rPr>
      </w:pPr>
    </w:p>
    <w:p>
      <w:pPr>
        <w:ind w:left="780" w:hanging="33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195" w:name="page196"/>
    <w:bookmarkEnd w:id="195"/>
    <w:p>
      <w:pPr>
        <w:ind w:left="800" w:hanging="336"/>
        <w:spacing w:after="0"/>
        <w:tabs>
          <w:tab w:leader="none" w:pos="8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Securities of the series are to be issued upon the exercise of warrants, the time, manner and place for such Securities to be authenticated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delivered;</w:t>
      </w:r>
    </w:p>
    <w:p>
      <w:pPr>
        <w:spacing w:after="0" w:line="164" w:lineRule="exact"/>
        <w:rPr>
          <w:rFonts w:ascii="Arial" w:cs="Arial" w:eastAsia="Arial" w:hAnsi="Arial"/>
          <w:sz w:val="16"/>
          <w:szCs w:val="16"/>
          <w:color w:val="auto"/>
        </w:rPr>
      </w:pPr>
    </w:p>
    <w:p>
      <w:pPr>
        <w:ind w:right="520" w:firstLine="464"/>
        <w:spacing w:after="0" w:line="268" w:lineRule="auto"/>
        <w:tabs>
          <w:tab w:leader="none" w:pos="79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shall be so convertible or exchangeable; and</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or the requirements of the Trust Indenture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Registered Securities, as to denomination and except as may otherwise be provided in or pursuant to the Board Resolution referred to above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and set forth in the Officer’s Certificate referred to above or in any such indenture supplemental hereto. All Securities of any one series need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at the same time and, unless otherwise provided, a series may be reopened, without the consent of the Holders, for issuances of additional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series.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302. Denominations.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303. Execution, Authentication, Delivery and Dating.</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Securities and any coupons appertaining thereto shall be executed on behalf of the Company by its Chairman, the Chief Executive Officer, the Chief Financial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Upon delivery of the Company Order, the Trustee shall authenticate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6" w:name="page197"/>
    <w:bookmarkEnd w:id="19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deliver such Securities in accordance there with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its original 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w:t>
      </w:r>
    </w:p>
    <w:p>
      <w:pPr>
        <w:spacing w:after="0" w:line="12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35" w:lineRule="exact"/>
        <w:rPr>
          <w:sz w:val="20"/>
          <w:szCs w:val="20"/>
          <w:color w:val="auto"/>
        </w:rPr>
      </w:pPr>
    </w:p>
    <w:p>
      <w:pPr>
        <w:ind w:left="1120" w:hanging="217"/>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Opinion of Counsel stating,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that the form or forms of such Securities and any coupons have been established in conformity with the provisions of this Indenture;</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that the terms of such Securities and any coupons have been established in conformity with the provisions of this Indenture; and</w:t>
      </w:r>
    </w:p>
    <w:p>
      <w:pPr>
        <w:spacing w:after="0" w:line="113" w:lineRule="exact"/>
        <w:rPr>
          <w:rFonts w:ascii="Arial" w:cs="Arial" w:eastAsia="Arial" w:hAnsi="Arial"/>
          <w:sz w:val="16"/>
          <w:szCs w:val="16"/>
          <w:color w:val="auto"/>
        </w:rPr>
      </w:pPr>
    </w:p>
    <w:p>
      <w:pPr>
        <w:ind w:left="920" w:right="40" w:firstLine="421"/>
        <w:spacing w:after="0" w:line="253" w:lineRule="auto"/>
        <w:tabs>
          <w:tab w:leader="none" w:pos="157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that 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 any coupons; and</w:t>
      </w:r>
    </w:p>
    <w:p>
      <w:pPr>
        <w:spacing w:after="0" w:line="66" w:lineRule="exact"/>
        <w:rPr>
          <w:sz w:val="20"/>
          <w:szCs w:val="20"/>
          <w:color w:val="auto"/>
        </w:rPr>
      </w:pPr>
    </w:p>
    <w:p>
      <w:pPr>
        <w:ind w:left="460" w:right="120" w:firstLine="443"/>
        <w:spacing w:after="0" w:line="268" w:lineRule="auto"/>
        <w:tabs>
          <w:tab w:leader="none" w:pos="115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Officer’s Certificate stating, to the best of the knowledge of the signers of such certificate, that no Event of Default with respect to any of the Securities shall have occurred and be continuing.</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97" w:name="page198"/>
    <w:bookmarkEnd w:id="197"/>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series, but such order, opinion and certificates, with appropriate modifications to cover such future issuances, shall be delivered at or before the time of issuance of the first Security of such series.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which is not reasonably acceptable to the Trustee. Notwithstanding the generality of the foregoing, the Trustee shall not be required to authenticate Securities denominated in a Foreign Currency if the Trustee reasonably believes that it would be unable to perform its duties with respect to such Securities.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304. Temporary Securities.</w:t>
      </w:r>
    </w:p>
    <w:p>
      <w:pPr>
        <w:spacing w:after="0" w:line="177" w:lineRule="exact"/>
        <w:rPr>
          <w:sz w:val="20"/>
          <w:szCs w:val="20"/>
          <w:color w:val="auto"/>
        </w:rPr>
      </w:pPr>
    </w:p>
    <w:p>
      <w:pPr>
        <w:ind w:firstLine="464"/>
        <w:spacing w:after="0" w:line="294"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Except in the case of temporary Securities in global form (which shall be exchanged in accordance with Section 304(b)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and the Trustee shall authenticate and deliver in exchange therefor a like principal amount and like tenor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98" w:name="page199"/>
    <w:bookmarkEnd w:id="198"/>
    <w:p>
      <w:pPr>
        <w:jc w:val="both"/>
        <w:ind w:right="80" w:firstLine="464"/>
        <w:spacing w:after="0" w:line="298"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provided in or pursuant to a Board Resolution, this Section 304(b) shall govern the exchange of temporary Securities issued in global form. 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or to the Security Registrar,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definitive Bearer Securities shall be delivered in exchange for a portion of a temporary global Security only in compliance with the requirements of Section 303.</w:t>
      </w:r>
    </w:p>
    <w:p>
      <w:pPr>
        <w:spacing w:after="0" w:line="10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2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99" w:name="page200"/>
    <w:bookmarkEnd w:id="199"/>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A-1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305. Registration, Registration of Transfer and Exchange.</w:t>
      </w:r>
    </w:p>
    <w:p>
      <w:pPr>
        <w:spacing w:after="0" w:line="177"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0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00" w:name="page201"/>
    <w:bookmarkEnd w:id="200"/>
    <w:p>
      <w:pPr>
        <w:ind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3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2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which the Holder making the exchange is entitled to receive.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01" w:name="page202"/>
    <w:bookmarkEnd w:id="20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exchanged which, unless the Securities of the series are not issuable both as Bearer Securities and as Registered Securities, in which case the definitive Securities exchanged for the permanent global Security shall be issuable only in the form in which the Securities are issuable, as specified as contemplated by Section 301, shall be in the form of Bearer Securities or Registered Securities, or any combination thereof, as shall be specified by the beneficial owner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 xml:space="preserve">r,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2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8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40"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202" w:name="page203"/>
    <w:bookmarkEnd w:id="20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306. Mutilated, Destroyed, Lost and Stolen Securities.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there shall be delivered to the Company and to the Trustee (i) evidence to their satisfaction of the destruction, loss or theft of any Security or coupon, and</w:t>
      </w:r>
    </w:p>
    <w:p>
      <w:pPr>
        <w:spacing w:after="0" w:line="50"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w:t>
      </w:r>
    </w:p>
    <w:p>
      <w:pPr>
        <w:spacing w:after="0" w:line="32" w:lineRule="exact"/>
        <w:rPr>
          <w:rFonts w:ascii="Arial" w:cs="Arial" w:eastAsia="Arial" w:hAnsi="Arial"/>
          <w:sz w:val="16"/>
          <w:szCs w:val="16"/>
          <w:color w:val="auto"/>
        </w:rPr>
      </w:pPr>
    </w:p>
    <w:p>
      <w:pPr>
        <w:ind w:right="40"/>
        <w:spacing w:after="0" w:line="292" w:lineRule="auto"/>
        <w:rPr>
          <w:rFonts w:ascii="Arial" w:cs="Arial" w:eastAsia="Arial" w:hAnsi="Arial"/>
          <w:sz w:val="16"/>
          <w:szCs w:val="16"/>
          <w:color w:val="auto"/>
        </w:rPr>
      </w:pPr>
      <w:r>
        <w:rPr>
          <w:rFonts w:ascii="Arial" w:cs="Arial" w:eastAsia="Arial" w:hAnsi="Arial"/>
          <w:sz w:val="16"/>
          <w:szCs w:val="16"/>
          <w:color w:val="auto"/>
        </w:rPr>
        <w:t>Company or the Trustee that such Security or coupon has been acquired by a protected purchaser, the Company shall, subject to the following paragraph,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principal of (and premium,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2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9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307. Payment of Interest; Interest Rights Preserved; Optional Interest Reset.</w:t>
      </w:r>
    </w:p>
    <w:p>
      <w:pPr>
        <w:spacing w:after="0" w:line="177" w:lineRule="exact"/>
        <w:rPr>
          <w:sz w:val="20"/>
          <w:szCs w:val="20"/>
          <w:color w:val="auto"/>
        </w:rPr>
      </w:pPr>
    </w:p>
    <w:p>
      <w:pPr>
        <w:ind w:right="20" w:firstLine="464"/>
        <w:spacing w:after="0" w:line="291" w:lineRule="auto"/>
        <w:tabs>
          <w:tab w:leader="none" w:pos="6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if any, may be made, in the case of a Bearer Security, by transfer to an account maintained by the payee with a bank located outside the United States.</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shall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shall be payable only to the Holder of such coupon when due in accordance with the provisions of this Indenture.</w:t>
      </w:r>
    </w:p>
    <w:p>
      <w:pPr>
        <w:spacing w:after="0" w:line="11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32" w:lineRule="exact"/>
        <w:rPr>
          <w:sz w:val="20"/>
          <w:szCs w:val="20"/>
          <w:color w:val="auto"/>
        </w:rPr>
      </w:pPr>
    </w:p>
    <w:p>
      <w:pPr>
        <w:ind w:left="460" w:right="20" w:firstLine="443"/>
        <w:spacing w:after="0" w:line="289"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04" w:name="page205"/>
    <w:bookmarkEnd w:id="204"/>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47" w:lineRule="exact"/>
        <w:rPr>
          <w:sz w:val="20"/>
          <w:szCs w:val="20"/>
          <w:color w:val="auto"/>
        </w:rPr>
      </w:pPr>
    </w:p>
    <w:p>
      <w:pPr>
        <w:ind w:left="460" w:firstLine="443"/>
        <w:spacing w:after="0" w:line="256"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3" w:lineRule="exact"/>
        <w:rPr>
          <w:rFonts w:ascii="Arial" w:cs="Arial" w:eastAsia="Arial" w:hAnsi="Arial"/>
          <w:sz w:val="18"/>
          <w:szCs w:val="18"/>
          <w:color w:val="auto"/>
        </w:rPr>
      </w:pPr>
    </w:p>
    <w:p>
      <w:pPr>
        <w:ind w:right="20" w:firstLine="464"/>
        <w:spacing w:after="0" w:line="287"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2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05" w:name="page206"/>
    <w:bookmarkEnd w:id="205"/>
    <w:p>
      <w:pPr>
        <w:jc w:val="both"/>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4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308. Optional Extension of Maturity.</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Notwithstanding the foregoing, not later than 20 days before the Original Stated Maturity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06" w:name="page207"/>
    <w:bookmarkEnd w:id="206"/>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309. Persons Deemed Owners.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4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310. Cancellation.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Securities and coupons surrendered for 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07" w:name="page208"/>
    <w:bookmarkEnd w:id="207"/>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destroyed by the Trustee in accordance with its customary procedures, unless by a Company Order the Company directs the Trustee to deliver a certificate of such destruction to the Company or to return them to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311. Computation of Interest.</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312. Currency and Manner of Payments in Respect of Securities.</w:t>
      </w:r>
    </w:p>
    <w:p>
      <w:pPr>
        <w:spacing w:after="0" w:line="177" w:lineRule="exact"/>
        <w:rPr>
          <w:sz w:val="20"/>
          <w:szCs w:val="20"/>
          <w:color w:val="auto"/>
        </w:rPr>
      </w:pPr>
    </w:p>
    <w:p>
      <w:pPr>
        <w:ind w:right="120" w:firstLine="464"/>
        <w:spacing w:after="0" w:line="294" w:lineRule="auto"/>
        <w:tabs>
          <w:tab w:leader="none" w:pos="69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It may be provided pursuant to Section 301 with respect to Registered Securities of any series that Holders shall have the option, subject to paragraphs</w:t>
      </w:r>
    </w:p>
    <w:p>
      <w:pPr>
        <w:spacing w:after="0" w:line="49" w:lineRule="exact"/>
        <w:rPr>
          <w:rFonts w:ascii="Arial" w:cs="Arial" w:eastAsia="Arial" w:hAnsi="Arial"/>
          <w:sz w:val="15"/>
          <w:szCs w:val="15"/>
          <w:color w:val="auto"/>
        </w:rPr>
      </w:pPr>
    </w:p>
    <w:p>
      <w:pPr>
        <w:ind w:firstLine="8"/>
        <w:spacing w:after="0" w:line="285" w:lineRule="auto"/>
        <w:tabs>
          <w:tab w:leader="none" w:pos="24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24" w:lineRule="exact"/>
        <w:rPr>
          <w:rFonts w:ascii="Arial" w:cs="Arial" w:eastAsia="Arial" w:hAnsi="Arial"/>
          <w:sz w:val="16"/>
          <w:szCs w:val="16"/>
          <w:color w:val="auto"/>
        </w:rPr>
      </w:pPr>
    </w:p>
    <w:p>
      <w:pPr>
        <w:ind w:right="220" w:firstLine="464"/>
        <w:spacing w:after="0" w:line="256" w:lineRule="auto"/>
        <w:tabs>
          <w:tab w:leader="none" w:pos="69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shall deliver to the Company a written notice specifying the Currency in which Registered Securities of such series are payable,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08" w:name="page209"/>
    <w:bookmarkEnd w:id="208"/>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shall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w:t>
      </w:r>
    </w:p>
    <w:p>
      <w:pPr>
        <w:spacing w:after="0" w:line="5" w:lineRule="exact"/>
        <w:rPr>
          <w:sz w:val="20"/>
          <w:szCs w:val="20"/>
          <w:color w:val="auto"/>
        </w:rPr>
      </w:pPr>
    </w:p>
    <w:p>
      <w:pPr>
        <w:ind w:right="100" w:firstLine="8"/>
        <w:spacing w:after="0" w:line="323" w:lineRule="auto"/>
        <w:tabs>
          <w:tab w:leader="none" w:pos="2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above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92" w:lineRule="exact"/>
        <w:rPr>
          <w:rFonts w:ascii="Arial" w:cs="Arial" w:eastAsia="Arial" w:hAnsi="Arial"/>
          <w:sz w:val="16"/>
          <w:szCs w:val="16"/>
          <w:color w:val="auto"/>
        </w:rPr>
      </w:pPr>
    </w:p>
    <w:p>
      <w:pPr>
        <w:ind w:right="80" w:firstLine="464"/>
        <w:spacing w:after="0" w:line="289" w:lineRule="auto"/>
        <w:tabs>
          <w:tab w:leader="none" w:pos="7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18" w:lineRule="exact"/>
        <w:rPr>
          <w:rFonts w:ascii="Arial" w:cs="Arial" w:eastAsia="Arial" w:hAnsi="Arial"/>
          <w:sz w:val="16"/>
          <w:szCs w:val="16"/>
          <w:color w:val="auto"/>
        </w:rPr>
      </w:pPr>
    </w:p>
    <w:p>
      <w:pPr>
        <w:jc w:val="both"/>
        <w:ind w:right="40" w:firstLine="464"/>
        <w:spacing w:after="0" w:line="323" w:lineRule="auto"/>
        <w:tabs>
          <w:tab w:leader="none" w:pos="695" w:val="left"/>
        </w:tabs>
        <w:numPr>
          <w:ilvl w:val="1"/>
          <w:numId w:val="131"/>
        </w:numPr>
        <w:rPr>
          <w:rFonts w:ascii="Arial" w:cs="Arial" w:eastAsia="Arial" w:hAnsi="Arial"/>
          <w:sz w:val="15"/>
          <w:szCs w:val="15"/>
          <w:color w:val="auto"/>
        </w:rPr>
      </w:pPr>
      <w:r>
        <w:rPr>
          <w:rFonts w:ascii="Arial" w:cs="Arial" w:eastAsia="Arial" w:hAnsi="Arial"/>
          <w:sz w:val="15"/>
          <w:szCs w:val="15"/>
          <w:color w:val="auto"/>
        </w:rPr>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w:t>
      </w:r>
    </w:p>
    <w:p>
      <w:pPr>
        <w:spacing w:after="0" w:line="97" w:lineRule="exact"/>
        <w:rPr>
          <w:rFonts w:ascii="Arial" w:cs="Arial" w:eastAsia="Arial" w:hAnsi="Arial"/>
          <w:sz w:val="15"/>
          <w:szCs w:val="15"/>
          <w:color w:val="auto"/>
        </w:rPr>
      </w:pPr>
    </w:p>
    <w:p>
      <w:pPr>
        <w:ind w:right="160" w:firstLine="464"/>
        <w:spacing w:after="0" w:line="268" w:lineRule="auto"/>
        <w:tabs>
          <w:tab w:leader="none" w:pos="67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31" w:lineRule="exact"/>
        <w:rPr>
          <w:rFonts w:ascii="Arial" w:cs="Arial" w:eastAsia="Arial" w:hAnsi="Arial"/>
          <w:sz w:val="18"/>
          <w:szCs w:val="18"/>
          <w:color w:val="auto"/>
        </w:rPr>
      </w:pPr>
    </w:p>
    <w:p>
      <w:pPr>
        <w:ind w:right="200" w:firstLine="464"/>
        <w:spacing w:after="0" w:line="259" w:lineRule="auto"/>
        <w:tabs>
          <w:tab w:leader="none" w:pos="70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90" w:lineRule="exact"/>
        <w:rPr>
          <w:sz w:val="20"/>
          <w:szCs w:val="20"/>
          <w:color w:val="auto"/>
        </w:rPr>
      </w:pPr>
    </w:p>
    <w:p>
      <w:pPr>
        <w:ind w:left="460" w:right="640" w:firstLine="438"/>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Euro.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09" w:name="page210"/>
    <w:bookmarkEnd w:id="209"/>
    <w:p>
      <w:pPr>
        <w:ind w:left="460" w:firstLine="438"/>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t>
      </w:r>
      <w:r>
        <w:rPr>
          <w:rFonts w:ascii="Arial" w:cs="Arial" w:eastAsia="Arial" w:hAnsi="Arial"/>
          <w:sz w:val="16"/>
          <w:szCs w:val="16"/>
          <w:u w:val="single" w:color="auto"/>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45"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Election Date</w:t>
      </w:r>
      <w:r>
        <w:rPr>
          <w:rFonts w:ascii="Arial" w:cs="Arial" w:eastAsia="Arial" w:hAnsi="Arial"/>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13 of Section 301 by which the written election referred to in Section 312(b) may be made.</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event that the Company determines in good faith that a Conversion Event has occurred with respect to a Foreign Currency,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In the event the Company so determines that a Conversion Event has occurred with respect to the Euro or any other currency unit in which Securities are denominated or payable,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shall similarly give written notice to the Trustee of the appropriate series of Securities and to the Exchange Rate Agent.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80" w:right="319" w:bottom="1440" w:gutter="0" w:footer="0" w:header="0"/>
        </w:sectPr>
      </w:pPr>
    </w:p>
    <w:bookmarkStart w:id="210" w:name="page211"/>
    <w:bookmarkEnd w:id="21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313. Appointment and Resignation of Successor Exchange Rate Agent.</w:t>
      </w:r>
    </w:p>
    <w:p>
      <w:pPr>
        <w:spacing w:after="0" w:line="177" w:lineRule="exact"/>
        <w:rPr>
          <w:sz w:val="20"/>
          <w:szCs w:val="20"/>
          <w:color w:val="auto"/>
        </w:rPr>
      </w:pPr>
    </w:p>
    <w:p>
      <w:pPr>
        <w:ind w:right="140" w:firstLine="464"/>
        <w:spacing w:after="0" w:line="291"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Foreign Currency or (ii) may be payable in a Foreign Currency, or so long as it is required under any other provision of this Indenture, then the Company shall maintain with respect to each such series of Securities, or as so required, at least one Exchange Rate Agent. The Company shall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20"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06" w:lineRule="exact"/>
        <w:rPr>
          <w:rFonts w:ascii="Arial" w:cs="Arial" w:eastAsia="Arial" w:hAnsi="Arial"/>
          <w:sz w:val="16"/>
          <w:szCs w:val="16"/>
          <w:color w:val="auto"/>
        </w:rPr>
      </w:pPr>
    </w:p>
    <w:p>
      <w:pPr>
        <w:ind w:firstLine="464"/>
        <w:spacing w:after="0" w:line="291"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314. CUSIP Numbers.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that any such redemption shall not be affected by any defect in or omission of such numbers. The Company shall advise the Trustee as promptly as practicable in writing of any change in the CUSIP numbers.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211" w:name="page212"/>
    <w:bookmarkEnd w:id="211"/>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FOUR</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SATISFACTION AND DISCHARGE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401. Satisfaction and Discharge of Indenture.</w:t>
      </w:r>
    </w:p>
    <w:p>
      <w:pPr>
        <w:spacing w:after="0" w:line="177"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62" w:lineRule="exact"/>
        <w:rPr>
          <w:sz w:val="20"/>
          <w:szCs w:val="20"/>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firstLine="443"/>
        <w:spacing w:after="0" w:line="290" w:lineRule="auto"/>
        <w:tabs>
          <w:tab w:leader="none" w:pos="118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37" w:lineRule="exact"/>
        <w:rPr>
          <w:rFonts w:ascii="Arial" w:cs="Arial" w:eastAsia="Arial" w:hAnsi="Arial"/>
          <w:sz w:val="16"/>
          <w:szCs w:val="16"/>
          <w:color w:val="auto"/>
        </w:rPr>
      </w:pPr>
    </w:p>
    <w:p>
      <w:pPr>
        <w:jc w:val="both"/>
        <w:ind w:left="460" w:right="380" w:firstLine="443"/>
        <w:spacing w:after="0" w:line="256" w:lineRule="auto"/>
        <w:tabs>
          <w:tab w:leader="none" w:pos="117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 the Company, in the case of clause B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43" w:lineRule="exact"/>
        <w:rPr>
          <w:sz w:val="20"/>
          <w:szCs w:val="20"/>
          <w:color w:val="auto"/>
        </w:rPr>
      </w:pPr>
    </w:p>
    <w:p>
      <w:pPr>
        <w:ind w:left="5620" w:right="2100" w:hanging="5156"/>
        <w:spacing w:after="0" w:line="440" w:lineRule="auto"/>
        <w:tabs>
          <w:tab w:leader="none" w:pos="7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has irrevocably paid or caused to be irrevocably paid all other sums payable hereunder by the Company; and 35</w:t>
      </w:r>
    </w:p>
    <w:p>
      <w:pPr>
        <w:sectPr>
          <w:pgSz w:w="11900" w:h="16838" w:orient="portrait"/>
          <w:cols w:equalWidth="0" w:num="1">
            <w:col w:w="11420"/>
          </w:cols>
          <w:pgMar w:left="240" w:top="274" w:right="239" w:bottom="1440" w:gutter="0" w:footer="0" w:header="0"/>
        </w:sectPr>
      </w:pPr>
    </w:p>
    <w:bookmarkStart w:id="212" w:name="page213"/>
    <w:bookmarkEnd w:id="212"/>
    <w:p>
      <w:pPr>
        <w:ind w:right="60" w:firstLine="464"/>
        <w:spacing w:after="0" w:line="268"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2"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w:t>
      </w:r>
    </w:p>
    <w:p>
      <w:pPr>
        <w:ind w:right="400" w:firstLine="8"/>
        <w:spacing w:after="0" w:line="261" w:lineRule="auto"/>
        <w:tabs>
          <w:tab w:leader="none" w:pos="2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clause (1) of this Section, the obligations of the Trustee under Section 402 and the last paragraph of Section 1003 shall survive any termination of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402. Application of Trust Funds.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501. Events of Default.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143" w:lineRule="exact"/>
        <w:rPr>
          <w:sz w:val="20"/>
          <w:szCs w:val="20"/>
          <w:color w:val="auto"/>
        </w:rPr>
      </w:pPr>
    </w:p>
    <w:p>
      <w:pPr>
        <w:ind w:firstLine="464"/>
        <w:spacing w:after="0" w:line="268"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or of any coupon appertaining thereto, when such interest or coupon becomes due and payable, and continuance of such default for a period of 30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default in the payment of the principal of (or premium, if any) any Security of that series when it becomes due and payable at its Maturity; or</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that series; or</w:t>
      </w:r>
    </w:p>
    <w:p>
      <w:pPr>
        <w:spacing w:after="0" w:line="171" w:lineRule="exact"/>
        <w:rPr>
          <w:rFonts w:ascii="Arial" w:cs="Arial" w:eastAsia="Arial" w:hAnsi="Arial"/>
          <w:sz w:val="18"/>
          <w:szCs w:val="18"/>
          <w:color w:val="auto"/>
        </w:rPr>
      </w:pPr>
    </w:p>
    <w:p>
      <w:pPr>
        <w:ind w:right="140" w:firstLine="464"/>
        <w:spacing w:after="0" w:line="291" w:lineRule="auto"/>
        <w:tabs>
          <w:tab w:leader="none" w:pos="7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213" w:name="page214"/>
    <w:bookmarkEnd w:id="213"/>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pursuant to or within the meaning of any Bankruptcy Law:</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Bankruptcy Law,</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7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consents to the commencement of any bankruptcy or insolvency case or proceeding against it, or files a petition or answer or consent seeking reorganization or relief against it,</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against it in an involuntary case or proceeding,</w:t>
      </w:r>
    </w:p>
    <w:p>
      <w:pPr>
        <w:spacing w:after="0" w:line="90" w:lineRule="exact"/>
        <w:rPr>
          <w:rFonts w:ascii="Arial" w:cs="Arial" w:eastAsia="Arial" w:hAnsi="Arial"/>
          <w:sz w:val="18"/>
          <w:szCs w:val="18"/>
          <w:color w:val="auto"/>
        </w:rPr>
      </w:pPr>
    </w:p>
    <w:p>
      <w:pPr>
        <w:ind w:left="460" w:firstLine="443"/>
        <w:spacing w:after="0" w:line="268" w:lineRule="auto"/>
        <w:tabs>
          <w:tab w:leader="none" w:pos="118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of the Company or for all or substantially all of the Company’s property, or</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6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makes an assignment for the benefit of creditors, or admits in writing of its inability to pay its debts generally as they become due or takes any corporate action in furtherance of any such action;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7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and the continuance of any such decree or order for relief or any such other decree or order unstayed and in effect for a period of 123 consecutive days; or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any other Event of Default provided with respect to Securities of that series.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term “Bankruptcy Law” means title 11, U.S. Code or any applicable federal or state bankruptcy, insolvency, reorganization or other similar law. The term “Custodian” means any custodian, receiver, trustee, assignee, liquidator, sequestrator or other similar official under any Bankruptcy Law.</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502. Acceleration of Maturity; Rescission and Annulment.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214" w:name="page215"/>
    <w:bookmarkEnd w:id="21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107" w:lineRule="exact"/>
        <w:rPr>
          <w:sz w:val="20"/>
          <w:szCs w:val="20"/>
          <w:color w:val="auto"/>
        </w:rPr>
      </w:pPr>
    </w:p>
    <w:p>
      <w:pPr>
        <w:ind w:right="40" w:firstLine="464"/>
        <w:spacing w:after="0" w:line="332"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overdue installments of interest, if any, on all Outstanding Securities of that series and any related coupons,</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7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principal of (and premium, if any) all Outstanding Securities of that series which have become due otherwise than by such declaration of acceleration and interest thereon at the rate or rates borne by or provided for in such Securities,</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7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8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3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513.</w:t>
      </w:r>
    </w:p>
    <w:p>
      <w:pPr>
        <w:spacing w:after="0" w:line="85" w:lineRule="exact"/>
        <w:rPr>
          <w:sz w:val="20"/>
          <w:szCs w:val="20"/>
          <w:color w:val="auto"/>
        </w:rPr>
      </w:pPr>
    </w:p>
    <w:p>
      <w:pPr>
        <w:ind w:left="460" w:right="4360"/>
        <w:spacing w:after="0" w:line="438" w:lineRule="auto"/>
        <w:rPr>
          <w:sz w:val="20"/>
          <w:szCs w:val="20"/>
          <w:color w:val="auto"/>
        </w:rPr>
      </w:pPr>
      <w:r>
        <w:rPr>
          <w:rFonts w:ascii="Arial" w:cs="Arial" w:eastAsia="Arial" w:hAnsi="Arial"/>
          <w:sz w:val="18"/>
          <w:szCs w:val="18"/>
          <w:color w:val="auto"/>
        </w:rPr>
        <w:t xml:space="preserve">No such rescission shall affect any subsequent default or impair any right consequent thereon. </w:t>
      </w:r>
      <w:r>
        <w:rPr>
          <w:rFonts w:ascii="Arial" w:cs="Arial" w:eastAsia="Arial" w:hAnsi="Arial"/>
          <w:sz w:val="18"/>
          <w:szCs w:val="18"/>
          <w:b w:val="1"/>
          <w:bCs w:val="1"/>
          <w:color w:val="auto"/>
        </w:rPr>
        <w:t xml:space="preserve">Section 503. Collection of Indebtedness and Suits for Enforcement by Trustee. </w:t>
      </w:r>
      <w:r>
        <w:rPr>
          <w:rFonts w:ascii="Arial" w:cs="Arial" w:eastAsia="Arial" w:hAnsi="Arial"/>
          <w:sz w:val="18"/>
          <w:szCs w:val="18"/>
          <w:color w:val="auto"/>
        </w:rPr>
        <w:t>The Company covenants that if:</w:t>
      </w:r>
    </w:p>
    <w:p>
      <w:pPr>
        <w:spacing w:after="0" w:line="1" w:lineRule="exact"/>
        <w:rPr>
          <w:sz w:val="20"/>
          <w:szCs w:val="20"/>
          <w:color w:val="auto"/>
        </w:rPr>
      </w:pPr>
    </w:p>
    <w:p>
      <w:pPr>
        <w:ind w:right="120" w:firstLine="464"/>
        <w:spacing w:after="0" w:line="268"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of any series at its Maturity,</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then the Company will, upon demand of the Trustee, pay to the Trustee, for the benefit of the Holders of Securities of such series and coupons, the whole amount then due and payable on such Securities and coupons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215" w:name="page216"/>
    <w:bookmarkEnd w:id="215"/>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1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504. Trustee May File Proofs of Claim.</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62" w:lineRule="exact"/>
        <w:rPr>
          <w:sz w:val="20"/>
          <w:szCs w:val="20"/>
          <w:color w:val="auto"/>
        </w:rPr>
      </w:pPr>
    </w:p>
    <w:p>
      <w:pPr>
        <w:ind w:left="460" w:firstLine="443"/>
        <w:spacing w:after="0" w:line="298" w:lineRule="auto"/>
        <w:tabs>
          <w:tab w:leader="none" w:pos="110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jc w:val="both"/>
        <w:ind w:right="460"/>
        <w:spacing w:after="0" w:line="323" w:lineRule="auto"/>
        <w:rPr>
          <w:sz w:val="20"/>
          <w:szCs w:val="20"/>
          <w:color w:val="auto"/>
        </w:rPr>
      </w:pPr>
      <w:r>
        <w:rPr>
          <w:rFonts w:ascii="Arial" w:cs="Arial" w:eastAsia="Arial" w:hAnsi="Arial"/>
          <w:sz w:val="15"/>
          <w:szCs w:val="15"/>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216" w:name="page217"/>
    <w:bookmarkEnd w:id="21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505. Trustee May Enforce Claims Without Possession of Securities or Coupons.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506. Application of Money Collected.</w:t>
      </w:r>
    </w:p>
    <w:p>
      <w:pPr>
        <w:spacing w:after="0" w:line="17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as the case may be, and the notation thereon of the payment if only partially paid and upon surrender thereof if fully paid:</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90" w:lineRule="exact"/>
        <w:rPr>
          <w:sz w:val="20"/>
          <w:szCs w:val="20"/>
          <w:color w:val="auto"/>
        </w:rPr>
      </w:pPr>
    </w:p>
    <w:p>
      <w:pPr>
        <w:ind w:left="460" w:right="200" w:firstLine="438"/>
        <w:spacing w:after="0" w:line="306" w:lineRule="auto"/>
        <w:rPr>
          <w:sz w:val="20"/>
          <w:szCs w:val="20"/>
          <w:color w:val="auto"/>
        </w:rPr>
      </w:pPr>
      <w:r>
        <w:rPr>
          <w:rFonts w:ascii="Arial" w:cs="Arial" w:eastAsia="Arial" w:hAnsi="Arial"/>
          <w:sz w:val="16"/>
          <w:szCs w:val="16"/>
          <w:color w:val="auto"/>
        </w:rPr>
        <w:t>SECOND: To the payment of the amounts then due and unpaid upon the Securities and coupons for principal (and premium, if any) and interest, if any, in respect of which or for the benefit of which such money has been collected, ratably, without preference or priority of any kind, according to the aggregate amounts due and payable on such Securities and coupons for principal (and premium, if any) and interest, if any, respectively; and</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To the payment of the remainder, if any, to the Company or any other Person or Persons entitled thereto.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507. Limitation on Suits.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Holder of any Security of any series or any related coupon shall have any right to institute any proceeding, judicial or otherwise, with respect to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 or for the appointment of a receiver or trustee, or for any other remedy hereunder, unless:</w:t>
      </w:r>
    </w:p>
    <w:p>
      <w:pPr>
        <w:spacing w:after="0" w:line="165" w:lineRule="exact"/>
        <w:rPr>
          <w:sz w:val="20"/>
          <w:szCs w:val="20"/>
          <w:color w:val="auto"/>
        </w:rPr>
      </w:pPr>
    </w:p>
    <w:p>
      <w:pPr>
        <w:ind w:left="720" w:hanging="256"/>
        <w:spacing w:after="0"/>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94" w:lineRule="exact"/>
        <w:rPr>
          <w:rFonts w:ascii="Arial" w:cs="Arial" w:eastAsia="Arial" w:hAnsi="Arial"/>
          <w:sz w:val="16"/>
          <w:szCs w:val="16"/>
          <w:color w:val="auto"/>
        </w:rPr>
      </w:pPr>
    </w:p>
    <w:p>
      <w:pPr>
        <w:ind w:right="50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17" w:name="page218"/>
    <w:bookmarkEnd w:id="217"/>
    <w:p>
      <w:pPr>
        <w:ind w:right="300" w:firstLine="464"/>
        <w:spacing w:after="0" w:line="268"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direction inconsistent with such written request has been given to the Trustee during such 60-day period by the Holders of a majority in principal amount of the Outstanding Securities of that series;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508. Unconditional Right of Holders to Receive Principal, Premium and Interest.</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on such Security or payment of such coupon on the Stated Maturity or Maturities expressed in such Security or coupon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509. Restoration of Rights and Remedies.</w:t>
      </w:r>
    </w:p>
    <w:p>
      <w:pPr>
        <w:spacing w:after="0" w:line="17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512. Control by Holders of Securities.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40" w:lineRule="exact"/>
        <w:rPr>
          <w:sz w:val="20"/>
          <w:szCs w:val="20"/>
          <w:color w:val="auto"/>
        </w:rPr>
      </w:pPr>
    </w:p>
    <w:p>
      <w:pPr>
        <w:ind w:left="720" w:hanging="256"/>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unjustly prejudicial to the Holders of Securities of such series not consenting.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513. Waiver of Past Defaults.</w:t>
      </w:r>
    </w:p>
    <w:p>
      <w:pPr>
        <w:spacing w:after="0" w:line="177"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Subject to Section 502, the Holders of not less than a majority in principal amount of the Outstanding Securities of any series may on behalf of the Holders of all the Securities of such series and any related coupons waive any past default hereunder with respect to Securities of such series and its consequences, except</w:t>
      </w:r>
    </w:p>
    <w:p>
      <w:pPr>
        <w:ind w:left="120" w:hanging="112"/>
        <w:spacing w:after="0"/>
        <w:tabs>
          <w:tab w:leader="none" w:pos="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default</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if any, on any Security of such series or any related coupons, or</w:t>
      </w:r>
    </w:p>
    <w:p>
      <w:pPr>
        <w:spacing w:after="0" w:line="171" w:lineRule="exact"/>
        <w:rPr>
          <w:rFonts w:ascii="Arial" w:cs="Arial" w:eastAsia="Arial" w:hAnsi="Arial"/>
          <w:sz w:val="18"/>
          <w:szCs w:val="18"/>
          <w:color w:val="auto"/>
        </w:rPr>
      </w:pPr>
    </w:p>
    <w:p>
      <w:pPr>
        <w:ind w:right="560" w:firstLine="464"/>
        <w:spacing w:after="0" w:line="268" w:lineRule="auto"/>
        <w:tabs>
          <w:tab w:leader="none" w:pos="70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514. Waiver of Stay or Extension Laws.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SIX</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601. Notice of Defaults.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Within 90 days after the occurrence of any Default hereunder with respect to the Securities of any series, the Trustee shall transmit in the manner and to the extent provided in TIA Section 313(c), notice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219" w:name="page220"/>
    <w:bookmarkEnd w:id="21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Default hereunder known to the Trustee, unless such Default shall have been cured or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the Securities and coupons of such series;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Default or breach of the character specified in Section 501(4) with respect to the Securities and coupons of such series, no such notice to Holders shall be given until at least 60 days after the occurrence thereof.</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602. Certain Rights of Trustee.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TIA Section 315(a) through 315(d):</w:t>
      </w:r>
    </w:p>
    <w:p>
      <w:pPr>
        <w:spacing w:after="0" w:line="171" w:lineRule="exact"/>
        <w:rPr>
          <w:sz w:val="20"/>
          <w:szCs w:val="20"/>
          <w:color w:val="auto"/>
        </w:rPr>
      </w:pPr>
    </w:p>
    <w:p>
      <w:pPr>
        <w:ind w:right="120" w:firstLine="464"/>
        <w:spacing w:after="0" w:line="259"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right="260" w:firstLine="464"/>
        <w:spacing w:after="0" w:line="306"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06"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Board Resolution, an Opinion of Counsel or an Officer’s Certificate.</w:t>
      </w:r>
    </w:p>
    <w:p>
      <w:pPr>
        <w:spacing w:after="0" w:line="140"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31" w:lineRule="exact"/>
        <w:rPr>
          <w:rFonts w:ascii="Arial" w:cs="Arial" w:eastAsia="Arial" w:hAnsi="Arial"/>
          <w:sz w:val="18"/>
          <w:szCs w:val="18"/>
          <w:color w:val="auto"/>
        </w:rPr>
      </w:pPr>
    </w:p>
    <w:p>
      <w:pPr>
        <w:ind w:right="80" w:firstLine="464"/>
        <w:spacing w:after="0" w:line="306"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reasonable security or indemnity against the costs, expenses and liabilities which might be incurred by it in compliance with such request or direction.</w:t>
      </w:r>
    </w:p>
    <w:p>
      <w:pPr>
        <w:spacing w:after="0" w:line="106" w:lineRule="exact"/>
        <w:rPr>
          <w:rFonts w:ascii="Arial" w:cs="Arial" w:eastAsia="Arial" w:hAnsi="Arial"/>
          <w:sz w:val="16"/>
          <w:szCs w:val="16"/>
          <w:color w:val="auto"/>
        </w:rPr>
      </w:pPr>
    </w:p>
    <w:p>
      <w:pPr>
        <w:ind w:firstLine="464"/>
        <w:spacing w:after="0" w:line="255"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spacing w:after="0" w:line="142"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220" w:name="page221"/>
    <w:bookmarkEnd w:id="220"/>
    <w:p>
      <w:pPr>
        <w:ind w:right="20" w:firstLine="464"/>
        <w:spacing w:after="0" w:line="259" w:lineRule="auto"/>
        <w:tabs>
          <w:tab w:leader="none" w:pos="70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not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603. Not Responsible for Recitals or Issuance of Securities.</w:t>
      </w:r>
    </w:p>
    <w:p>
      <w:pPr>
        <w:spacing w:after="0" w:line="177"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604. May Hold Securities.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605. Money Held in Trust.</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606. Compensation and Reimbursement and Indemnification of Trustee.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71" w:lineRule="exact"/>
        <w:rPr>
          <w:sz w:val="20"/>
          <w:szCs w:val="20"/>
          <w:color w:val="auto"/>
        </w:rPr>
      </w:pPr>
    </w:p>
    <w:p>
      <w:pPr>
        <w:ind w:right="120" w:firstLine="464"/>
        <w:spacing w:after="0" w:line="259" w:lineRule="auto"/>
        <w:tabs>
          <w:tab w:leader="none" w:pos="70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221" w:name="page222"/>
    <w:bookmarkEnd w:id="221"/>
    <w:p>
      <w:pPr>
        <w:ind w:right="60" w:firstLine="464"/>
        <w:spacing w:after="0" w:line="256" w:lineRule="auto"/>
        <w:tabs>
          <w:tab w:leader="none" w:pos="705"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bad faith.</w:t>
      </w:r>
    </w:p>
    <w:p>
      <w:pPr>
        <w:spacing w:after="0" w:line="143" w:lineRule="exact"/>
        <w:rPr>
          <w:rFonts w:ascii="Arial" w:cs="Arial" w:eastAsia="Arial" w:hAnsi="Arial"/>
          <w:sz w:val="18"/>
          <w:szCs w:val="18"/>
          <w:color w:val="auto"/>
        </w:rPr>
      </w:pPr>
    </w:p>
    <w:p>
      <w:pPr>
        <w:ind w:right="180" w:firstLine="464"/>
        <w:spacing w:after="0" w:line="306" w:lineRule="auto"/>
        <w:tabs>
          <w:tab w:leader="none" w:pos="70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indemnify each of the Trustee or any predecessor Trustee for, and to hold it harmless against, any loss, liability or expense incurred without negligence or bad faith on its own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or any coupons.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this Section 606 shall survive the resignation or removal of the Trustee and the satisfaction, termination or discharge of this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607. Corporate Trustee Required; Eligibility.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shall at all times be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608. Disqualification; Conflicting Interests.</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609. Resignation and Removal; Appointment of Successor.</w:t>
      </w:r>
    </w:p>
    <w:p>
      <w:pPr>
        <w:spacing w:after="0" w:line="177" w:lineRule="exact"/>
        <w:rPr>
          <w:sz w:val="20"/>
          <w:szCs w:val="20"/>
          <w:color w:val="auto"/>
        </w:rPr>
      </w:pPr>
    </w:p>
    <w:p>
      <w:pPr>
        <w:ind w:right="20" w:firstLine="464"/>
        <w:spacing w:after="0" w:line="268"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280" w:right="319" w:bottom="1440" w:gutter="0" w:footer="0" w:header="0"/>
        </w:sectPr>
      </w:pPr>
    </w:p>
    <w:bookmarkStart w:id="222" w:name="page223"/>
    <w:bookmarkEnd w:id="222"/>
    <w:p>
      <w:pPr>
        <w:ind w:left="720" w:hanging="256"/>
        <w:spacing w:after="0"/>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may resign at any time with respect to the Securities of one or more series by giving written notice thereof to the Company.</w:t>
      </w:r>
    </w:p>
    <w:p>
      <w:pPr>
        <w:spacing w:after="0" w:line="194" w:lineRule="exact"/>
        <w:rPr>
          <w:rFonts w:ascii="Arial" w:cs="Arial" w:eastAsia="Arial" w:hAnsi="Arial"/>
          <w:sz w:val="16"/>
          <w:szCs w:val="16"/>
          <w:color w:val="auto"/>
        </w:rPr>
      </w:pPr>
    </w:p>
    <w:p>
      <w:pPr>
        <w:ind w:right="260" w:firstLine="464"/>
        <w:spacing w:after="0" w:line="291"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Trustee may be removed at any time with respect to the Securities of any series by (i) the Company, by an Officer’s Certificate delivered to the Trustee, provided that contemporaneously therewith (x) the Company immediately appoints a successor Trustee with respect to the Securities of such series meeting the requirements of Section 607 hereof and (y) the terms of Section 610 hereof are complied with in respect of such appointment (the Trustee being removed hereby agreeing to execute the instrument contemplated by Section 610(b) hereof, if applicable, under such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with respect to such Securities shall have occurred and then be continuing at such time, or (ii) Act of the Holders of a majority in principal amount of the Outstanding Securities of such series delivered to the Trustee and to the Company.</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50"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3" w:lineRule="exact"/>
        <w:rPr>
          <w:sz w:val="20"/>
          <w:szCs w:val="20"/>
          <w:color w:val="auto"/>
        </w:rPr>
      </w:pPr>
    </w:p>
    <w:p>
      <w:pPr>
        <w:ind w:left="700" w:hanging="236"/>
        <w:spacing w:after="0"/>
        <w:tabs>
          <w:tab w:leader="none" w:pos="7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an instrument of acceptance by a successor Trustee shall not have been delivered to the Trustee within 30 days after the giving of a notice of</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resignation or the delivery of an Act of removal, the Trustee resigning or being removed may petition any court of competent jurisdiction for the appointment of a successor Trustee.</w:t>
      </w:r>
    </w:p>
    <w:p>
      <w:pPr>
        <w:spacing w:after="0" w:line="137" w:lineRule="exact"/>
        <w:rPr>
          <w:rFonts w:ascii="Arial" w:cs="Arial" w:eastAsia="Arial" w:hAnsi="Arial"/>
          <w:sz w:val="16"/>
          <w:szCs w:val="16"/>
          <w:color w:val="auto"/>
        </w:rPr>
      </w:pPr>
    </w:p>
    <w:p>
      <w:pPr>
        <w:ind w:right="40" w:firstLine="464"/>
        <w:spacing w:after="0" w:line="289" w:lineRule="auto"/>
        <w:tabs>
          <w:tab w:leader="none" w:pos="67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223" w:name="page224"/>
    <w:bookmarkEnd w:id="223"/>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07" w:lineRule="exact"/>
        <w:rPr>
          <w:sz w:val="20"/>
          <w:szCs w:val="20"/>
          <w:color w:val="auto"/>
        </w:rPr>
      </w:pPr>
    </w:p>
    <w:p>
      <w:pPr>
        <w:ind w:right="40" w:firstLine="464"/>
        <w:spacing w:after="0" w:line="306"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610. Acceptance of Appointment by Successor.</w:t>
      </w:r>
    </w:p>
    <w:p>
      <w:pPr>
        <w:spacing w:after="0" w:line="177" w:lineRule="exact"/>
        <w:rPr>
          <w:sz w:val="20"/>
          <w:szCs w:val="20"/>
          <w:color w:val="auto"/>
        </w:rPr>
      </w:pPr>
    </w:p>
    <w:p>
      <w:pPr>
        <w:ind w:firstLine="464"/>
        <w:spacing w:after="0" w:line="314" w:lineRule="auto"/>
        <w:tabs>
          <w:tab w:leader="none" w:pos="69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However,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04" w:lineRule="exact"/>
        <w:rPr>
          <w:rFonts w:ascii="Arial" w:cs="Arial" w:eastAsia="Arial" w:hAnsi="Arial"/>
          <w:sz w:val="15"/>
          <w:szCs w:val="15"/>
          <w:color w:val="auto"/>
        </w:rPr>
      </w:pPr>
    </w:p>
    <w:p>
      <w:pPr>
        <w:ind w:firstLine="464"/>
        <w:spacing w:after="0" w:line="285" w:lineRule="auto"/>
        <w:tabs>
          <w:tab w:leader="none" w:pos="70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 of those terms in Section 101 which contemplate such situation.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224" w:name="page225"/>
    <w:bookmarkEnd w:id="224"/>
    <w:p>
      <w:pPr>
        <w:ind w:right="120" w:firstLine="464"/>
        <w:spacing w:after="0" w:line="332" w:lineRule="auto"/>
        <w:tabs>
          <w:tab w:leader="none" w:pos="695"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No successor Trustee shall accept its appointment unless at the time of such acceptance such successor Trustee shall be qualified and eligible under this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Article.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611. Merger, Conversion, Consolidation or Succession to Business.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612. Appointment of Authenticating Agent.</w:t>
      </w:r>
    </w:p>
    <w:p>
      <w:pPr>
        <w:spacing w:after="0" w:line="177"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At any time when any of the Securities remain Outstanding, the Trustee may appoint an Authenticating Agent or Agents (which may be an Affiliate or Affiliates of the Company) with respect to one or more series of Securities which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225" w:name="page226"/>
    <w:bookmarkEnd w:id="225"/>
    <w:p>
      <w:pPr>
        <w:jc w:val="both"/>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8"/>
          <w:szCs w:val="18"/>
          <w:color w:val="auto"/>
        </w:rPr>
        <w:t>Authenticating Agent</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2540</wp:posOffset>
            </wp:positionV>
            <wp:extent cx="24523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ind w:left="8840"/>
        <w:spacing w:after="0"/>
        <w:rPr>
          <w:sz w:val="20"/>
          <w:szCs w:val="20"/>
          <w:color w:val="auto"/>
        </w:rPr>
      </w:pPr>
      <w:r>
        <w:rPr>
          <w:rFonts w:ascii="Arial" w:cs="Arial" w:eastAsia="Arial" w:hAnsi="Arial"/>
          <w:sz w:val="18"/>
          <w:szCs w:val="18"/>
          <w:color w:val="auto"/>
        </w:rPr>
        <w:t>Authorized Officer</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and conditions of such appointment are acceptable to the Trustee.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226" w:name="page227"/>
    <w:bookmarkEnd w:id="226"/>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SEVEN</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701. Disclosure of Names and Addresses of Holders.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Every Holder of Securities or coupons,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702. Preservation of Information; Communications to Holders.</w:t>
      </w:r>
    </w:p>
    <w:p>
      <w:pPr>
        <w:spacing w:after="0" w:line="177" w:lineRule="exact"/>
        <w:rPr>
          <w:sz w:val="20"/>
          <w:szCs w:val="20"/>
          <w:color w:val="auto"/>
        </w:rPr>
      </w:pPr>
    </w:p>
    <w:p>
      <w:pPr>
        <w:ind w:right="380" w:firstLine="464"/>
        <w:spacing w:after="0" w:line="306"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703. Reports by Trustee.</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which meets the requirements of TIA Section 313(a).</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Company. The Company shall promptly notify the Trustee of the listing of the Securities on any stock exchange.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704. Reports by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171" w:lineRule="exact"/>
        <w:rPr>
          <w:sz w:val="20"/>
          <w:szCs w:val="20"/>
          <w:color w:val="auto"/>
        </w:rPr>
      </w:pPr>
    </w:p>
    <w:p>
      <w:pPr>
        <w:ind w:right="100" w:firstLine="464"/>
        <w:spacing w:after="0" w:line="259" w:lineRule="auto"/>
        <w:tabs>
          <w:tab w:leader="none" w:pos="7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227" w:name="page228"/>
    <w:bookmarkEnd w:id="22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 or Section 15(d) of the Securities Exchange Act of 1934; or, if the Company is not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43" w:lineRule="exact"/>
        <w:rPr>
          <w:sz w:val="20"/>
          <w:szCs w:val="20"/>
          <w:color w:val="auto"/>
        </w:rPr>
      </w:pPr>
    </w:p>
    <w:p>
      <w:pPr>
        <w:ind w:firstLine="464"/>
        <w:spacing w:after="0" w:line="259"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40"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The Trustee shall 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w:t>
      </w: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 this Section as may be required by rules and regulations prescribed from time to time by the Commission.</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Section 705. Calculation of Original Issue Discount.</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16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EIGHT</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801. Company May Consolidate, Etc., Only on Certain Terms.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shall not consolidate with or merge with or into any other corporation or convey or transfer its properties and assets substantially as an entirety to any Person, unless:</w:t>
      </w:r>
    </w:p>
    <w:p>
      <w:pPr>
        <w:spacing w:after="0" w:line="132" w:lineRule="exact"/>
        <w:rPr>
          <w:sz w:val="20"/>
          <w:szCs w:val="20"/>
          <w:color w:val="auto"/>
        </w:rPr>
      </w:pPr>
    </w:p>
    <w:p>
      <w:pPr>
        <w:ind w:right="40" w:firstLine="464"/>
        <w:spacing w:after="0" w:line="255"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either the Company shall be the continuing corporation, or the corporation (if other than the Company)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satisfactory to the Trustee, the due and punctual payment of the principal of (and premium, if any) and interest, if any, on all the Securities and the performance of every covenant of this Indenture on the part of the Company to be performed or observed;</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71" w:lineRule="exact"/>
        <w:rPr>
          <w:rFonts w:ascii="Arial" w:cs="Arial" w:eastAsia="Arial" w:hAnsi="Arial"/>
          <w:sz w:val="18"/>
          <w:szCs w:val="18"/>
          <w:color w:val="auto"/>
        </w:rPr>
      </w:pPr>
    </w:p>
    <w:p>
      <w:pPr>
        <w:ind w:right="580" w:firstLine="464"/>
        <w:spacing w:after="0" w:line="332" w:lineRule="auto"/>
        <w:tabs>
          <w:tab w:leader="none" w:pos="7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as a result thereof any property or assets of the Company or a Subsidiary would become subject to any mortgage, lien, pledge, charge or other encumbrance not permitted by (1) through (10) of Section 1006, compliance shall be effected with the first clause of Section 1006; and</w:t>
      </w:r>
    </w:p>
    <w:p>
      <w:pPr>
        <w:spacing w:after="0" w:line="85" w:lineRule="exact"/>
        <w:rPr>
          <w:rFonts w:ascii="Arial" w:cs="Arial" w:eastAsia="Arial" w:hAnsi="Arial"/>
          <w:sz w:val="16"/>
          <w:szCs w:val="16"/>
          <w:color w:val="auto"/>
        </w:rPr>
      </w:pPr>
    </w:p>
    <w:p>
      <w:pPr>
        <w:ind w:right="360" w:firstLine="464"/>
        <w:spacing w:after="0" w:line="259"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228" w:name="page229"/>
    <w:bookmarkEnd w:id="22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802. Successor Person Substituted.</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pacing w:after="0" w:line="19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NINE</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SUPPLEMENTAL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901. Supplemental Indentures Without Consent of Holders.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Without the consent of any Holders of Securities or coupons,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140" w:lineRule="exact"/>
        <w:rPr>
          <w:sz w:val="20"/>
          <w:szCs w:val="20"/>
          <w:color w:val="auto"/>
        </w:rPr>
      </w:pPr>
    </w:p>
    <w:p>
      <w:pPr>
        <w:ind w:right="80" w:firstLine="464"/>
        <w:spacing w:after="0" w:line="268"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contained; or</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or any coupon appertaining thereto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40" w:lineRule="exact"/>
        <w:rPr>
          <w:rFonts w:ascii="Arial" w:cs="Arial" w:eastAsia="Arial" w:hAnsi="Arial"/>
          <w:sz w:val="18"/>
          <w:szCs w:val="18"/>
          <w:color w:val="auto"/>
        </w:rPr>
      </w:pPr>
    </w:p>
    <w:p>
      <w:pPr>
        <w:ind w:right="160" w:firstLine="464"/>
        <w:spacing w:after="0" w:line="291" w:lineRule="auto"/>
        <w:tabs>
          <w:tab w:leader="none" w:pos="7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20" w:lineRule="exact"/>
        <w:rPr>
          <w:rFonts w:ascii="Arial" w:cs="Arial" w:eastAsia="Arial" w:hAnsi="Arial"/>
          <w:sz w:val="16"/>
          <w:szCs w:val="16"/>
          <w:color w:val="auto"/>
        </w:rPr>
      </w:pPr>
    </w:p>
    <w:p>
      <w:pPr>
        <w:ind w:right="260" w:firstLine="464"/>
        <w:spacing w:after="0" w:line="255"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materially adversely affect the interests of the Holders of Securities of any series or any related coupons in any material respect;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229" w:name="page230"/>
    <w:bookmarkEnd w:id="229"/>
    <w:p>
      <w:pPr>
        <w:ind w:right="180" w:firstLine="464"/>
        <w:spacing w:after="0" w:line="332" w:lineRule="auto"/>
        <w:tabs>
          <w:tab w:leader="none" w:pos="705"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change or eliminate any of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801 or 1006, or otherwise; or</w:t>
      </w:r>
    </w:p>
    <w:p>
      <w:pPr>
        <w:spacing w:after="0" w:line="171" w:lineRule="exact"/>
        <w:rPr>
          <w:rFonts w:ascii="Arial" w:cs="Arial" w:eastAsia="Arial" w:hAnsi="Arial"/>
          <w:sz w:val="18"/>
          <w:szCs w:val="18"/>
          <w:color w:val="auto"/>
        </w:rPr>
      </w:pPr>
    </w:p>
    <w:p>
      <w:pPr>
        <w:ind w:right="260" w:firstLine="464"/>
        <w:spacing w:after="0" w:line="332" w:lineRule="auto"/>
        <w:tabs>
          <w:tab w:leader="none" w:pos="70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85" w:lineRule="exact"/>
        <w:rPr>
          <w:rFonts w:ascii="Arial" w:cs="Arial" w:eastAsia="Arial" w:hAnsi="Arial"/>
          <w:sz w:val="16"/>
          <w:szCs w:val="16"/>
          <w:color w:val="auto"/>
        </w:rPr>
      </w:pPr>
    </w:p>
    <w:p>
      <w:pPr>
        <w:ind w:right="120" w:firstLine="464"/>
        <w:spacing w:after="0" w:line="259" w:lineRule="auto"/>
        <w:tabs>
          <w:tab w:leader="none" w:pos="7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40" w:lineRule="exact"/>
        <w:rPr>
          <w:rFonts w:ascii="Arial" w:cs="Arial" w:eastAsia="Arial" w:hAnsi="Arial"/>
          <w:sz w:val="18"/>
          <w:szCs w:val="18"/>
          <w:color w:val="auto"/>
        </w:rPr>
      </w:pPr>
    </w:p>
    <w:p>
      <w:pPr>
        <w:ind w:right="180" w:firstLine="464"/>
        <w:spacing w:after="0" w:line="259" w:lineRule="auto"/>
        <w:tabs>
          <w:tab w:leader="none" w:pos="7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inconsistent with any other provision herein, or to make any other provisions with respect to matters or questions arising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materially adversely affect the interests of the Holders of Securities of any series or any related coupons in any material respect; or</w:t>
      </w:r>
    </w:p>
    <w:p>
      <w:pPr>
        <w:spacing w:after="0" w:line="140" w:lineRule="exact"/>
        <w:rPr>
          <w:rFonts w:ascii="Arial" w:cs="Arial" w:eastAsia="Arial" w:hAnsi="Arial"/>
          <w:sz w:val="18"/>
          <w:szCs w:val="18"/>
          <w:color w:val="auto"/>
        </w:rPr>
      </w:pPr>
    </w:p>
    <w:p>
      <w:pPr>
        <w:jc w:val="both"/>
        <w:ind w:right="260" w:firstLine="464"/>
        <w:spacing w:after="0" w:line="306" w:lineRule="auto"/>
        <w:tabs>
          <w:tab w:leader="none" w:pos="79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action shall not materially adversely affect the interests of the Holders of Securities of such series and any related coupons or any other series of Securities in any material respect.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902. Supplemental Indentures with Consent of Holders.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affects such series of Securities or of modifying in any manner the rights of the Holders of such series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44" w:lineRule="exact"/>
        <w:rPr>
          <w:sz w:val="20"/>
          <w:szCs w:val="20"/>
          <w:color w:val="auto"/>
        </w:rPr>
      </w:pPr>
    </w:p>
    <w:p>
      <w:pPr>
        <w:ind w:right="60" w:firstLine="464"/>
        <w:spacing w:after="0" w:line="287" w:lineRule="auto"/>
        <w:tabs>
          <w:tab w:leader="none" w:pos="7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801(1) and permitted by Section 901(1)), or reduce the portion of the principal of an Original Issue Discount Security or Indexed Security that would be due and payable upon a declaration of acceleration of 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230" w:name="page231"/>
    <w:bookmarkEnd w:id="230"/>
    <w:p>
      <w:pPr>
        <w:ind w:right="160" w:firstLine="464"/>
        <w:spacing w:after="0" w:line="256"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143" w:lineRule="exact"/>
        <w:rPr>
          <w:rFonts w:ascii="Arial" w:cs="Arial" w:eastAsia="Arial" w:hAnsi="Arial"/>
          <w:sz w:val="18"/>
          <w:szCs w:val="18"/>
          <w:color w:val="auto"/>
        </w:rPr>
      </w:pPr>
    </w:p>
    <w:p>
      <w:pPr>
        <w:ind w:right="220" w:firstLine="464"/>
        <w:spacing w:after="0" w:line="298" w:lineRule="auto"/>
        <w:tabs>
          <w:tab w:leader="none" w:pos="70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shall not be deemed to require the consent of any Holder of a Security or coupon with respect to changes in the references to “the Trustee” and concomitant changes in this Section, or the deletion of this proviso, in accordance with the requirements of Sections 610(b) and 901(8).</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903. Execution of Supplemental Indentures.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created by this Indenture, the Trustee shall be entitled to receive, and shall be fully protected in relying upon, in addition to the documents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102 of this Indenture, an Opinion of Counsel stating that the execution of such supplemental indenture is authorized or permitted by this Indenture.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may, but shall not be obligated to, enter into any such supplemental indenture which affects the Trustee’s own rights, duties or immunities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 or otherwise.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904. Effect of Supplemental Indentures.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231" w:name="page232"/>
    <w:bookmarkEnd w:id="23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905. Conformity with Trust Indenture 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supplemental indenture executed pursuant to this Article shall conform to the requirements of the Trust Indenture Act as then in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906. Reference in Securities to Supplemental Indentures.</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TEN</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1001. Payment of Principal, Premium, if any, and Interest.</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covenants and agrees for the benefit of the Holders of each series of Securities and any coupons appertaining thereto that it will duly and punctually pay the principal of (and premium, if any) and interest, if any, on the Securities of that series in accordance with the terms of such series of Securities, any coupons appertaining thereto and this Indenture. Any interest due on Bearer Securities on or before Maturity, other than Additional Amounts, if any, payable as provided in Section 1004 in respect of principal of (or premium, if any) such a Security,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1002. Maintenance of Office or Agency.</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Securities of a series are issuable only as Registered Securities, 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232" w:name="page233"/>
    <w:bookmarkEnd w:id="23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the Luxembourg Stock Exchange or any other stock exchange located outside the United States and such stock exchange shall so require, the Company shall maintain a Paying Agent for the Securities of that series in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shall give prompt written notice to the Trustee of the location, and any change in the location, of each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provided that Bearer Securities of that series and the related coupons may be presented and surrendered for payment (including payment of any Additional Amounts payable on Bearer Securities of that series pursuant to Section 1004)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any account maintained with a financial institution located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a series are denominated and payable in Dollars, payment of principal of (and premium, if any) and interest, if any, on any Bearer Security (including payment of any Additional Amounts payable on Bearer Securities of that series pursuant to Section 1004) shall be made at the office of the Company’s Paying Agent in the Borough of Manhattan, The City of New York, if (but only if) payment in Dollars of the full amount of such principal, premium, if any, interest or Additional Amounts, as the case may be, at all offices or agencies outside the United States maintained for such purpose by the Company in accordance with this Indenture, is illegal or effectively precluded by exchange controls or other similar restrictions.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 Office as Paying Agent in the Borough of Manhattan, The City of New York and as its agent to receive all such presentations, surrenders, notices and demands.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33" w:name="page234"/>
    <w:bookmarkEnd w:id="233"/>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shall maintain with respect to each such series of Securities, or as so required, at least one Exchange Rate Agent.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1003. Money for Securities Payments to Be Held in Trust.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Company at any time act, as its own Paying Agent with respect to any series of any Securities and any related coupons, it shall,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shall promptly notify the Trustee of its action or failure so to act.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Whenever the Company has one or more Paying Agents for any series of Securities and any related coupons, it shall,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shall promptly notify the Trustee of its action or failure so to act.</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or any coupon appertaining thereto, and remaining unclaimed for two years after such principal, premium or interest has become due and payable shall be paid to the Company upon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shall be repaid to the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234" w:name="page235"/>
    <w:bookmarkEnd w:id="23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1004. Additional Amounts.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Securities of a series provide for the payment of Additional Amounts, the Company shall pay to the Holder of any Security of such series or any coupon appertaining thereto such Additional Amounts as may be specified as contemplated by Section 301. Whenever in this Indenture there is mentioned, in any context, the payment of the principal of (or premium, if any) or interest, if any, on any Security of any series or payment of any related coupon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shall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or related coupons and the Company shall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1005. Statement as to Compliance.</w:t>
      </w:r>
    </w:p>
    <w:p>
      <w:pPr>
        <w:spacing w:after="0" w:line="177" w:lineRule="exact"/>
        <w:rPr>
          <w:sz w:val="20"/>
          <w:szCs w:val="20"/>
          <w:color w:val="auto"/>
        </w:rPr>
      </w:pPr>
    </w:p>
    <w:p>
      <w:pPr>
        <w:ind w:right="80" w:firstLine="464"/>
        <w:spacing w:after="0" w:line="298" w:lineRule="auto"/>
        <w:tabs>
          <w:tab w:leader="none" w:pos="69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ending after the date hereof so long as any Security is Outstanding hereunder, a brief certificate from the principal executive officer, principal financial officer or principal accounting officer of the Company as to his or her knowledge of the Company’s compliance with all conditions and covenants under this Indenture. For purposes of this Section 1005, such compliance shall be determined without regard to any period of grace or requirement of notice under this Indenture.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Company shall, so long as any series of Securities are Outstanding, deliver to the Trustee, as promptly as practicable upon any officer listed in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above becoming aware of any Default,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235" w:name="page236"/>
    <w:bookmarkEnd w:id="235"/>
    <w:p>
      <w:pPr>
        <w:jc w:val="both"/>
        <w:ind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of Default or default in the performance of any covenant, agreement or condition contained in this Indenture, an Officer’s Certificate specifying such Default, Event of Default, default or event of default and what action the Company is taking or proposes to take with respect thereto and the status thereof.</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1006. Limitations on Liens.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Except as hereinbelow in this Section provided, the Company shall not, and shall not permit any Subsidiary to, at any time pledge or otherwise subject to any lien any of its property or assets, or any of the property or assets of a Subsidiary, without thereby expressly securing the due and punctual payment of the principal of and the interest on the Securities equally and ratably with any and all other obligations and indebtedness secured by such pledge or other lien, so long as any such other obligations and indebtedness shall be so secured, and the Company covenants that if and when any such pledge or other lien is created, the Securities shall be so secured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restriction shall not apply to:</w:t>
      </w:r>
    </w:p>
    <w:p>
      <w:pPr>
        <w:spacing w:after="0" w:line="35" w:lineRule="exact"/>
        <w:rPr>
          <w:sz w:val="20"/>
          <w:szCs w:val="20"/>
          <w:color w:val="auto"/>
        </w:rPr>
      </w:pPr>
    </w:p>
    <w:p>
      <w:pPr>
        <w:ind w:left="1080" w:hanging="177"/>
        <w:spacing w:after="0"/>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to secure debt incurred under the $300 million revolving senior secured credit facility entered into by the Company on June 25, 2007;</w:t>
      </w:r>
    </w:p>
    <w:p>
      <w:pPr>
        <w:spacing w:after="0" w:line="113" w:lineRule="exact"/>
        <w:rPr>
          <w:rFonts w:ascii="Arial" w:cs="Arial" w:eastAsia="Arial" w:hAnsi="Arial"/>
          <w:sz w:val="16"/>
          <w:szCs w:val="16"/>
          <w:color w:val="auto"/>
        </w:rPr>
      </w:pPr>
    </w:p>
    <w:p>
      <w:pPr>
        <w:ind w:left="460" w:right="60" w:firstLine="443"/>
        <w:spacing w:after="0" w:line="294" w:lineRule="auto"/>
        <w:tabs>
          <w:tab w:leader="none" w:pos="107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to secure the purchase or lease of fixed assets or other physical properties and purchase money debt incurred in the ordinary course of business of the Company or any Subsidiary; provided that any such lien may not extend to any property of the Company or any Subsidiary other than the property acquired, constructed or leased and any improvements or accessions to such property (including, in the case of the acquisition of capital stock of a person that becomes a Subsidiary, liens on the property of the person whose capital stock was acquired), and such lien is incurred within 180 days of the acquisition, construction or lease of such property;</w:t>
      </w:r>
    </w:p>
    <w:p>
      <w:pPr>
        <w:spacing w:after="0" w:line="34" w:lineRule="exact"/>
        <w:rPr>
          <w:rFonts w:ascii="Arial" w:cs="Arial" w:eastAsia="Arial" w:hAnsi="Arial"/>
          <w:sz w:val="16"/>
          <w:szCs w:val="16"/>
          <w:color w:val="auto"/>
        </w:rPr>
      </w:pPr>
    </w:p>
    <w:p>
      <w:pPr>
        <w:ind w:left="460" w:right="480" w:firstLine="443"/>
        <w:spacing w:after="0" w:line="259" w:lineRule="auto"/>
        <w:tabs>
          <w:tab w:leader="none" w:pos="10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or levies on the property of the Company or any Subsidiary for taxes, assessments or other governmental charges, if the same are being contested in good faith and by appropriate proceedings promptly instituted and diligently concluded, provided that any reserve or other appropriate provision shall have been made therefor;</w:t>
      </w:r>
    </w:p>
    <w:p>
      <w:pPr>
        <w:spacing w:after="0" w:line="59" w:lineRule="exact"/>
        <w:rPr>
          <w:rFonts w:ascii="Arial" w:cs="Arial" w:eastAsia="Arial" w:hAnsi="Arial"/>
          <w:sz w:val="18"/>
          <w:szCs w:val="18"/>
          <w:color w:val="auto"/>
        </w:rPr>
      </w:pPr>
    </w:p>
    <w:p>
      <w:pPr>
        <w:jc w:val="both"/>
        <w:ind w:left="460" w:right="200" w:firstLine="443"/>
        <w:spacing w:after="0" w:line="335" w:lineRule="auto"/>
        <w:tabs>
          <w:tab w:leader="none" w:pos="1074" w:val="left"/>
        </w:tabs>
        <w:numPr>
          <w:ilvl w:val="0"/>
          <w:numId w:val="167"/>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landlord’s, repairmen’s and mechanics’ liens and other similar liens, on the property of the Company or any Subsidiary arising in the ordinary course of business and securing payment of obligations that are not more than 60 days past due or are being contested in good faith and by appropriate proceedings, provided that any reserve or other appropriate provision shall have been made therefor;</w:t>
      </w:r>
    </w:p>
    <w:p>
      <w:pPr>
        <w:spacing w:after="0" w:line="7" w:lineRule="exact"/>
        <w:rPr>
          <w:rFonts w:ascii="Arial" w:cs="Arial" w:eastAsia="Arial" w:hAnsi="Arial"/>
          <w:sz w:val="15"/>
          <w:szCs w:val="15"/>
          <w:color w:val="auto"/>
        </w:rPr>
      </w:pPr>
    </w:p>
    <w:p>
      <w:pPr>
        <w:ind w:left="460" w:right="140" w:firstLine="443"/>
        <w:spacing w:after="0" w:line="298" w:lineRule="auto"/>
        <w:tabs>
          <w:tab w:leader="none" w:pos="107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on property in place at the time the Company or a Subsidiary acquired such property, including any acquisition by means of a merger or consolidation with or into the Company or any Subsidiary; provided, however, that any such lien may not extend to any other property of the Company or any Subsidiary; provided further, that such liens shall not have been incurred in anticipation of or in connection with the transaction or series of transactions pursuant to which such property was acquired by the Company or any Subsidiary;</w:t>
      </w:r>
    </w:p>
    <w:p>
      <w:pPr>
        <w:spacing w:after="0" w:line="31" w:lineRule="exact"/>
        <w:rPr>
          <w:rFonts w:ascii="Arial" w:cs="Arial" w:eastAsia="Arial" w:hAnsi="Arial"/>
          <w:sz w:val="16"/>
          <w:szCs w:val="16"/>
          <w:color w:val="auto"/>
        </w:rPr>
      </w:pPr>
    </w:p>
    <w:p>
      <w:pPr>
        <w:ind w:left="460" w:right="100" w:firstLine="443"/>
        <w:spacing w:after="0" w:line="306" w:lineRule="auto"/>
        <w:tabs>
          <w:tab w:leader="none" w:pos="107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on the property of a person at the time such person becomes a Subsidiary; provided, however, that any such lien may not extend to any other property of the Company or any other Subsidiary that is not a direct Subsidiary of such person; provided further, that any such lien was not incurred in anticipation of or in connection with the transaction or series of transactions pursuant to which such person became a Subsidiary;</w:t>
      </w:r>
    </w:p>
    <w:p>
      <w:pPr>
        <w:spacing w:after="0" w:line="25" w:lineRule="exact"/>
        <w:rPr>
          <w:rFonts w:ascii="Arial" w:cs="Arial" w:eastAsia="Arial" w:hAnsi="Arial"/>
          <w:sz w:val="16"/>
          <w:szCs w:val="16"/>
          <w:color w:val="auto"/>
        </w:rPr>
      </w:pPr>
    </w:p>
    <w:p>
      <w:pPr>
        <w:ind w:left="460" w:right="300" w:firstLine="443"/>
        <w:spacing w:after="0" w:line="268" w:lineRule="auto"/>
        <w:tabs>
          <w:tab w:leader="none" w:pos="10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mortgages, pledges, liens or charges existing on property acquired by the Company or a Subsidiary through the exercise of rights arising out of defaults on receivables acquired in the ordinary course of business;</w:t>
      </w:r>
    </w:p>
    <w:p>
      <w:pPr>
        <w:spacing w:after="0" w:line="50" w:lineRule="exact"/>
        <w:rPr>
          <w:rFonts w:ascii="Arial" w:cs="Arial" w:eastAsia="Arial" w:hAnsi="Arial"/>
          <w:sz w:val="18"/>
          <w:szCs w:val="18"/>
          <w:color w:val="auto"/>
        </w:rPr>
      </w:pPr>
    </w:p>
    <w:p>
      <w:pPr>
        <w:jc w:val="both"/>
        <w:ind w:left="460" w:right="60" w:firstLine="443"/>
        <w:spacing w:after="0" w:line="256" w:lineRule="auto"/>
        <w:tabs>
          <w:tab w:leader="none" w:pos="10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pledges or deposits by the Company or any Subsidiary under workers’ compensation laws, social security, unemployment insurance laws, old-age pensions or similar legislation, or good faith deposits in connection with bids, tenders, contracts (other than for the payment of Debt) or leases to which the Company or any Subsidiary is party, or deposits to secure public or statutory obligations of the Company, or deposits for the payment of rent, in each case incurred in the ordinary course of business;</w:t>
      </w:r>
    </w:p>
    <w:p>
      <w:pPr>
        <w:spacing w:after="0" w:line="62" w:lineRule="exact"/>
        <w:rPr>
          <w:rFonts w:ascii="Arial" w:cs="Arial" w:eastAsia="Arial" w:hAnsi="Arial"/>
          <w:sz w:val="18"/>
          <w:szCs w:val="18"/>
          <w:color w:val="auto"/>
        </w:rPr>
      </w:pPr>
    </w:p>
    <w:p>
      <w:pPr>
        <w:ind w:left="460" w:right="400" w:firstLine="443"/>
        <w:spacing w:after="0" w:line="268" w:lineRule="auto"/>
        <w:tabs>
          <w:tab w:leader="none" w:pos="10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utility easements, building restrictions and such other encumbrances or charges against real property as are of a nature generally existing with respect to properties of a similar character;</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liens on the property of the Company or any Subsidiary to secure any refinancing debt in respect of debt secured by liens described under clause</w:t>
      </w:r>
    </w:p>
    <w:p>
      <w:pPr>
        <w:spacing w:after="0" w:line="49" w:lineRule="exact"/>
        <w:rPr>
          <w:rFonts w:ascii="Arial" w:cs="Arial" w:eastAsia="Arial" w:hAnsi="Arial"/>
          <w:sz w:val="15"/>
          <w:szCs w:val="15"/>
          <w:color w:val="auto"/>
        </w:rPr>
      </w:pPr>
    </w:p>
    <w:p>
      <w:pPr>
        <w:ind w:left="460"/>
        <w:spacing w:after="0" w:line="292" w:lineRule="auto"/>
        <w:rPr>
          <w:rFonts w:ascii="Arial" w:cs="Arial" w:eastAsia="Arial" w:hAnsi="Arial"/>
          <w:sz w:val="15"/>
          <w:szCs w:val="15"/>
          <w:color w:val="auto"/>
        </w:rPr>
      </w:pPr>
      <w:r>
        <w:rPr>
          <w:rFonts w:ascii="Arial" w:cs="Arial" w:eastAsia="Arial" w:hAnsi="Arial"/>
          <w:sz w:val="16"/>
          <w:szCs w:val="16"/>
          <w:color w:val="auto"/>
        </w:rPr>
        <w:t>(1)-(3) and (5)-(7) of this definition; provided, however, that any such lien shall be limited to all or part of the same property that secured the original lien (together with improvements and accessions to such property), and the aggregate principal amount of debt that is secured by such lien shall not be increased to an amount greater than the sum of (i) the outstanding principal amount, or, if greater, the committed amount, of the debt being refinanced at the time the original lien became a Permitted Lien under the Indenture, and (ii) an amount necessary to pay any fees and expenses, including premiums and defeasance costs, incurred by the Company or such Subsidiary in connection with such refinancing;</w:t>
      </w:r>
    </w:p>
    <w:p>
      <w:pPr>
        <w:spacing w:after="0" w:line="35" w:lineRule="exact"/>
        <w:rPr>
          <w:rFonts w:ascii="Arial" w:cs="Arial" w:eastAsia="Arial" w:hAnsi="Arial"/>
          <w:sz w:val="15"/>
          <w:szCs w:val="15"/>
          <w:color w:val="auto"/>
        </w:rPr>
      </w:pPr>
    </w:p>
    <w:p>
      <w:pPr>
        <w:ind w:left="460" w:firstLine="443"/>
        <w:spacing w:after="0" w:line="268" w:lineRule="auto"/>
        <w:tabs>
          <w:tab w:leader="none" w:pos="11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on property used to defease or to satisfy and discharge debt; provided that (i) the incurrence of such debt was not prohibited by the Indenture and (ii) such defeasance or satisfaction and discharge is not prohibited by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in favor of the Company or any Subsidiary;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rights of banks to set off deposits against Debt owed to said bank;</w:t>
      </w:r>
    </w:p>
    <w:p>
      <w:pPr>
        <w:spacing w:after="0" w:line="90" w:lineRule="exact"/>
        <w:rPr>
          <w:rFonts w:ascii="Arial" w:cs="Arial" w:eastAsia="Arial" w:hAnsi="Arial"/>
          <w:sz w:val="18"/>
          <w:szCs w:val="18"/>
          <w:color w:val="auto"/>
        </w:rPr>
      </w:pPr>
    </w:p>
    <w:p>
      <w:pPr>
        <w:ind w:left="460" w:firstLine="443"/>
        <w:spacing w:after="0" w:line="268" w:lineRule="auto"/>
        <w:tabs>
          <w:tab w:leader="none" w:pos="11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which encumber documents and other assets relating to such letters of credit and products and proceeds thereof;</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deposit or pledge of assets with any surety company or clerk of any court, or in escrow, as collateral in connection with, or in lieu of, any bond on appeal from any judgment or decree against the Company or a Subsidiary, or in connection with other proceedings or actions at law or in equity by or against the Company or a Subsidiary;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mortgages and pledges, liens or charges by a Subsidiary as security for indebtedness owed to 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judgment liens, so long as the finality of such judgment is being contested in good faith and execution thereon is stayed;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claim in favor of the Trustee or any predecessor, pursuant to Section 607;</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280" w:right="239" w:bottom="1440" w:gutter="0" w:footer="0" w:header="0"/>
          <w:type w:val="continuous"/>
        </w:sectPr>
      </w:pPr>
    </w:p>
    <w:bookmarkStart w:id="236" w:name="page237"/>
    <w:bookmarkEnd w:id="236"/>
    <w:p>
      <w:pPr>
        <w:ind w:left="460" w:right="20" w:firstLine="443"/>
        <w:spacing w:after="0" w:line="332" w:lineRule="auto"/>
        <w:tabs>
          <w:tab w:leader="none" w:pos="1162"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pledge or lien (other than directly or indirectly to secure borrowed money) if, after giving effect thereto, the aggregate principal sums secured by pledges or liens otherwise within the restrictions in this Section 1006 contained do not exceed $10,000,000; and</w:t>
      </w:r>
    </w:p>
    <w:p>
      <w:pPr>
        <w:spacing w:after="0" w:line="4" w:lineRule="exact"/>
        <w:rPr>
          <w:rFonts w:ascii="Arial" w:cs="Arial" w:eastAsia="Arial" w:hAnsi="Arial"/>
          <w:sz w:val="16"/>
          <w:szCs w:val="16"/>
          <w:color w:val="auto"/>
        </w:rPr>
      </w:pPr>
    </w:p>
    <w:p>
      <w:pPr>
        <w:ind w:left="460" w:right="120" w:firstLine="443"/>
        <w:spacing w:after="0" w:line="268" w:lineRule="auto"/>
        <w:tabs>
          <w:tab w:leader="none" w:pos="116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transaction characterized as a sale of receivables (retail or wholesale) but reflected as secured indebtedness on a balance sheet in conformity with generally accepted accounting principles then in effect.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1007. Waiver of Certain Covenants.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may omit in any particular instance to comply with any covenant or condition set forth in Section 1006, and, as specified pursuant to Section 301(15) for Securities of any series, in any covenants of the Company added to Article Ten pursuant to Section 301(14) or Section 301 (15)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1101. Applicability of Article.</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1102. Election to Redeem; Notice to Trustee.</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1103. Selection by Trustee of Securities to Be Redeemed.</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237" w:name="page238"/>
    <w:bookmarkEnd w:id="237"/>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partial redemption shall reduce the portion of the principal amount of a Security not redeemed to less than the minimum authorized denomination for Securities of such series.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1104. Notice of Redemption.</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171" w:lineRule="exact"/>
        <w:rPr>
          <w:sz w:val="20"/>
          <w:szCs w:val="20"/>
          <w:color w:val="auto"/>
        </w:rPr>
      </w:pPr>
    </w:p>
    <w:p>
      <w:pPr>
        <w:ind w:left="720" w:hanging="256"/>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Redemption Price and accrued interest, if any, to the Redemption Date payable as provided in Section 1106,</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31"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238" w:name="page239"/>
    <w:bookmarkEnd w:id="238"/>
    <w:p>
      <w:pPr>
        <w:ind w:right="220" w:firstLine="464"/>
        <w:spacing w:after="0" w:line="268"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Place or Places of Payment where such Securities, together in the case of Bearer Securities with all coupons appertaining thereto, if any, maturing after the Redemption Date, are to be surrendered for payment of the Redemption Price and accrued interest,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71" w:lineRule="exact"/>
        <w:rPr>
          <w:rFonts w:ascii="Arial" w:cs="Arial" w:eastAsia="Arial" w:hAnsi="Arial"/>
          <w:sz w:val="18"/>
          <w:szCs w:val="18"/>
          <w:color w:val="auto"/>
        </w:rPr>
      </w:pPr>
    </w:p>
    <w:p>
      <w:pPr>
        <w:jc w:val="both"/>
        <w:ind w:right="120" w:firstLine="464"/>
        <w:spacing w:after="0" w:line="306"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for such series and any Paying Agent is furnished,</w:t>
      </w:r>
    </w:p>
    <w:p>
      <w:pPr>
        <w:spacing w:after="0" w:line="106"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and</w:t>
      </w:r>
    </w:p>
    <w:p>
      <w:pPr>
        <w:spacing w:after="0" w:line="140" w:lineRule="exact"/>
        <w:rPr>
          <w:rFonts w:ascii="Arial" w:cs="Arial" w:eastAsia="Arial" w:hAnsi="Arial"/>
          <w:sz w:val="18"/>
          <w:szCs w:val="18"/>
          <w:color w:val="auto"/>
        </w:rPr>
      </w:pPr>
    </w:p>
    <w:p>
      <w:pPr>
        <w:ind w:left="800" w:hanging="336"/>
        <w:spacing w:after="0"/>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CUSIP number of such Security, if any.</w:t>
      </w:r>
    </w:p>
    <w:p>
      <w:pPr>
        <w:spacing w:after="0" w:line="17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1105. Deposit of Redemption Price.</w:t>
      </w:r>
    </w:p>
    <w:p>
      <w:pPr>
        <w:spacing w:after="0" w:line="1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On or prior to 10:00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1106. Securities Payable on Redemption Date.</w:t>
      </w:r>
    </w:p>
    <w:p>
      <w:pPr>
        <w:spacing w:after="0" w:line="1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installments of interest on Bearer Securities whose Stated Maturity is on or prior to the Redemption Date shall be payable only at an office or agency located outside the United States (except as otherwise provided in Section 1002) and, unless otherwise specified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239" w:name="page240"/>
    <w:bookmarkEnd w:id="2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 contemplated by Section 301, only upon presentation and surrender of coupons for such interest;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1107. Securities Redeemed in Part.</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1201. Applicability of Article.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240" w:name="page241"/>
    <w:bookmarkEnd w:id="240"/>
    <w:p>
      <w:pPr>
        <w:jc w:val="both"/>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1202. Satisfaction of Sinking Fund Payments with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1203. Redemption of Securities for Sinking Fund.</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 less than 60 days prior to each sinking fund payment date for Securities of any series, the Company shall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AT THE OPTION OF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1301. Applicability of Article.</w:t>
      </w:r>
    </w:p>
    <w:p>
      <w:pPr>
        <w:spacing w:after="0" w:line="1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241" w:name="page242"/>
    <w:bookmarkEnd w:id="24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1302. Repayment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of any series subject to repayment in whole or in part at the option of the Holders thereof shall,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Repayment Date it shall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1303. Exercise of Option.</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Securities of any series subject to repayment at the option of the Holders thereof shall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1304. When Securities Presented for Repayment Become Due and Payable.</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installments of interest on Registered Securities, whose Stated Maturity is prior to (or, if specified pursuant to Section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242" w:name="page243"/>
    <w:bookmarkEnd w:id="242"/>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18"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1305. Securities Repaid in Part.</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which is not to be repaid. If a temporary global Security or permanent global Security is so surrendered, such new Security so issued shall be a new temporary global Security or a new permanent global Security, respectively.</w:t>
      </w:r>
    </w:p>
    <w:p>
      <w:pPr>
        <w:spacing w:after="0" w:line="19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ARTICLE FOURTEEN</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DEFEASANCE AND COVENANT DEFEASANCE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1401. Applicability of Article; Company’s Option to Effect Defeasance or Covenant Defeasance.</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either Section 1402 (if applicable) or Section 1403 (if applicable) be applied to such Outstanding Securities and any coupons appertaining thereto upon compliance with the conditions set forth below in this Article.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243" w:name="page244"/>
    <w:bookmarkEnd w:id="24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1402. Defeasance and Discharge.</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and after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of this Section, and to have satisfied all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if any) and interest, if any, on such Securities and any coupons appertaining thereto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 Following a defeasance, payment of such Securities may not be accelerated because of an Event of Default.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1403. Covenant Defeasance.</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released from its obligations under Section 1006, and,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 1006,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1503.</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244" w:name="page245"/>
    <w:bookmarkEnd w:id="24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1404. Conditions to Defeasance or Covenant Defeasance.</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shall be the conditions to application of either Section 1402 or Section 1403 to any Outstanding Securities of or within a series and any coupons appertaining thereto:</w:t>
      </w:r>
    </w:p>
    <w:p>
      <w:pPr>
        <w:spacing w:after="0" w:line="132" w:lineRule="exact"/>
        <w:rPr>
          <w:sz w:val="20"/>
          <w:szCs w:val="20"/>
          <w:color w:val="auto"/>
        </w:rPr>
      </w:pPr>
    </w:p>
    <w:p>
      <w:pPr>
        <w:ind w:firstLine="464"/>
        <w:spacing w:after="0" w:line="286"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20" w:lineRule="exact"/>
        <w:rPr>
          <w:rFonts w:ascii="Arial" w:cs="Arial" w:eastAsia="Arial" w:hAnsi="Arial"/>
          <w:sz w:val="16"/>
          <w:szCs w:val="16"/>
          <w:color w:val="auto"/>
        </w:rPr>
      </w:pPr>
    </w:p>
    <w:p>
      <w:pPr>
        <w:ind w:right="300" w:firstLine="464"/>
        <w:spacing w:after="0" w:line="268"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31" w:lineRule="exact"/>
        <w:rPr>
          <w:rFonts w:ascii="Arial" w:cs="Arial" w:eastAsia="Arial" w:hAnsi="Arial"/>
          <w:sz w:val="18"/>
          <w:szCs w:val="18"/>
          <w:color w:val="auto"/>
        </w:rPr>
      </w:pPr>
    </w:p>
    <w:p>
      <w:pPr>
        <w:ind w:right="140" w:firstLine="464"/>
        <w:spacing w:after="0" w:line="253" w:lineRule="auto"/>
        <w:tabs>
          <w:tab w:leader="none" w:pos="6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 Default or Event of Default with respect to such Securities and any coupons appertaining thereto shall have occurred and be continuing on the date of such deposit or, insofar as Sections 501(5) and 501(6) are concerned, at any time during the period ending on the 123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day after the date of such deposit (it being understood that this condition shall not be deemed satisfied until the expiration of such period).</w:t>
      </w:r>
    </w:p>
    <w:p>
      <w:pPr>
        <w:spacing w:after="0" w:line="170" w:lineRule="exact"/>
        <w:rPr>
          <w:rFonts w:ascii="Arial" w:cs="Arial" w:eastAsia="Arial" w:hAnsi="Arial"/>
          <w:sz w:val="17"/>
          <w:szCs w:val="17"/>
          <w:color w:val="auto"/>
        </w:rPr>
      </w:pPr>
    </w:p>
    <w:p>
      <w:pPr>
        <w:ind w:right="40" w:firstLine="464"/>
        <w:spacing w:after="0" w:line="254"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shall confirm that, the Holders of such Outstanding Securities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44"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U(e) In the case of an election under Section 1403, the Company shall have delivered to the Trustee an Opinion of Counsel to the effect that the Holders of such Outstanding Securities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43" w:lineRule="exact"/>
        <w:rPr>
          <w:sz w:val="20"/>
          <w:szCs w:val="20"/>
          <w:color w:val="auto"/>
        </w:rPr>
      </w:pPr>
    </w:p>
    <w:p>
      <w:pPr>
        <w:ind w:right="100" w:firstLine="464"/>
        <w:spacing w:after="0" w:line="259" w:lineRule="auto"/>
        <w:tabs>
          <w:tab w:leader="none" w:pos="67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 and an Opinion of Counsel to the effect that either (i) as a result of a deposit pursuant to subsection (a) above and the related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245" w:name="page246"/>
    <w:bookmarkEnd w:id="24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40" w:lineRule="exact"/>
        <w:rPr>
          <w:sz w:val="20"/>
          <w:szCs w:val="20"/>
          <w:color w:val="auto"/>
        </w:rPr>
      </w:pPr>
    </w:p>
    <w:p>
      <w:pPr>
        <w:ind w:right="260" w:firstLine="464"/>
        <w:spacing w:after="0" w:line="332" w:lineRule="auto"/>
        <w:tabs>
          <w:tab w:leader="none" w:pos="70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1405. Deposited Money and Government Obligations to Be Held in Trust; Other Miscellaneous Provisions.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if any, but such money need not be segregated from other funds except to the extent required by law.</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246" w:name="page247"/>
    <w:bookmarkEnd w:id="24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FIFTEEN</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MEETINGS OF HOLDERS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1501. Purposes for Which Meetings May Be Called.</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1502. Call, Notice and Place of Meetings.</w:t>
      </w:r>
    </w:p>
    <w:p>
      <w:pPr>
        <w:spacing w:after="0" w:line="177" w:lineRule="exact"/>
        <w:rPr>
          <w:sz w:val="20"/>
          <w:szCs w:val="20"/>
          <w:color w:val="auto"/>
        </w:rPr>
      </w:pPr>
    </w:p>
    <w:p>
      <w:pPr>
        <w:ind w:right="80" w:firstLine="464"/>
        <w:spacing w:after="0" w:line="298" w:lineRule="auto"/>
        <w:tabs>
          <w:tab w:leader="none" w:pos="695"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 Trustee may at any time call a meeting of Holders of Securities of any series for any purpose specified in Section 1501,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12" w:lineRule="exact"/>
        <w:rPr>
          <w:rFonts w:ascii="Arial" w:cs="Arial" w:eastAsia="Arial" w:hAnsi="Arial"/>
          <w:sz w:val="16"/>
          <w:szCs w:val="16"/>
          <w:color w:val="auto"/>
        </w:rPr>
      </w:pPr>
    </w:p>
    <w:p>
      <w:pPr>
        <w:ind w:right="40" w:firstLine="464"/>
        <w:spacing w:after="0" w:line="302" w:lineRule="auto"/>
        <w:tabs>
          <w:tab w:leader="none" w:pos="705" w:val="left"/>
        </w:tabs>
        <w:numPr>
          <w:ilvl w:val="1"/>
          <w:numId w:val="174"/>
        </w:numPr>
        <w:rPr>
          <w:rFonts w:ascii="Arial" w:cs="Arial" w:eastAsia="Arial" w:hAnsi="Arial"/>
          <w:sz w:val="15"/>
          <w:szCs w:val="15"/>
          <w:color w:val="auto"/>
        </w:rPr>
      </w:pPr>
      <w:r>
        <w:rPr>
          <w:rFonts w:ascii="Arial" w:cs="Arial" w:eastAsia="Arial" w:hAnsi="Arial"/>
          <w:sz w:val="15"/>
          <w:szCs w:val="15"/>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w:t>
      </w:r>
    </w:p>
    <w:p>
      <w:pPr>
        <w:ind w:left="240" w:hanging="232"/>
        <w:spacing w:after="0"/>
        <w:tabs>
          <w:tab w:leader="none" w:pos="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 this Section.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1503. Persons Entitled to Vote at Meetings.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1504. Quorum; Action.</w:t>
      </w:r>
    </w:p>
    <w:p>
      <w:pPr>
        <w:spacing w:after="0" w:line="1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waiver, request, demand, notice, authorization, direction or other action which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247" w:name="page248"/>
    <w:bookmarkEnd w:id="247"/>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44"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62" w:lineRule="exact"/>
        <w:rPr>
          <w:sz w:val="20"/>
          <w:szCs w:val="20"/>
          <w:color w:val="auto"/>
        </w:rPr>
      </w:pPr>
    </w:p>
    <w:p>
      <w:pPr>
        <w:ind w:left="1120" w:hanging="217"/>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90" w:lineRule="exact"/>
        <w:rPr>
          <w:rFonts w:ascii="Arial" w:cs="Arial" w:eastAsia="Arial" w:hAnsi="Arial"/>
          <w:sz w:val="18"/>
          <w:szCs w:val="18"/>
          <w:color w:val="auto"/>
        </w:rPr>
      </w:pPr>
    </w:p>
    <w:p>
      <w:pPr>
        <w:ind w:left="460" w:right="180" w:firstLine="443"/>
        <w:spacing w:after="0" w:line="259" w:lineRule="auto"/>
        <w:tabs>
          <w:tab w:leader="none" w:pos="11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1505. Determination of Voting Rights; Conduct and Adjournment of Meetings.</w:t>
      </w:r>
    </w:p>
    <w:p>
      <w:pPr>
        <w:spacing w:after="0" w:line="177" w:lineRule="exact"/>
        <w:rPr>
          <w:sz w:val="20"/>
          <w:szCs w:val="20"/>
          <w:color w:val="auto"/>
        </w:rPr>
      </w:pPr>
    </w:p>
    <w:p>
      <w:pPr>
        <w:ind w:right="80" w:firstLine="464"/>
        <w:spacing w:after="0" w:line="289"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248" w:name="page249"/>
    <w:bookmarkEnd w:id="248"/>
    <w:p>
      <w:pPr>
        <w:ind w:right="100" w:firstLine="464"/>
        <w:spacing w:after="0" w:line="298"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12" w:lineRule="exact"/>
        <w:rPr>
          <w:rFonts w:ascii="Arial" w:cs="Arial" w:eastAsia="Arial" w:hAnsi="Arial"/>
          <w:sz w:val="16"/>
          <w:szCs w:val="16"/>
          <w:color w:val="auto"/>
        </w:rPr>
      </w:pPr>
    </w:p>
    <w:p>
      <w:pPr>
        <w:ind w:firstLine="464"/>
        <w:spacing w:after="0" w:line="256"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43" w:lineRule="exact"/>
        <w:rPr>
          <w:rFonts w:ascii="Arial" w:cs="Arial" w:eastAsia="Arial" w:hAnsi="Arial"/>
          <w:sz w:val="18"/>
          <w:szCs w:val="18"/>
          <w:color w:val="auto"/>
        </w:rPr>
      </w:pPr>
    </w:p>
    <w:p>
      <w:pPr>
        <w:jc w:val="both"/>
        <w:ind w:right="240" w:firstLine="464"/>
        <w:spacing w:after="0" w:line="259"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1506. Counting Votes and Recording Action of Meetings.</w:t>
      </w:r>
    </w:p>
    <w:p>
      <w:pPr>
        <w:spacing w:after="0" w:line="1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1601. Agreement to Subordinate.</w:t>
      </w:r>
    </w:p>
    <w:p>
      <w:pPr>
        <w:spacing w:after="0" w:line="1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for itself, its successors and assigns, covenants and agrees, and each Holder of Senior Subordinated Securities by his acceptance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for itself, its successors and assigns, covenants and agrees, and each Holder of Junior Subordinated Securities by his acceptance thereof, likewise covenants and agrees, that the payment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249" w:name="page250"/>
    <w:bookmarkEnd w:id="249"/>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1602. Distribution on Dissolution, Liquidation and Reorganization; Subrogation of Subordinated Securities.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43" w:lineRule="exact"/>
        <w:rPr>
          <w:sz w:val="20"/>
          <w:szCs w:val="20"/>
          <w:color w:val="auto"/>
        </w:rPr>
      </w:pPr>
    </w:p>
    <w:p>
      <w:pPr>
        <w:ind w:right="100" w:firstLine="464"/>
        <w:spacing w:after="0" w:line="259"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Subordinated Securities are entitled to receive any payment upon the principal (or premium, if any) or interest, if any, on indebtedness evidenced by the Subordinated Securities; and</w:t>
      </w:r>
    </w:p>
    <w:p>
      <w:pPr>
        <w:spacing w:after="0" w:line="140" w:lineRule="exact"/>
        <w:rPr>
          <w:rFonts w:ascii="Arial" w:cs="Arial" w:eastAsia="Arial" w:hAnsi="Arial"/>
          <w:sz w:val="18"/>
          <w:szCs w:val="18"/>
          <w:color w:val="auto"/>
        </w:rPr>
      </w:pPr>
    </w:p>
    <w:p>
      <w:pPr>
        <w:jc w:val="both"/>
        <w:ind w:right="540" w:firstLine="464"/>
        <w:spacing w:after="0" w:line="259"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140" w:lineRule="exact"/>
        <w:rPr>
          <w:rFonts w:ascii="Arial" w:cs="Arial" w:eastAsia="Arial" w:hAnsi="Arial"/>
          <w:sz w:val="18"/>
          <w:szCs w:val="18"/>
          <w:color w:val="auto"/>
        </w:rPr>
      </w:pPr>
    </w:p>
    <w:p>
      <w:pPr>
        <w:ind w:right="60" w:firstLine="464"/>
        <w:spacing w:after="0" w:line="290" w:lineRule="auto"/>
        <w:tabs>
          <w:tab w:leader="none" w:pos="6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18" w:lineRule="exact"/>
        <w:rPr>
          <w:rFonts w:ascii="Arial" w:cs="Arial" w:eastAsia="Arial" w:hAnsi="Arial"/>
          <w:sz w:val="16"/>
          <w:szCs w:val="16"/>
          <w:color w:val="auto"/>
        </w:rPr>
      </w:pPr>
    </w:p>
    <w:p>
      <w:pPr>
        <w:ind w:firstLine="464"/>
        <w:spacing w:after="0" w:line="291"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250" w:name="page251"/>
    <w:bookmarkEnd w:id="250"/>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 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2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 The Trustee does not owe any fiduciary duties to the holders of Securities other than Securities issued under this Indenture.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1603. No Payment on Subordinated Securities in Event of Default on Senior Indebtedness.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1604. Payments on Subordinated Securities Permitted.</w:t>
      </w:r>
    </w:p>
    <w:p>
      <w:pPr>
        <w:spacing w:after="0" w:line="177"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251" w:name="page252"/>
    <w:bookmarkEnd w:id="25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1605. Authorization of Holders to Trustee to Effect Subordination.</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1606. Notices to Trustee.</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1607. Trustee as Holder of Senior Indebtedness.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Section 613 or elsewhere in this Indenture shall be construed to deprive the Trustee of any of its rights as such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Sixteen shall apply to claims of, or payments to, the Trustee under or pursuant to Section 606.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252" w:name="page253"/>
    <w:bookmarkEnd w:id="25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1608. Modifications of Terms of Senior Indebtedness.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1609. Reliance on Judicial Order or Certificate of Liquidating Agent.</w:t>
      </w:r>
    </w:p>
    <w:p>
      <w:pPr>
        <w:spacing w:after="0" w:line="1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Indenture may be executed in any number of counterparts, each of which so executed shall be deemed to be an original, but all such counterparts shall together constitute but one and the same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Indenture to be duly executed,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4" w:lineRule="exact"/>
        <w:rPr>
          <w:sz w:val="20"/>
          <w:szCs w:val="20"/>
          <w:color w:val="auto"/>
        </w:rPr>
      </w:pPr>
    </w:p>
    <w:tbl>
      <w:tblPr>
        <w:tblLayout w:type="fixed"/>
        <w:tblInd w:w="6400" w:type="dxa"/>
        <w:tblCellMar>
          <w:top w:w="0" w:type="dxa"/>
          <w:left w:w="0" w:type="dxa"/>
          <w:bottom w:w="0" w:type="dxa"/>
          <w:right w:w="0" w:type="dxa"/>
        </w:tblCellMar>
      </w:tblPr>
      <w:tr>
        <w:trPr>
          <w:trHeight w:val="201"/>
        </w:trPr>
        <w:tc>
          <w:tcPr>
            <w:tcW w:w="320" w:type="dxa"/>
            <w:vAlign w:val="bottom"/>
          </w:tcPr>
          <w:p>
            <w:pPr>
              <w:spacing w:after="0"/>
              <w:rPr>
                <w:sz w:val="17"/>
                <w:szCs w:val="17"/>
                <w:color w:val="auto"/>
              </w:rPr>
            </w:pPr>
          </w:p>
        </w:tc>
        <w:tc>
          <w:tcPr>
            <w:tcW w:w="10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Name:</w:t>
            </w:r>
          </w:p>
        </w:tc>
        <w:tc>
          <w:tcPr>
            <w:tcW w:w="3220" w:type="dxa"/>
            <w:vAlign w:val="bottom"/>
            <w:tcBorders>
              <w:top w:val="single" w:sz="8" w:color="auto"/>
            </w:tcBorders>
          </w:tcPr>
          <w:p>
            <w:pPr>
              <w:spacing w:after="0"/>
              <w:rPr>
                <w:sz w:val="17"/>
                <w:szCs w:val="17"/>
                <w:color w:val="auto"/>
              </w:rPr>
            </w:pPr>
          </w:p>
        </w:tc>
      </w:tr>
      <w:tr>
        <w:trPr>
          <w:trHeight w:val="222"/>
        </w:trPr>
        <w:tc>
          <w:tcPr>
            <w:tcW w:w="3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Title:</w:t>
            </w:r>
          </w:p>
        </w:tc>
        <w:tc>
          <w:tcPr>
            <w:tcW w:w="3220" w:type="dxa"/>
            <w:vAlign w:val="bottom"/>
          </w:tcPr>
          <w:p>
            <w:pPr>
              <w:spacing w:after="0"/>
              <w:rPr>
                <w:sz w:val="19"/>
                <w:szCs w:val="19"/>
                <w:color w:val="auto"/>
              </w:rPr>
            </w:pPr>
          </w:p>
        </w:tc>
      </w:tr>
      <w:tr>
        <w:trPr>
          <w:trHeight w:val="42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220" w:type="dxa"/>
            <w:vAlign w:val="bottom"/>
          </w:tcPr>
          <w:p>
            <w:pPr>
              <w:jc w:val="right"/>
              <w:ind w:right="2512"/>
              <w:spacing w:after="0"/>
              <w:rPr>
                <w:sz w:val="20"/>
                <w:szCs w:val="20"/>
                <w:color w:val="auto"/>
              </w:rPr>
            </w:pPr>
            <w:r>
              <w:rPr>
                <w:rFonts w:ascii="Arial" w:cs="Arial" w:eastAsia="Arial" w:hAnsi="Arial"/>
                <w:sz w:val="18"/>
                <w:szCs w:val="18"/>
                <w:color w:val="auto"/>
              </w:rPr>
              <w:t>],</w:t>
            </w:r>
          </w:p>
        </w:tc>
      </w:t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220" w:type="dxa"/>
            <w:vAlign w:val="bottom"/>
          </w:tcPr>
          <w:p>
            <w:pPr>
              <w:spacing w:after="0"/>
              <w:rPr>
                <w:sz w:val="19"/>
                <w:szCs w:val="19"/>
                <w:color w:val="auto"/>
              </w:rPr>
            </w:pPr>
          </w:p>
        </w:tc>
      </w:tr>
      <w:tr>
        <w:trPr>
          <w:trHeight w:val="421"/>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220" w:type="dxa"/>
            <w:vAlign w:val="bottom"/>
          </w:tcPr>
          <w:p>
            <w:pPr>
              <w:spacing w:after="0"/>
              <w:rPr>
                <w:sz w:val="24"/>
                <w:szCs w:val="24"/>
                <w:color w:val="auto"/>
              </w:rPr>
            </w:pPr>
          </w:p>
        </w:tc>
      </w:tr>
      <w:tr>
        <w:trPr>
          <w:trHeight w:val="201"/>
        </w:trPr>
        <w:tc>
          <w:tcPr>
            <w:tcW w:w="320" w:type="dxa"/>
            <w:vAlign w:val="bottom"/>
          </w:tcPr>
          <w:p>
            <w:pPr>
              <w:spacing w:after="0"/>
              <w:rPr>
                <w:sz w:val="17"/>
                <w:szCs w:val="17"/>
                <w:color w:val="auto"/>
              </w:rPr>
            </w:pPr>
          </w:p>
        </w:tc>
        <w:tc>
          <w:tcPr>
            <w:tcW w:w="10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Name:</w:t>
            </w:r>
          </w:p>
        </w:tc>
        <w:tc>
          <w:tcPr>
            <w:tcW w:w="3220" w:type="dxa"/>
            <w:vAlign w:val="bottom"/>
            <w:tcBorders>
              <w:top w:val="single" w:sz="8" w:color="auto"/>
            </w:tcBorders>
          </w:tcPr>
          <w:p>
            <w:pPr>
              <w:spacing w:after="0"/>
              <w:rPr>
                <w:sz w:val="17"/>
                <w:szCs w:val="17"/>
                <w:color w:val="auto"/>
              </w:rPr>
            </w:pPr>
          </w:p>
        </w:tc>
      </w:tr>
      <w:tr>
        <w:trPr>
          <w:trHeight w:val="222"/>
        </w:trPr>
        <w:tc>
          <w:tcPr>
            <w:tcW w:w="3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Title:</w:t>
            </w:r>
          </w:p>
        </w:tc>
        <w:tc>
          <w:tcPr>
            <w:tcW w:w="3220" w:type="dxa"/>
            <w:vAlign w:val="bottom"/>
          </w:tcPr>
          <w:p>
            <w:pPr>
              <w:spacing w:after="0"/>
              <w:rPr>
                <w:sz w:val="19"/>
                <w:szCs w:val="19"/>
                <w:color w:val="auto"/>
              </w:rPr>
            </w:pP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700" w:top="280" w:right="239" w:bottom="1440" w:gutter="0" w:footer="0" w:header="0"/>
        </w:sectPr>
      </w:pPr>
    </w:p>
    <w:bookmarkStart w:id="254" w:name="page255"/>
    <w:bookmarkEnd w:id="254"/>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FORMS OF CERTIFICATION</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A-1</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FORM OF CERTIFICATE TO BE GIVEN BY PERSON ENTITLED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RECEIVE BEARER SECURITY OR TO OBTAIN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PAYABLE PRIOR TO THE EXCHANGE DATE</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CERTIFICATE</w:t>
      </w:r>
    </w:p>
    <w:p>
      <w:pPr>
        <w:spacing w:after="0" w:line="17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[Insert title or sufficient description of Securities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delivered]</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1" w:lineRule="exact"/>
        <w:rPr>
          <w:sz w:val="20"/>
          <w:szCs w:val="20"/>
          <w:color w:val="auto"/>
        </w:rPr>
      </w:pPr>
    </w:p>
    <w:p>
      <w:pPr>
        <w:ind w:firstLine="8"/>
        <w:spacing w:after="0" w:line="290" w:lineRule="auto"/>
        <w:tabs>
          <w:tab w:leader="none" w:pos="23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or (b), each such United States financial institution hereby agrees, on its own behalf or through its agent, that you may advise PennantPark Investment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40" w:lineRule="exact"/>
        <w:rPr>
          <w:sz w:val="20"/>
          <w:szCs w:val="20"/>
          <w:color w:val="auto"/>
        </w:rPr>
      </w:pPr>
    </w:p>
    <w:p>
      <w:pPr>
        <w:ind w:left="460"/>
        <w:spacing w:after="0"/>
        <w:tabs>
          <w:tab w:leader="none" w:pos="5140" w:val="left"/>
        </w:tabs>
        <w:rPr>
          <w:sz w:val="20"/>
          <w:szCs w:val="20"/>
          <w:color w:val="auto"/>
        </w:rPr>
      </w:pPr>
      <w:r>
        <w:rPr>
          <w:rFonts w:ascii="Arial" w:cs="Arial" w:eastAsia="Arial" w:hAnsi="Arial"/>
          <w:sz w:val="18"/>
          <w:szCs w:val="18"/>
          <w:color w:val="auto"/>
        </w:rPr>
        <w:t>This certificate excepts and does not relate to [U.S.$]</w:t>
      </w:r>
      <w:r>
        <w:rPr>
          <w:sz w:val="20"/>
          <w:szCs w:val="20"/>
          <w:color w:val="auto"/>
        </w:rPr>
        <w:tab/>
      </w:r>
      <w:r>
        <w:rPr>
          <w:rFonts w:ascii="Arial" w:cs="Arial" w:eastAsia="Arial" w:hAnsi="Arial"/>
          <w:sz w:val="15"/>
          <w:szCs w:val="15"/>
          <w:color w:val="auto"/>
        </w:rPr>
        <w:t>of such interest in the above-captioned Securities in respect of which we are not 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-13970</wp:posOffset>
            </wp:positionV>
            <wp:extent cx="5575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20"/>
        <w:spacing w:after="0" w:line="261" w:lineRule="auto"/>
        <w:rPr>
          <w:sz w:val="20"/>
          <w:szCs w:val="20"/>
          <w:color w:val="auto"/>
        </w:rPr>
      </w:pPr>
      <w:r>
        <w:rPr>
          <w:rFonts w:ascii="Arial" w:cs="Arial" w:eastAsia="Arial" w:hAnsi="Arial"/>
          <w:sz w:val="18"/>
          <w:szCs w:val="18"/>
          <w:color w:val="auto"/>
        </w:rPr>
        <w:t>certify and as to which we understand an exchange for an interest in a Permanent Global Security or an exchange for and delivery of definitive Securities (or, if relevant, collection of any interest) cannot be made until we do so certify.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4" w:right="239" w:bottom="1440" w:gutter="0" w:footer="0" w:header="0"/>
        </w:sectPr>
      </w:pPr>
    </w:p>
    <w:bookmarkStart w:id="255" w:name="page256"/>
    <w:bookmarkEnd w:id="25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15th day prior to (i)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Exchange Date or (ii) the relevant Interest Payment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occurring prior to the Exchange Date, as applicable]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Signatory)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60"/>
          </w:cols>
          <w:pgMar w:left="240" w:top="280" w:right="299" w:bottom="1440" w:gutter="0" w:footer="0" w:header="0"/>
        </w:sectPr>
      </w:pPr>
    </w:p>
    <w:bookmarkStart w:id="256" w:name="page257"/>
    <w:bookmarkEnd w:id="256"/>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FORM OF CERTIFICATE TO BE GIVEN BY EUROCLEAR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CLEARSTREAM IN CONNECTION WITH THE EXCHANGE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PORTION OF A TEMPORARY GLOBAL SECURITY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TO OBTAIN INTEREST PAYABLE PRIOR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EXCHANGE DATE</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CERTIFICATE</w:t>
      </w:r>
    </w:p>
    <w:p>
      <w:pPr>
        <w:spacing w:after="0" w:line="17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[Insert title or sufficient description of Securities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PennantPark Investment Corporation or its agent that such financial institution shall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w:t>
      </w:r>
    </w:p>
    <w:p>
      <w:pPr>
        <w:spacing w:after="0" w:line="5"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color w:val="auto"/>
        </w:rPr>
        <w:t>(7)),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6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4" w:right="239" w:bottom="1440" w:gutter="0" w:footer="0" w:header="0"/>
        </w:sectPr>
      </w:pPr>
    </w:p>
    <w:bookmarkStart w:id="257" w:name="page258"/>
    <w:bookmarkEnd w:id="25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Exchange Date or the relevant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 occurring prior to the Exchange Date,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[________________], as Operator of the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Euroclear System</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2540</wp:posOffset>
            </wp:positionV>
            <wp:extent cx="25984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00"/>
          </w:cols>
          <w:pgMar w:left="240" w:top="280" w:right="55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(d)(4)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RIGHTS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5980" w:hanging="588"/>
        <w:spacing w:after="0"/>
        <w:tabs>
          <w:tab w:leader="none" w:pos="59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This Subscription Rights Agreement (the “Agreement”) is made as of among PENNANTPARK INVESTMENT CORPORATION, a Maryland corporation (the “Company”), and , a [state] corporation, (the “Subscription Agent”), and relates to the base prospectus included in the Registration</w:t>
      </w:r>
    </w:p>
    <w:p>
      <w:pPr>
        <w:ind w:right="440"/>
        <w:spacing w:after="0" w:line="302" w:lineRule="auto"/>
        <w:rPr>
          <w:sz w:val="20"/>
          <w:szCs w:val="20"/>
          <w:color w:val="auto"/>
        </w:rPr>
      </w:pPr>
      <w:r>
        <w:rPr>
          <w:rFonts w:ascii="Arial" w:cs="Arial" w:eastAsia="Arial" w:hAnsi="Arial"/>
          <w:sz w:val="16"/>
          <w:szCs w:val="16"/>
          <w:color w:val="auto"/>
        </w:rPr>
        <w:t>Statement on Form N-2, File No. 333-150033, filed by the Company with the Securities and Exchange Commission on April 4, 2008, as amended by any amendment filed with respect thereto (the “Registration Statement”) and any supplemental prospectus (together with the base prospectus, the “Prospectus”). Capitalized terms not otherwise defined herein shall have the meanings given to them in the Subscription Certificate (as defined below).</w:t>
      </w:r>
    </w:p>
    <w:p>
      <w:pPr>
        <w:spacing w:after="0" w:line="10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WHEREAS, the Company proposes to make a subscription offer by issuing subscription certificates in the form designated by the Company (“Subscription Certificates”) to stockholders of record (the “Record Date Stockholders”) of its common stock, par value $0.001 per share (“Common Stock”), as of a record date specified by the Company (the “Record Date”) in the Prospectus, pursuant to which each Record Date Stockholder, or any transferee of a Record Date Stockholder (such Record Date Stockholders and transferees thereof, the “Rights Holders”) shall have certain rights (the “Rights”) to subscribe for shares of Common Stock, as described in and upon such terms as are set forth in the Prospectus, a final copy of which has been or, upon availability shall promptly be, delivered to the Subscription Agent; and</w:t>
      </w:r>
    </w:p>
    <w:p>
      <w:pPr>
        <w:sectPr>
          <w:pgSz w:w="11900" w:h="16838" w:orient="portrait"/>
          <w:cols w:equalWidth="0" w:num="1">
            <w:col w:w="11420"/>
          </w:cols>
          <w:pgMar w:left="240" w:top="125" w:right="239" w:bottom="1440" w:gutter="0" w:footer="0" w:header="0"/>
        </w:sectPr>
      </w:pPr>
    </w:p>
    <w:bookmarkStart w:id="259" w:name="page260"/>
    <w:bookmarkEnd w:id="259"/>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 wishes the Subscription Agent to perform certain acts on behalf of the Company, and the Subscription Agent is willing to so act, in connection with the distribution of the Subscription Certificates and the issuance and exercise of the Rights, all upon the terms and conditions set forth herein.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of the mutual agreements set forth herein, each of the parties agrees as follows:</w:t>
      </w:r>
    </w:p>
    <w:p>
      <w:pPr>
        <w:spacing w:after="0" w:line="316"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Appointment.</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Company hereby appoints the Subscription Agent to act as subscription and distribution agent in connection with the distribution of Subscription Certificates and the issuance and exercise of the Rights (the “Offering”) in accordance with the terms set forth in the Agreement, and the Subscription Agent hereby accepts such appointment.</w:t>
      </w:r>
    </w:p>
    <w:p>
      <w:pPr>
        <w:spacing w:after="0" w:line="262"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Form and Execution of Subscription Certificates.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Each Subscription Certificate shall be irrevocable and transferable upon the terms and conditions set forth in the Prospectus. The Subscription Agent shall maintain a register of Subscription Certificates and of the Rights Holders.</w:t>
      </w:r>
    </w:p>
    <w:p>
      <w:pPr>
        <w:spacing w:after="0" w:line="254"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Rights and Issuance of Subscription Certificates.</w:t>
      </w:r>
    </w:p>
    <w:p>
      <w:pPr>
        <w:spacing w:after="0" w:line="90" w:lineRule="exact"/>
        <w:rPr>
          <w:rFonts w:ascii="Arial" w:cs="Arial" w:eastAsia="Arial" w:hAnsi="Arial"/>
          <w:sz w:val="18"/>
          <w:szCs w:val="18"/>
          <w:b w:val="1"/>
          <w:bCs w:val="1"/>
          <w:color w:val="auto"/>
        </w:rPr>
      </w:pPr>
    </w:p>
    <w:p>
      <w:pPr>
        <w:ind w:left="900" w:right="660" w:hanging="446"/>
        <w:spacing w:after="0" w:line="268"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Each Subscription Certificate shall evidence the Rights of the Rights Holders therein named to purchase Common Stock upon the terms and conditions therein set forth.</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Upon the written advice of the Company, signed by any of its duly authorized officers, as to the Record Date, the Subscription Agent shall, from a list of the Record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60" w:name="page261"/>
    <w:bookmarkEnd w:id="260"/>
    <w:p>
      <w:pPr>
        <w:ind w:left="46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to be prepared by the Subscription Agent, prepare and record Subscription Certificates in the names of such Record Date Stockholders, setting forth the number of Rights to subscribe for shares of Common Stock calculated on the basis of one Right for each [three (3)] shares of Common Stock recorded on the books in the name of each such Record Date Stockholder as of the Record Date. No fractional Rights shall be issued. Each Subscription Certificate shall be dated as of the Record Date and shall be executed manually or by facsimile signature of a duly authorized officer of the Subscription Agent.</w:t>
      </w:r>
    </w:p>
    <w:p>
      <w:pPr>
        <w:spacing w:after="0" w:line="62" w:lineRule="exact"/>
        <w:rPr>
          <w:sz w:val="20"/>
          <w:szCs w:val="20"/>
          <w:color w:val="auto"/>
        </w:rPr>
      </w:pPr>
    </w:p>
    <w:p>
      <w:pPr>
        <w:ind w:left="446" w:right="60" w:hanging="446"/>
        <w:spacing w:after="0" w:line="298" w:lineRule="auto"/>
        <w:tabs>
          <w:tab w:leader="none" w:pos="44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Upon receipt of such written advice, signed as aforesaid, as to the effective date of the Registration Statement, the Subscription Agent shall promptly countersign and deliver the Subscription Certificates, together with a copy of the Prospectus, instruction letter and any other documents as the Company deems necessary or appropriate, to all Record Date Stockholders with record addresses in the United States (including its territories and possessions and the District of Columbia). Delivery shall be by first class mail (without registration or insurance).</w:t>
      </w:r>
    </w:p>
    <w:p>
      <w:pPr>
        <w:spacing w:after="0" w:line="31" w:lineRule="exact"/>
        <w:rPr>
          <w:rFonts w:ascii="Arial" w:cs="Arial" w:eastAsia="Arial" w:hAnsi="Arial"/>
          <w:sz w:val="16"/>
          <w:szCs w:val="16"/>
          <w:color w:val="auto"/>
        </w:rPr>
      </w:pPr>
    </w:p>
    <w:p>
      <w:pPr>
        <w:ind w:left="446" w:right="80" w:hanging="446"/>
        <w:spacing w:after="0" w:line="254" w:lineRule="auto"/>
        <w:tabs>
          <w:tab w:leader="none" w:pos="4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Subscription Agent shall mail a copy of the Prospectus, instruction letter, a special notice and such other documents as the Company may deem necessary or appropriate, if any, but not Subscription Certificates to Record Date Stockholders whose record addresses are outside the United States (including its territories and possessions and the District of Columbia) (“Foreign Record Date Stockholders”). Those Record Date Stockholders having a registered address outside the United States (who shall only receive copies of the Prospectus, instruction letter and such other documents as the Company may deem necessary or appropriate, if any) delivery shall be by air mail (without registration or insurance) or by first class mail (without registration or</w:t>
      </w:r>
    </w:p>
    <w:p>
      <w:pPr>
        <w:spacing w:after="0" w:line="13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80" w:right="239" w:bottom="1440" w:gutter="0" w:footer="0" w:header="0"/>
        </w:sectPr>
      </w:pPr>
    </w:p>
    <w:bookmarkStart w:id="261" w:name="page262"/>
    <w:bookmarkEnd w:id="261"/>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 to those Record Date Stockholders having an APO or FPO address. The Rights to which such Subscription Certificates relate shall be held by the Subscription Agent for such Foreign Record Date Stockholders’ accounts until instructions are received to exercise, sell or transfer such Rights.</w:t>
      </w:r>
    </w:p>
    <w:p>
      <w:pPr>
        <w:spacing w:after="0" w:line="59" w:lineRule="exact"/>
        <w:rPr>
          <w:sz w:val="20"/>
          <w:szCs w:val="20"/>
          <w:color w:val="auto"/>
        </w:rPr>
      </w:pPr>
    </w:p>
    <w:p>
      <w:pPr>
        <w:jc w:val="both"/>
        <w:ind w:left="900" w:right="100" w:hanging="446"/>
        <w:spacing w:after="0" w:line="259"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Subscription Agent shall perform their respective duties hereunder in accordance with the terms and provisions of the Fee and Service Schedule attached hereto as Exhibit B, and shall act at all times in accordance with the description of the offering and the Subscription Agent’ duties set forth herein and in the Prospectus.</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[Over-Subscription Privilege.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If any shares of Common Stock available for purchase pursuant to the Rights offering are not subscribed for by Rights Holders pursuant to the Basic</w:t>
      </w:r>
    </w:p>
    <w:p>
      <w:pPr>
        <w:spacing w:after="0" w:line="3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Subscription, the Subscription Agent shall allot such shares to Rights Holders who have properly subscribed for such shares pursuant to an over-subscription privilege on the terms and subject to the conditions set forth in the Prospectus, including as to proration. In addition, any Rights Holder other than a Record Date Stockholder who exercises Rights is entitled to subscribe for any Remaining Shares that are not otherwise subscribed for by Record Date Stockholders pursuant to their over-subscription privilege, on the terms and subject to the conditions set forth in the Prospectus, including as to proration. We refer to these over-subscription privileges as the “Over-Subscription Privilege.”]</w:t>
      </w:r>
    </w:p>
    <w:p>
      <w:pPr>
        <w:spacing w:after="0" w:line="267"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Exercise.</w:t>
      </w:r>
    </w:p>
    <w:p>
      <w:pPr>
        <w:spacing w:after="0" w:line="90" w:lineRule="exact"/>
        <w:rPr>
          <w:rFonts w:ascii="Arial" w:cs="Arial" w:eastAsia="Arial" w:hAnsi="Arial"/>
          <w:sz w:val="18"/>
          <w:szCs w:val="18"/>
          <w:b w:val="1"/>
          <w:bCs w:val="1"/>
          <w:color w:val="auto"/>
        </w:rPr>
      </w:pPr>
    </w:p>
    <w:p>
      <w:pPr>
        <w:ind w:left="900" w:right="80" w:hanging="446"/>
        <w:spacing w:after="0" w:line="268" w:lineRule="auto"/>
        <w:tabs>
          <w:tab w:leader="none" w:pos="9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Rights Holders may acquire shares of Common Stock by delivery to the Subscription Agent no later than 5:00 pm on the Expiration Date, as defined below, or on any extended Expiration Date, of (i) a properly completed and duly executed Subscription Certificate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62" w:name="page263"/>
    <w:bookmarkEnd w:id="262"/>
    <w:p>
      <w:pPr>
        <w:ind w:left="46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 money order or check or bank draft drawn on a bank or branch located in the United States and payable to “PennantPark Investment Corporation” for an amount equal to the number of shares of Common Stock subscribed for pursuant to the Basic Subscription [and the Over-Subscription Privilege] multiplied by the Estimated Subscription Price, each as defined in the Subscription Certificate (the “Exercise Price”); or (ii) a Notice of Guaranteed Delivery guaranteeing delivery of (A) a properly completed and duly executed Subscription Certificate and (B) a money order or check or bank draft drawn on a bank or branch located in the United States and payable to “PennantPark Investment Corporation” for an amount equal to the Exercise Price. Payment must be made in U.S. dollars. For the purposes of the Prospectus and this Agreement, “Business Day” shall mean any day on which trading is conducted on The NASDAQ Global Select Market.</w:t>
      </w:r>
    </w:p>
    <w:p>
      <w:pPr>
        <w:spacing w:after="0" w:line="37" w:lineRule="exact"/>
        <w:rPr>
          <w:sz w:val="20"/>
          <w:szCs w:val="20"/>
          <w:color w:val="auto"/>
        </w:rPr>
      </w:pPr>
    </w:p>
    <w:p>
      <w:pPr>
        <w:ind w:left="446" w:right="300" w:hanging="446"/>
        <w:spacing w:after="0" w:line="259" w:lineRule="auto"/>
        <w:tabs>
          <w:tab w:leader="none" w:pos="4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Offering shall terminate, on such date as the Company shall designate to the Subscription Agent in writing (the “Expiration Date”). For the purpose of determining the time of the exercise of any Rights, delivery of any materials to the Subscription Agent shall be deemed to occur when such materials are received by the Subscription Agent specified in the Prospectus.</w:t>
      </w:r>
    </w:p>
    <w:p>
      <w:pPr>
        <w:spacing w:after="0" w:line="59" w:lineRule="exact"/>
        <w:rPr>
          <w:rFonts w:ascii="Arial" w:cs="Arial" w:eastAsia="Arial" w:hAnsi="Arial"/>
          <w:sz w:val="18"/>
          <w:szCs w:val="18"/>
          <w:color w:val="auto"/>
        </w:rPr>
      </w:pPr>
    </w:p>
    <w:p>
      <w:pPr>
        <w:ind w:left="446" w:right="40" w:hanging="446"/>
        <w:spacing w:after="0" w:line="298" w:lineRule="auto"/>
        <w:tabs>
          <w:tab w:leader="none" w:pos="44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Within ten Business Days following the Expiration Date (the “Confirmation Date”), the Subscription Agent shall send to each exercising Rights Holder (or, if rights are held by Cede &amp; Co. or any other depository or nominee, to Cede &amp; Co. or such other depository or nominee, as applicable) a confirmation showing (i) the number of shares purchased pursuant to the Basic Subscription; [(ii) the number of shares, if any, acquired pursuant to the Over-Subscription Privilege;] (iii) the per share and total purchase price for such</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263" w:name="page264"/>
    <w:bookmarkEnd w:id="263"/>
    <w:p>
      <w:pPr>
        <w:jc w:val="both"/>
        <w:ind w:left="466"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and (iv) any additional amount payable to the Company by such Rights Holder or any excess to be refunded by the Company to such Rights Holder, in each case based on the Subscription Price as determined on the Expiration Date, [along with a letter explaining the allocation of shares of Common Stock pursuant to the Over-Subscription Privilege, if applicable].</w:t>
      </w:r>
    </w:p>
    <w:p>
      <w:pPr>
        <w:spacing w:after="0" w:line="59" w:lineRule="exact"/>
        <w:rPr>
          <w:sz w:val="20"/>
          <w:szCs w:val="20"/>
          <w:color w:val="auto"/>
        </w:rPr>
      </w:pPr>
    </w:p>
    <w:p>
      <w:pPr>
        <w:ind w:left="446" w:right="20" w:hanging="446"/>
        <w:spacing w:after="0" w:line="290" w:lineRule="auto"/>
        <w:tabs>
          <w:tab w:leader="none" w:pos="44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additional payment required from an exercising Rights Holder must be received by the Subscription Agent within ten Business Days after the Confirmation Date and any excess payment to be refunded by the Company to an exercising Rights Holder shall be mailed by the Subscription Agent as promptly as practicable after the Confirmation Date and, in no event, later than ten Business Days after the Confirmation Date. If a Rights Holder does not make timely payment of any additional amounts due in accordance with this Section 4, the Subscription Agent shall consult with the Company in accordance with Section 5 as to the appropriate action to be taken. The Subscription Agent shall not issue shares of Common Stock for shares of Common Stock subscribed for until payment in full therefor has been received by the Subscription Agent, including clearance of checks and payment pursuant to Notices of Guaranteed Delivery.</w:t>
      </w:r>
    </w:p>
    <w:p>
      <w:pPr>
        <w:spacing w:after="0" w:line="37" w:lineRule="exact"/>
        <w:rPr>
          <w:rFonts w:ascii="Arial" w:cs="Arial" w:eastAsia="Arial" w:hAnsi="Arial"/>
          <w:sz w:val="16"/>
          <w:szCs w:val="16"/>
          <w:color w:val="auto"/>
        </w:rPr>
      </w:pPr>
    </w:p>
    <w:p>
      <w:pPr>
        <w:ind w:left="446" w:hanging="446"/>
        <w:spacing w:after="0" w:line="298" w:lineRule="auto"/>
        <w:tabs>
          <w:tab w:leader="none" w:pos="44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As soon as practicable after the exercise of any Rights and the clearance of the funds in payment of the Exercise Price, the Company shall issue to the Rights Holder in book entry form the number of full shares of Common Stock to which such holder is entitled upon exercise of the Rights, registered in such name or names as may be directed by him, her or it, and if the Rights Holder shall not have exercised all Rights held by such holder, a new Subscription Certificate for such number of Rights as were not exercised.</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264" w:name="page265"/>
    <w:bookmarkEnd w:id="264"/>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Validity of Subscriptions.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Irregular, incomplete or unpaid subscriptions not otherwise covered by specific instructions herein shall be submitted to an appropriate officer of the Company and handled in accordance with his or her instructions. Such instructions shall be reasonably documented by the Subscription Agent indicating, among other things, the instructing officer and the date thereof.</w:t>
      </w:r>
    </w:p>
    <w:p>
      <w:pPr>
        <w:spacing w:after="0" w:line="262"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Delivery of Shares.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Subscription Agent shall deliver Statements of Holding reflecting new shares of Common Stock purchased pursuant to the Basic Subscription [and, if applicable, those shares purchased pursuant to the exercise of the Over-Subscription Privilege] as soon as practicable after the Expiration Date, after all allocations have been effected and full payment for such shares has been received and cleared.</w:t>
      </w:r>
    </w:p>
    <w:p>
      <w:pPr>
        <w:spacing w:after="0" w:line="262"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Holding Proceeds of Rights Offering.</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   All proceeds received by the Subscription Agent from Rights Holders in respect of the exercise of Rights pursuant to the Basic Subscription [and the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Over-Subscription Privilege] shall be held by the Subscription Agent on behalf of the Company in a segregated account (the “Account”). Interest</w:t>
      </w:r>
    </w:p>
    <w:p>
      <w:pPr>
        <w:spacing w:after="0" w:line="32" w:lineRule="exact"/>
        <w:rPr>
          <w:sz w:val="20"/>
          <w:szCs w:val="20"/>
          <w:color w:val="auto"/>
        </w:rPr>
      </w:pPr>
    </w:p>
    <w:p>
      <w:pPr>
        <w:ind w:left="900" w:right="120"/>
        <w:spacing w:after="0" w:line="261" w:lineRule="auto"/>
        <w:rPr>
          <w:sz w:val="20"/>
          <w:szCs w:val="20"/>
          <w:color w:val="auto"/>
        </w:rPr>
      </w:pPr>
      <w:r>
        <w:rPr>
          <w:rFonts w:ascii="Arial" w:cs="Arial" w:eastAsia="Arial" w:hAnsi="Arial"/>
          <w:sz w:val="18"/>
          <w:szCs w:val="18"/>
          <w:color w:val="auto"/>
        </w:rPr>
        <w:t>shall accrue for the benefit of the Company at and not for the benefit of the Subscription Agent or any Rights Holders, on funds held in the Account pending disbursement in the manner described in Section 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-172720</wp:posOffset>
            </wp:positionV>
            <wp:extent cx="33464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7" w:lineRule="exact"/>
        <w:rPr>
          <w:sz w:val="20"/>
          <w:szCs w:val="20"/>
          <w:color w:val="auto"/>
        </w:rPr>
      </w:pPr>
    </w:p>
    <w:p>
      <w:pPr>
        <w:ind w:left="900" w:right="4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Subscription Agent shall deliver all proceeds received in respect of the exercise of Rights, other than those to be refunded to exercising Rights Holders pursuant to Section 4 above, to the Company as promptly as practicable, but in no event later than one Business Day after the Confirmation Date.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265" w:name="page266"/>
    <w:bookmarkEnd w:id="265"/>
    <w:p>
      <w:pPr>
        <w:ind w:left="900" w:right="80" w:hanging="439"/>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sz w:val="20"/>
          <w:szCs w:val="20"/>
          <w:color w:val="auto"/>
        </w:rPr>
        <w:tab/>
      </w:r>
      <w:r>
        <w:rPr>
          <w:rFonts w:ascii="Arial" w:cs="Arial" w:eastAsia="Arial" w:hAnsi="Arial"/>
          <w:sz w:val="18"/>
          <w:szCs w:val="18"/>
          <w:color w:val="auto"/>
        </w:rPr>
        <w:t>The Company acknowledges that the bank accounts maintained by in connection with the services provided under this Agreement shall be in its name, in a segregated account and held in trust for the benefit of the Company.</w:t>
      </w:r>
    </w:p>
    <w:p>
      <w:pPr>
        <w:spacing w:after="0" w:line="254"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Daily, during the period commencing on the date of mailing the Subscription Certificates until and including the Confirmation Date, the Subscription Agent shall report by telephone, facsimile or electronic mail to a designated representative(s) of the Company, as instructed by such designated representative, the following information:</w:t>
      </w:r>
    </w:p>
    <w:p>
      <w:pPr>
        <w:spacing w:after="0" w:line="59" w:lineRule="exact"/>
        <w:rPr>
          <w:sz w:val="20"/>
          <w:szCs w:val="20"/>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names of all Rights Holders exercising Rights pursuant to the Basic Subscription [and the Over-Subscription Privilege];</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total number of Rights exercised by each Rights Holder during the immediately preceding day pursuant to the Basic Subscription [and the Over-Subscription Privilege];</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total number of Rights verified to be in proper form for exercise, rejected for exercise and being processed, and all payments received in connection therewith;</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with respect to the Dealer Managers and each soliciting dealer, the number of Rights exercised on forms indicating the Dealer Manager or such soliciting dealer, as the case may be, as the broker-dealer with respect to such exercise;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66" w:name="page267"/>
    <w:bookmarkEnd w:id="266"/>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other information as may be reasonably requested by the Company or such designated representative;</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Subscription Agent shall report by telephone, facsimile or electronic mail, as instructed by such designated representative, not later than 5:00 p.m., New York City time, on the first business day following the Expiration Date, (i) the total number of Rights exercised by each Rights Holder pursuant to the Basic Subscription [and the Over-Subscription Privilege and shares of Common Stock related thereto], (ii) the total number of Rights verified to be in proper form for exercise, rejected for exercise and being processed, and all payments received in connection therewith, (iii) with respect to the Dealer Managers and each soliciting dealer, the number of Rights exercised on forms indicating the Dealer Manager or such soliciting dealer, as the case may be, as the broker-dealer with respect to such exercise, and (iv) any such other information as may be reasonably requested by the Company or such designated representative.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Subscription Agent shall perform the services set forth in Exhibit A.</w:t>
      </w:r>
    </w:p>
    <w:p>
      <w:pPr>
        <w:spacing w:after="0" w:line="293"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Loss or Mutilation.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any Subscription Certificate is lost, stolen, mutilated or destroyed, the Subscription Agent may, on such terms as will serve to indemnify and protect the Company and the Subscription Agent as the Subscription Agent may in its reasonable discretion impose on the relevant Rights Holder (which shall, in the case of a mutilated Subscription Certificate, include the surrender and cancellation thereof), issue a new Subscription Certificate to such Rights Holder of like denomination in substitution for the Subscription Certificate so lost, stolen, mutilated or destroyed.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67" w:name="page268"/>
    <w:bookmarkEnd w:id="267"/>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for Services.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agrees that it shall pay to the Subscription Agent compensation for their respective services hereunder in accordance with the Fee and Service Schedule attached hereto as Exhibit B. The Company further agrees that it shall reimburse the Subscription Agent for its reasonable out-of-pocket expenses incurred in the performance of its respective duties as such; provided, however, that the Company shall not be required to reimburse the Subscription Agent for any such expenses incurred which exceed $10,000 in the aggregate without its prior written consent.</w:t>
      </w:r>
    </w:p>
    <w:p>
      <w:pPr>
        <w:spacing w:after="0" w:line="234"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Instructions, Indemnification and Limitation of Liability.</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Subscription Agent undertakes the respective duties and obligations imposed by this Agreement upon the following terms and conditions:</w:t>
      </w:r>
    </w:p>
    <w:p>
      <w:pPr>
        <w:spacing w:after="0" w:line="113" w:lineRule="exact"/>
        <w:rPr>
          <w:rFonts w:ascii="Arial" w:cs="Arial" w:eastAsia="Arial" w:hAnsi="Arial"/>
          <w:sz w:val="18"/>
          <w:szCs w:val="18"/>
          <w:b w:val="1"/>
          <w:bCs w:val="1"/>
          <w:color w:val="auto"/>
        </w:rPr>
      </w:pPr>
    </w:p>
    <w:p>
      <w:pPr>
        <w:ind w:left="900" w:hanging="446"/>
        <w:spacing w:after="0" w:line="298"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Subscription Agent shall be entitled to rely upon any instructions or directions furnished to it by an officer of the Company listed on the attached Schedule A (an “Appropriate Officer”). Without limiting the generality of the foregoing or any other provision of this Agreement, each Agent, in connection with its duties hereunder, shall not be under any duty or obligation to inquire into the validity or invalidity or authority or lack thereof of any instruction or direction from an Appropriate Officer of the Company and which such Agent reasonably believes to be genuine.</w:t>
      </w:r>
    </w:p>
    <w:p>
      <w:pPr>
        <w:spacing w:after="0" w:line="31" w:lineRule="exact"/>
        <w:rPr>
          <w:rFonts w:ascii="Arial" w:cs="Arial" w:eastAsia="Arial" w:hAnsi="Arial"/>
          <w:sz w:val="16"/>
          <w:szCs w:val="16"/>
          <w:color w:val="auto"/>
        </w:rPr>
      </w:pPr>
    </w:p>
    <w:p>
      <w:pPr>
        <w:ind w:left="900" w:right="120" w:hanging="446"/>
        <w:spacing w:after="0" w:line="298"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Company shall indemnify the Subscription Agent and its partners, directors, officers, managers, employees, attorneys and representatives against, and hold them harmless from, all liability and expense for any claim, action, suit, proceeding or investigation (each, a “Claim”) against any such party that arises out of or in connection with the services described in this Agreement to be performed by the Subscription Agent or the instructions or directions furnished to the Subscription Agent relating to this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268" w:name="page269"/>
    <w:bookmarkEnd w:id="268"/>
    <w:p>
      <w:pPr>
        <w:ind w:left="46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an Appropriate Officer of the Company; provided that the Company shall not be so obligated for any liability or expense (i) which shall arise out of the gross negligence, bad faith or willful misconduct of the Subscription Agent or the partners, directors, officers, managers, employees, attorneys or representatives of the Subscription Agent or (ii) for any liability or expense arising out of a settlement of any Claim unless such settlement has been made with the prior written consent of the Company.</w:t>
      </w:r>
    </w:p>
    <w:p>
      <w:pPr>
        <w:spacing w:after="0" w:line="62" w:lineRule="exact"/>
        <w:rPr>
          <w:sz w:val="20"/>
          <w:szCs w:val="20"/>
          <w:color w:val="auto"/>
        </w:rPr>
      </w:pPr>
    </w:p>
    <w:p>
      <w:pPr>
        <w:ind w:left="466" w:right="100"/>
        <w:spacing w:after="0" w:line="253" w:lineRule="auto"/>
        <w:rPr>
          <w:sz w:val="20"/>
          <w:szCs w:val="20"/>
          <w:color w:val="auto"/>
        </w:rPr>
      </w:pPr>
      <w:r>
        <w:rPr>
          <w:rFonts w:ascii="Arial" w:cs="Arial" w:eastAsia="Arial" w:hAnsi="Arial"/>
          <w:sz w:val="18"/>
          <w:szCs w:val="18"/>
          <w:color w:val="auto"/>
        </w:rPr>
        <w:t>Promptly after the receipt by the Subscription Agent of notice of any Claim, the Subscription Agent shall notify the Company thereof in writing. In no case shall the Company be liable under this Section 12 to the extent it is materially prejudiced by failure of any indemnified party to deliver prompt notice of any Claim. The Company shall be entitled to participate at its own expense in the defense of any Claim, and, if it so elects at any time after receipt of such notice, it may assume the defense of any suit brought to enforce any Claim. For the purposes of this Section 12, the term “liability and expense” shall include all reasonable costs and expenses, including, but not limited to, reasonable counsel fees (including one local counsel, if necessary) and disbursements, paid or incurred in investigating or defending against any such claim, demand, action, suit, proceeding or investigation.</w:t>
      </w:r>
    </w:p>
    <w:p>
      <w:pPr>
        <w:spacing w:after="0" w:line="66" w:lineRule="exact"/>
        <w:rPr>
          <w:sz w:val="20"/>
          <w:szCs w:val="20"/>
          <w:color w:val="auto"/>
        </w:rPr>
      </w:pPr>
    </w:p>
    <w:p>
      <w:pPr>
        <w:ind w:left="446" w:right="120" w:hanging="446"/>
        <w:spacing w:after="0" w:line="298" w:lineRule="auto"/>
        <w:tabs>
          <w:tab w:leader="none" w:pos="44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Subscription Agent shall at all times act in good faith and agree to use its commercially reasonable efforts to insure the accuracy of all services provided under this Agreement and shall indemnify and hold the Company and its subsidiaries and other affiliates and their respective partners, directors, officers, managers, employees, attorneys and representatives harmless from and against any and all liability and expenses directly or indirectly arising out of or in connection with the services described in this Agreement</w:t>
      </w:r>
    </w:p>
    <w:p>
      <w:pPr>
        <w:spacing w:after="0" w:line="99"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6"/>
          </w:cols>
          <w:pgMar w:left="694" w:top="280" w:right="299" w:bottom="1440" w:gutter="0" w:footer="0" w:header="0"/>
        </w:sectPr>
      </w:pPr>
    </w:p>
    <w:bookmarkStart w:id="269" w:name="page270"/>
    <w:bookmarkEnd w:id="269"/>
    <w:p>
      <w:pPr>
        <w:ind w:left="92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performed by the Subscription Agent or the instructions or directions furnished to the Subscription Agent relating to this Agreement by an Appropriate Officer of the Company; provided that the Subscription Agent shall not be so obligated for any liability or expense which shall arise out of the gross negligence, bad faith or willful misconduct of the Company or the partners, directors, officers, managers, employees, attorneys or representatives of the Company.</w:t>
      </w:r>
    </w:p>
    <w:p>
      <w:pPr>
        <w:spacing w:after="0" w:line="265"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Assignment/Delegation.</w:t>
      </w:r>
    </w:p>
    <w:p>
      <w:pPr>
        <w:spacing w:after="0" w:line="90"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Except as provided in Section 14(B) below, neither this Agreement nor any rights or obligations hereunder may be assigned or delegated by any party without the prior written consent of the other parties.</w:t>
      </w:r>
    </w:p>
    <w:p>
      <w:pPr>
        <w:spacing w:after="0" w:line="50" w:lineRule="exact"/>
        <w:rPr>
          <w:rFonts w:ascii="Arial" w:cs="Arial" w:eastAsia="Arial" w:hAnsi="Arial"/>
          <w:sz w:val="18"/>
          <w:szCs w:val="18"/>
          <w:color w:val="auto"/>
        </w:rPr>
      </w:pPr>
    </w:p>
    <w:p>
      <w:pPr>
        <w:ind w:left="900" w:right="40" w:hanging="446"/>
        <w:spacing w:after="0" w:line="298" w:lineRule="auto"/>
        <w:tabs>
          <w:tab w:leader="none" w:pos="9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Subscription Agent may, without further consent on the part of the Company, subcontract with other parties for such systems, processing, telephone and mailing services and post-exchange activities as may be required from time to time; provided, however, that (i) the Subscription Agent shall be as fully responsible to the Company for the acts and omissions of any subcontractor in the same manner and to the same extent as it is for its own acts and omissions, and (ii) no such subcontracting shall relieve the Subscription Agent of any of its obligations hereunder.</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Relationship/Third Party Beneficiaries.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does not constitute an agreement for a partnership or joint venture among the parties. The Subscription Agent shall act hereunder as agent of the Company solely to the limited extent set forth in this Agreement, but shall not assume any fiduciary duties to, or have any rights, power or authority on behalf of, the Company or any of its affiliates, equity holders or creditors or of any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70" w:name="page271"/>
    <w:bookmarkEnd w:id="27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or entity not expressly set forth in this Agreement. Any duties of the Subscription Agent arising out of its engagements pursuant to this Agreement shall be owed solely to the Company. No party shall make any commitments with third parties that are binding on any other party without such other party’s prior written consent, and none of the Subscription Agent, employees, or representatives or contractors of the Subscription Agent shall be deemed to be employees of the Company or any of its affiliates.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Except as explicitly stated elsewhere in this Agreement, nothing under this Agreement is intended or shall be construed to give any rights, benefits, remedies or claims under or by reason of this Agreement or any part thereof to anyone other than the Subscription Agent and the Company, and the duties and responsibilities undertaken pursuant to this Agreement shall be for the sole and exclusive benefit of the Subscription Agent and the Company.</w:t>
      </w:r>
    </w:p>
    <w:p>
      <w:pPr>
        <w:spacing w:after="0" w:line="228"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Force Majeure.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any party is unable to perform its obligations under the terms of this Agreement because of acts of God, strikes, terrorist acts, equipment or transmission failure or damage reasonably beyond its control or other cause reasonably beyond its control, such party shall not be liable for damages to any other party resulting from such failure to perform or otherwise from such causes. Performance under this Agreement shall resume when the affected party or parties are able to perform substantially its or their duties.</w:t>
      </w:r>
    </w:p>
    <w:p>
      <w:pPr>
        <w:spacing w:after="0" w:line="265"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Consequential Damages.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party to this Agreement shall be liable to any other party for any consequential, indirect, penal, special or incidental damages under any provisions of this Agreement or for any consequential, indirect, penal, special or incidental damages arising out of any act or failure to act hereunder even if that party has been advised of or has foreseen the possibility of such damages.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71" w:name="page272"/>
    <w:bookmarkEnd w:id="271"/>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any provision of this Agreement shall be held invalid, unlawful or unenforceable, the validity, legality and enforceability of the remaining provisions shall not in any way be affected or impaired.</w:t>
      </w:r>
    </w:p>
    <w:p>
      <w:pPr>
        <w:spacing w:after="0" w:line="254"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Captions.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captions and descriptive headings herein are for the convenience of the parties only. They do not in any way modify, amplify, alter or give full notice of the provisions hereof.</w:t>
      </w:r>
    </w:p>
    <w:p>
      <w:pPr>
        <w:spacing w:after="0" w:line="254"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Confidentiality.</w:t>
      </w:r>
    </w:p>
    <w:p>
      <w:pPr>
        <w:spacing w:after="0" w:line="90" w:lineRule="exact"/>
        <w:rPr>
          <w:rFonts w:ascii="Arial" w:cs="Arial" w:eastAsia="Arial" w:hAnsi="Arial"/>
          <w:sz w:val="18"/>
          <w:szCs w:val="18"/>
          <w:b w:val="1"/>
          <w:bCs w:val="1"/>
          <w:color w:val="auto"/>
        </w:rPr>
      </w:pPr>
    </w:p>
    <w:p>
      <w:pPr>
        <w:ind w:left="900" w:right="20" w:hanging="446"/>
        <w:spacing w:after="0" w:line="298" w:lineRule="auto"/>
        <w:tabs>
          <w:tab w:leader="none" w:pos="9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Under this Agreement, each party shall have access to certain confidential information belonging to the other parties, which information shall include nonpublic information pertaining to the disclosing party, its parent, subsidiaries, affiliates, employees, customers, representatives and vendors (including without limitation information furnished prior to the date of this Agreement) furnished by or on behalf of the disclosing party or its representatives to the receiving party, directly or indirectly, by any means (“Confidential Information”).</w:t>
      </w:r>
    </w:p>
    <w:p>
      <w:pPr>
        <w:spacing w:after="0" w:line="31"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Each of the parties acknowledges that except as necessary for any party to perform its respective obligations under the Agreement: (i) all Confidential Information is confidential; (ii) all Confidential Information is proprietary to the disclosing party; (iii) it shall keep all Confidential Information confidential and shall not disclose the same; (iv) it shall use Confidential Information only as required by this Agreement; (v) it shall not create a list or other compilation containing any Confidential Information for any purpose other than to perform its obligations under this Agreement; and (vi) except as expressly provided for herein, it shall not provide, directly or indirectly, the Confidential Information to any other person or entity for any purpose.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72" w:name="page273"/>
    <w:bookmarkEnd w:id="272"/>
    <w:p>
      <w:pPr>
        <w:ind w:left="900" w:right="20" w:hanging="446"/>
        <w:spacing w:after="0" w:line="268"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parties acknowledges that this Agreement shall be filed by the Company as an exhibit to the Registration Statement and that the contents of this Agreement will be accessible to the public.</w:t>
      </w:r>
    </w:p>
    <w:p>
      <w:pPr>
        <w:spacing w:after="0" w:line="50" w:lineRule="exact"/>
        <w:rPr>
          <w:rFonts w:ascii="Arial" w:cs="Arial" w:eastAsia="Arial" w:hAnsi="Arial"/>
          <w:sz w:val="18"/>
          <w:szCs w:val="18"/>
          <w:color w:val="auto"/>
        </w:rPr>
      </w:pPr>
    </w:p>
    <w:p>
      <w:pPr>
        <w:jc w:val="both"/>
        <w:ind w:left="900" w:right="220" w:hanging="446"/>
        <w:spacing w:after="0" w:line="306" w:lineRule="auto"/>
        <w:tabs>
          <w:tab w:leader="none" w:pos="9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In the event that any party receives a request or becomes legally compelled to disclose any Confidential Information belonging to any other party, such party shall provide the other party with prompt notice of such request (provided such notice is not otherwise prohibited by applicable law or court order) and shall disclose only that portion of the Confidential Information that it is legally obligated to disclose.</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and Termination.</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Agreement shall remain in effect until the earlier of (i) thirty (30) days after the Expiration Date; (ii) it is terminated by the Company, on the one hand,</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or the Subscription Agent with respect to the service provided by such Subscription Agent, on the other, upon a material breach of this Agreement by the other which remains uncured for fifteen (15) days after written notice of such breach has been provided to such other party; or (iii) thirty (30) days’ written notice has been provided by the Company, on the one hand, or the Subscription Agent, on the other. Upon termination of the Agreement, the Subscription Agent shall retain a copy of all canceled Subscription Certificates and related documentation as required by applicable law; all documentation and information related to the services performed under the Agreement shall be promptly delivered to the Company.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273" w:name="page274"/>
    <w:bookmarkEnd w:id="273"/>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further notice in writing by any party hereto to the other parties, all written reports, notices and other communications between any Subscription Agent, on the one hand, and the Company, on the other, required or permitted hereunder shall be delivered or mailed by first class mail, postage prepaid, facsimile or overnight courier guaranteeing next day delivery, addressed as follows: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590 Madison Ave.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Chief Financial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20006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Subscription Agent, to:</w:t>
      </w:r>
    </w:p>
    <w:p>
      <w:pPr>
        <w:spacing w:after="0" w:line="293"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Survival.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provisions of Paragraphs 8, 12, 19, 24-28 shall survive any termination, for any reason, of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74" w:name="page275"/>
    <w:bookmarkEnd w:id="274"/>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of Agreement.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Agreement constitutes the entire agreement between the parties hereto with respect to the transactions contemplated hereby and supersedes any prior agreement with respect to the subject matter hereof, whether oral or written.</w:t>
      </w:r>
    </w:p>
    <w:p>
      <w:pPr>
        <w:spacing w:after="0" w:line="254"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term or provision of this Agreement may be amended, changed, altered or modified except by written instrument executed by the each of the parties to this Agreement.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Subscription Agent may, without the consent or concurrence of the Rights Holders in whose names Subscription Certificates are registered but with the prior written consent of the Company, by supplemental agreement or otherwise, make any change or correction in a Subscription Certificate that it shall have been advised by counsel (who may be counsel for the Company) is appropriate to cure any ambiguity or to correct any defective or inconsistent provision or clerical omission or mistake or manifest error therein or herein contained, and which shall not be inconsistent with the provisions of the Subscription Certificate except insofar as any such change may confer additional rights upon the Rights Holder.</w:t>
      </w:r>
    </w:p>
    <w:p>
      <w:pPr>
        <w:spacing w:after="0" w:line="237"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Extension; Waiver.</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At any time, each of the parties hereto may, to the extent legally allowed, (i) extend the time for, or waive, the performance of any of the covenants, obligations or agreements of the other parties hereto, (ii) waive any inaccuracies or breaches in the representations and warranties contained herein or in any certificate delivered by another party pursuant hereto or (iii) waive compliance with any of the conditions of another party contained in this Agreement. Any agreement on the part of any of the parties hereto to any such extension or waiver shall be valid only if set forth in a written instrument signed by the party or parties against whom such extension or waiver is to be enforced. Any waiver of any term or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75" w:name="page276"/>
    <w:bookmarkEnd w:id="275"/>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construed as a waiver of any subsequent breach or a subsequent waiver of the same term or condition, or as a waiver of any other term or condition, of this Agreement. The failure of any of the parties hereto to assert any of its rights under this Agreement shall not constitute a waiver of such rights or any other rights.</w:t>
      </w:r>
    </w:p>
    <w:p>
      <w:pPr>
        <w:spacing w:after="0" w:line="262"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Jurisdiction.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parties hereto: (i) irrevocably and unconditionally submits to the exclusive jurisdiction of the U.S. District Court for the Southern District of New York or, if such court does not have jurisdiction, the New York State Supreme Court in the Borough of Manhattan, The City of New York, in any action arising out of or relating to this Agreement, (ii) agrees that all claims in respect of the action may be heard and determined in any such court and (iii) agrees not to bring any action arising out of or relating to this Agreement in any other court.</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any such action, each of the parties hereto irrevocably and unconditionally waives and agrees not to assert by way of motion, as a defense or otherwise, any claims that it is not subject to the jurisdiction of the above court, that such action is brought in an inconvenient forum or that the venue of such action is improper. Each of the parties hereto also agrees that any final and nonappealable judgment against a party hereto in connection with any action shall be conclusive and binding on such party and that such award or judgment may be enforced in any court of competent jurisdiction, either within or outside of the United States. A certified or exemplified copy of such award or judgment shall be conclusive evidence of the fact and amount of such award or judgment.</w:t>
      </w:r>
    </w:p>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Without limiting the foregoing, each party hereto agrees that service of process on such party at the address provided in Section 24 shall be deemed effective service of process on such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76" w:name="page277"/>
    <w:bookmarkEnd w:id="276"/>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of Jury Trial.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of the parties hereto irrevocably waives any and all right to trial by jury in any action, proceeding or counterclaim (whether based upon contract, tort or otherwise) in any way arising out of or relating to this Agreement.</w:t>
      </w:r>
    </w:p>
    <w:p>
      <w:pPr>
        <w:spacing w:after="0" w:line="254"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92" w:lineRule="exact"/>
        <w:rPr>
          <w:rFonts w:ascii="Arial" w:cs="Arial" w:eastAsia="Arial" w:hAnsi="Arial"/>
          <w:sz w:val="18"/>
          <w:szCs w:val="18"/>
          <w:b w:val="1"/>
          <w:bCs w:val="1"/>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Counterparts.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(including by facsimile or electronic transmission), each of which shall be deemed an original and all of which together shall be considered one and the same agreement.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hereunto duly authorized, as 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280" w:right="359" w:bottom="1440" w:gutter="0" w:footer="0" w:header="0"/>
        </w:sectPr>
      </w:pPr>
    </w:p>
    <w:bookmarkStart w:id="277" w:name="page278"/>
    <w:bookmarkEnd w:id="27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[SUBSCRIPTION AGENT]</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2540</wp:posOffset>
            </wp:positionV>
            <wp:extent cx="26587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2540</wp:posOffset>
            </wp:positionV>
            <wp:extent cx="26587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490" w:right="1440" w:bottom="1440" w:gutter="0" w:footer="0" w:header="0"/>
        </w:sectPr>
      </w:pPr>
    </w:p>
    <w:bookmarkStart w:id="278" w:name="page279"/>
    <w:bookmarkEnd w:id="278"/>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ADDITIONAL SERVICES</w:t>
      </w:r>
    </w:p>
    <w:p>
      <w:pPr>
        <w:spacing w:after="0" w:line="171"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TO BE PERFORMED BY SUBSCRIPTION AGENT</w:t>
      </w:r>
    </w:p>
    <w:p>
      <w:pPr>
        <w:spacing w:after="0" w:line="212" w:lineRule="exact"/>
        <w:rPr>
          <w:sz w:val="20"/>
          <w:szCs w:val="20"/>
          <w:color w:val="auto"/>
        </w:rPr>
      </w:pPr>
    </w:p>
    <w:p>
      <w:pPr>
        <w:ind w:left="446" w:hanging="446"/>
        <w:spacing w:after="0"/>
        <w:tabs>
          <w:tab w:leader="none" w:pos="446"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Advance Review of Offering Materials</w:t>
      </w:r>
      <w:r>
        <w:rPr>
          <w:rFonts w:ascii="Arial" w:cs="Arial" w:eastAsia="Arial" w:hAnsi="Arial"/>
          <w:sz w:val="16"/>
          <w:szCs w:val="16"/>
          <w:color w:val="auto"/>
        </w:rPr>
        <w:t>—Review and comment on all Offering materials in advance of final printing and dissemination.</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Financial Printer</w:t>
      </w:r>
      <w:r>
        <w:rPr>
          <w:rFonts w:ascii="Arial" w:cs="Arial" w:eastAsia="Arial" w:hAnsi="Arial"/>
          <w:sz w:val="18"/>
          <w:szCs w:val="18"/>
          <w:color w:val="auto"/>
        </w:rPr>
        <w:t>—Work directly with the financial printer, providing format suggestions and delivery instructions.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Financial Public Relations</w:t>
      </w:r>
      <w:r>
        <w:rPr>
          <w:rFonts w:ascii="Arial" w:cs="Arial" w:eastAsia="Arial" w:hAnsi="Arial"/>
          <w:sz w:val="16"/>
          <w:szCs w:val="16"/>
          <w:color w:val="auto"/>
        </w:rPr>
        <w:t>—Assist in the preparation and placement of advertisements/tombstones in newspapers (at prevailing market rates).</w:t>
      </w:r>
    </w:p>
    <w:p>
      <w:pPr>
        <w:spacing w:after="0" w:line="113" w:lineRule="exact"/>
        <w:rPr>
          <w:rFonts w:ascii="Arial" w:cs="Arial" w:eastAsia="Arial" w:hAnsi="Arial"/>
          <w:sz w:val="16"/>
          <w:szCs w:val="16"/>
          <w:color w:val="auto"/>
        </w:rPr>
      </w:pPr>
    </w:p>
    <w:p>
      <w:pPr>
        <w:ind w:left="446" w:hanging="446"/>
        <w:spacing w:after="0" w:line="334" w:lineRule="auto"/>
        <w:tabs>
          <w:tab w:leader="none" w:pos="446"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Bank and Broker Communications and Mailings</w:t>
      </w:r>
      <w:r>
        <w:rPr>
          <w:rFonts w:ascii="Arial" w:cs="Arial" w:eastAsia="Arial" w:hAnsi="Arial"/>
          <w:sz w:val="16"/>
          <w:szCs w:val="16"/>
          <w:color w:val="auto"/>
        </w:rPr>
        <w:t>—Survey the bank and brokerage communities to obtain material requirements and to ensure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they are aware of the Offering. Coordinate the mailing of the Offering materials to them for forwarding to their beneficial owners.</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Registered Holder Mailings</w:t>
      </w:r>
      <w:r>
        <w:rPr>
          <w:rFonts w:ascii="Arial" w:cs="Arial" w:eastAsia="Arial" w:hAnsi="Arial"/>
          <w:sz w:val="18"/>
          <w:szCs w:val="18"/>
          <w:color w:val="auto"/>
        </w:rPr>
        <w:t>—Coordinate the mailing of the Offering materials to registered holders.</w:t>
      </w:r>
    </w:p>
    <w:p>
      <w:pPr>
        <w:spacing w:after="0" w:line="90" w:lineRule="exact"/>
        <w:rPr>
          <w:rFonts w:ascii="Arial" w:cs="Arial" w:eastAsia="Arial" w:hAnsi="Arial"/>
          <w:sz w:val="18"/>
          <w:szCs w:val="18"/>
          <w:color w:val="auto"/>
        </w:rPr>
      </w:pPr>
    </w:p>
    <w:p>
      <w:pPr>
        <w:ind w:left="446" w:right="140" w:hanging="446"/>
        <w:spacing w:after="0" w:line="334" w:lineRule="auto"/>
        <w:tabs>
          <w:tab w:leader="none" w:pos="446"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Incoming Telephone Calls</w:t>
      </w:r>
      <w:r>
        <w:rPr>
          <w:rFonts w:ascii="Arial" w:cs="Arial" w:eastAsia="Arial" w:hAnsi="Arial"/>
          <w:sz w:val="16"/>
          <w:szCs w:val="16"/>
          <w:color w:val="auto"/>
        </w:rPr>
        <w:t>—Set up a toll-free telephone number to enable security holders and their advisors to call with questions. Keep a record</w:t>
      </w:r>
      <w:r>
        <w:rPr>
          <w:rFonts w:ascii="Arial" w:cs="Arial" w:eastAsia="Arial" w:hAnsi="Arial"/>
          <w:sz w:val="16"/>
          <w:szCs w:val="16"/>
          <w:b w:val="1"/>
          <w:bCs w:val="1"/>
          <w:color w:val="auto"/>
        </w:rPr>
        <w:t xml:space="preserve"> </w:t>
      </w:r>
      <w:r>
        <w:rPr>
          <w:rFonts w:ascii="Arial" w:cs="Arial" w:eastAsia="Arial" w:hAnsi="Arial"/>
          <w:sz w:val="16"/>
          <w:szCs w:val="16"/>
          <w:color w:val="auto"/>
        </w:rPr>
        <w:t>of all incoming calls and notify the appropriate individual at the Company upon the receipt of calls outside the normal course.</w:t>
      </w:r>
    </w:p>
    <w:p>
      <w:pPr>
        <w:spacing w:after="0" w:line="1" w:lineRule="exact"/>
        <w:rPr>
          <w:rFonts w:ascii="Arial" w:cs="Arial" w:eastAsia="Arial" w:hAnsi="Arial"/>
          <w:sz w:val="16"/>
          <w:szCs w:val="16"/>
          <w:color w:val="auto"/>
        </w:rPr>
      </w:pPr>
    </w:p>
    <w:p>
      <w:pPr>
        <w:ind w:left="446" w:right="380" w:hanging="446"/>
        <w:spacing w:after="0" w:line="275" w:lineRule="auto"/>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Outgoing Telephone Calls</w:t>
      </w:r>
      <w:r>
        <w:rPr>
          <w:rFonts w:ascii="Arial" w:cs="Arial" w:eastAsia="Arial" w:hAnsi="Arial"/>
          <w:sz w:val="18"/>
          <w:szCs w:val="18"/>
          <w:color w:val="auto"/>
        </w:rPr>
        <w:t>—As requested by the Company, initiate follow-up calls to a targeted group of security holders in order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Offering.</w:t>
      </w:r>
    </w:p>
    <w:p>
      <w:pPr>
        <w:sectPr>
          <w:pgSz w:w="11900" w:h="16838" w:orient="portrait"/>
          <w:cols w:equalWidth="0" w:num="1">
            <w:col w:w="10946"/>
          </w:cols>
          <w:pgMar w:left="694" w:top="274" w:right="259" w:bottom="1440" w:gutter="0" w:footer="0" w:header="0"/>
        </w:sectPr>
      </w:pPr>
    </w:p>
    <w:bookmarkStart w:id="279" w:name="page280"/>
    <w:bookmarkEnd w:id="279"/>
    <w:p>
      <w:pPr>
        <w:ind w:left="446" w:right="140" w:hanging="446"/>
        <w:spacing w:after="0" w:line="275" w:lineRule="auto"/>
        <w:tabs>
          <w:tab w:leader="none" w:pos="446"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Depositary Communications</w:t>
      </w:r>
      <w:r>
        <w:rPr>
          <w:rFonts w:ascii="Arial" w:cs="Arial" w:eastAsia="Arial" w:hAnsi="Arial"/>
          <w:sz w:val="18"/>
          <w:szCs w:val="18"/>
          <w:color w:val="auto"/>
        </w:rPr>
        <w:t>—Initiate and maintain communications with the Company’s Depositary and the reorganization departments of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brokerage firms to monitor the progress of the Offering.</w:t>
      </w:r>
    </w:p>
    <w:p>
      <w:pPr>
        <w:spacing w:after="0" w:line="38" w:lineRule="exact"/>
        <w:rPr>
          <w:rFonts w:ascii="Arial" w:cs="Arial" w:eastAsia="Arial" w:hAnsi="Arial"/>
          <w:sz w:val="18"/>
          <w:szCs w:val="18"/>
          <w:color w:val="auto"/>
        </w:rPr>
      </w:pPr>
    </w:p>
    <w:p>
      <w:pPr>
        <w:ind w:left="446" w:hanging="446"/>
        <w:spacing w:after="0" w:line="339" w:lineRule="auto"/>
        <w:tabs>
          <w:tab w:leader="none" w:pos="446"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Progress Updates</w:t>
      </w:r>
      <w:r>
        <w:rPr>
          <w:rFonts w:ascii="Arial" w:cs="Arial" w:eastAsia="Arial" w:hAnsi="Arial"/>
          <w:sz w:val="16"/>
          <w:szCs w:val="16"/>
          <w:color w:val="auto"/>
        </w:rPr>
        <w:t>—Inform the Company of security holder comments and reactions to the Offering, and gauge the expected level of participation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Offering. Track shifts in the ownership of shares through the use of Depository Trust Company (DTC) listings, and analyze those shifts.</w:t>
      </w:r>
    </w:p>
    <w:p>
      <w:pPr>
        <w:sectPr>
          <w:pgSz w:w="11900" w:h="16838" w:orient="portrait"/>
          <w:cols w:equalWidth="0" w:num="1">
            <w:col w:w="10926"/>
          </w:cols>
          <w:pgMar w:left="694" w:top="274" w:right="27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(d)(5)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PENNANTPARK INVESTMENT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ectPr>
          <w:pgSz w:w="11900" w:h="16838" w:orient="portrait"/>
          <w:cols w:equalWidth="0" w:num="2">
            <w:col w:w="5460" w:space="520"/>
            <w:col w:w="5440"/>
          </w:cols>
          <w:pgMar w:left="240" w:top="125" w:right="239" w:bottom="1440" w:gutter="0" w:footer="0" w:header="0"/>
          <w:type w:val="continuous"/>
        </w:sectPr>
      </w:pPr>
    </w:p>
    <w:p>
      <w:pPr>
        <w:ind w:right="180" w:firstLine="456"/>
        <w:spacing w:after="0" w:line="284" w:lineRule="auto"/>
        <w:rPr>
          <w:sz w:val="20"/>
          <w:szCs w:val="20"/>
          <w:color w:val="auto"/>
        </w:rPr>
      </w:pPr>
      <w:r>
        <w:rPr>
          <w:rFonts w:ascii="Arial" w:cs="Arial" w:eastAsia="Arial" w:hAnsi="Arial"/>
          <w:sz w:val="18"/>
          <w:szCs w:val="18"/>
          <w:color w:val="auto"/>
        </w:rPr>
        <w:t>Agreement made as of , 2008 between PENNANTPARK INVESTMENT CORPORATION, a Maryland corporation, with offices at 590 Madison Ave.,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(“Company”), and , a corporation, with offices at (“Warrant Agent”).</w:t>
      </w:r>
    </w:p>
    <w:p>
      <w:pPr>
        <w:spacing w:after="0" w:line="14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WHEREAS, the Company is engaged in a public offering (“Public Offering”) of and warrants (“Warrants”) to public investors, each of such Warrants evidencing the right of the holder thereof to purchase one share of the Company’s common stock, par value $.0001 per share (“Common Stock”), for $ , subject to adjustment as described herein; and</w:t>
      </w:r>
    </w:p>
    <w:p>
      <w:pPr>
        <w:sectPr>
          <w:pgSz w:w="11900" w:h="16838" w:orient="portrait"/>
          <w:cols w:equalWidth="0" w:num="1">
            <w:col w:w="11420"/>
          </w:cols>
          <w:pgMar w:left="240" w:top="125" w:right="239" w:bottom="1440" w:gutter="0" w:footer="0" w:header="0"/>
          <w:type w:val="continuous"/>
        </w:sectPr>
      </w:pP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WHEREAS, the Company has filed with the Securities and Exchange Commission a Registration Statement on Form S-1, No. 333-150033 (“Registration Statement”), for the registration, under the Securities Act of 1933, as amended (“Act”) of, among other securities, the Warrants and the Common Stock issuable upon exercise of the Warrants; and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ectPr>
          <w:pgSz w:w="11900" w:h="16838" w:orient="portrait"/>
          <w:cols w:equalWidth="0" w:num="1">
            <w:col w:w="11420"/>
          </w:cols>
          <w:pgMar w:left="240" w:top="125" w:right="239" w:bottom="1440" w:gutter="0" w:footer="0" w:header="0"/>
          <w:type w:val="continuous"/>
        </w:sectPr>
      </w:pPr>
    </w:p>
    <w:bookmarkStart w:id="281" w:name="page282"/>
    <w:bookmarkEnd w:id="28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mutual agreements herein contained, the parties hereto agree as follows:</w:t>
      </w:r>
    </w:p>
    <w:p>
      <w:pPr>
        <w:spacing w:after="0" w:line="171" w:lineRule="exact"/>
        <w:rPr>
          <w:sz w:val="20"/>
          <w:szCs w:val="20"/>
          <w:color w:val="auto"/>
        </w:rPr>
      </w:pPr>
    </w:p>
    <w:p>
      <w:pPr>
        <w:ind w:left="-40" w:right="320" w:firstLine="464"/>
        <w:spacing w:after="0" w:line="332" w:lineRule="auto"/>
        <w:tabs>
          <w:tab w:leader="none" w:pos="59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85" w:lineRule="exact"/>
        <w:rPr>
          <w:rFonts w:ascii="Arial" w:cs="Arial" w:eastAsia="Arial" w:hAnsi="Arial"/>
          <w:sz w:val="16"/>
          <w:szCs w:val="16"/>
          <w:color w:val="auto"/>
        </w:rPr>
      </w:pPr>
    </w:p>
    <w:p>
      <w:pPr>
        <w:ind w:left="600" w:hanging="176"/>
        <w:spacing w:after="0"/>
        <w:tabs>
          <w:tab w:leader="none" w:pos="6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90" w:lineRule="exact"/>
        <w:rPr>
          <w:sz w:val="20"/>
          <w:szCs w:val="20"/>
          <w:color w:val="auto"/>
        </w:rPr>
      </w:pPr>
    </w:p>
    <w:p>
      <w:pPr>
        <w:ind w:left="420" w:right="60" w:firstLine="438"/>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Form of Warrant</w:t>
      </w:r>
      <w:r>
        <w:rPr>
          <w:rFonts w:ascii="Arial" w:cs="Arial" w:eastAsia="Arial" w:hAnsi="Arial"/>
          <w:sz w:val="16"/>
          <w:szCs w:val="16"/>
          <w:color w:val="auto"/>
        </w:rPr>
        <w:t>. Each Warrant shall be issued to its holder in registered form, and each such holder’s Warrants shall be represented by a certificate (a “Warrant Certificate”) in substantially the form of Exhibit A hereto, the provisions of which are incorporated herein and shall be signed by, or bear the facsimile signature of, the Chairman of the Board, President, Treasurer, or the Secretary of the Company. In the event the person whose facsimile signature has been placed upon any Warrant Certificate shall have ceased to serve in the capacity in which such person signed the Warrant before such Warrant is issued, it may be issued with the same effect as if he or she had not ceased to hold such office at the date of issuance.</w:t>
      </w:r>
    </w:p>
    <w:p>
      <w:pPr>
        <w:spacing w:after="0" w:line="35" w:lineRule="exact"/>
        <w:rPr>
          <w:sz w:val="20"/>
          <w:szCs w:val="20"/>
          <w:color w:val="auto"/>
        </w:rPr>
      </w:pPr>
    </w:p>
    <w:p>
      <w:pPr>
        <w:ind w:left="420" w:firstLine="438"/>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Agreement, a Warrant shall be invalid and of no effect and may not be exercised by the holder thereof.</w:t>
      </w:r>
    </w:p>
    <w:p>
      <w:pPr>
        <w:spacing w:after="0" w:line="5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90" w:lineRule="exact"/>
        <w:rPr>
          <w:sz w:val="20"/>
          <w:szCs w:val="20"/>
          <w:color w:val="auto"/>
        </w:rPr>
      </w:pPr>
    </w:p>
    <w:p>
      <w:pPr>
        <w:ind w:left="880" w:right="160" w:firstLine="420"/>
        <w:spacing w:after="0" w:line="25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(“Warrant Register”),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62" w:lineRule="exact"/>
        <w:rPr>
          <w:sz w:val="20"/>
          <w:szCs w:val="20"/>
          <w:color w:val="auto"/>
        </w:rPr>
      </w:pPr>
    </w:p>
    <w:p>
      <w:pPr>
        <w:ind w:left="880" w:right="180" w:firstLine="420"/>
        <w:spacing w:after="0" w:line="370" w:lineRule="auto"/>
        <w:rPr>
          <w:sz w:val="20"/>
          <w:szCs w:val="20"/>
          <w:color w:val="auto"/>
        </w:rPr>
      </w:pPr>
      <w:r>
        <w:rPr>
          <w:rFonts w:ascii="Arial" w:cs="Arial" w:eastAsia="Arial" w:hAnsi="Arial"/>
          <w:sz w:val="15"/>
          <w:szCs w:val="15"/>
          <w:color w:val="auto"/>
        </w:rPr>
        <w:t xml:space="preserve">2.3.2 </w:t>
      </w:r>
      <w:r>
        <w:rPr>
          <w:rFonts w:ascii="Arial" w:cs="Arial" w:eastAsia="Arial" w:hAnsi="Arial"/>
          <w:sz w:val="15"/>
          <w:szCs w:val="15"/>
          <w:u w:val="single" w:color="auto"/>
          <w:color w:val="auto"/>
        </w:rPr>
        <w:t>Registered Holder</w:t>
      </w:r>
      <w:r>
        <w:rPr>
          <w:rFonts w:ascii="Arial" w:cs="Arial" w:eastAsia="Arial" w:hAnsi="Arial"/>
          <w:sz w:val="15"/>
          <w:szCs w:val="15"/>
          <w:color w:val="auto"/>
        </w:rPr>
        <w:t>. Prior to due presentment for registration of transfer of any Warrant, the Company and the Warrant Agent may deem and treat the person in whose name such Warrant shall be registered upon the Warrant Register (“registered holder”) as the absolute owner of such</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282" w:name="page283"/>
    <w:bookmarkEnd w:id="282"/>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40" w:lineRule="exact"/>
        <w:rPr>
          <w:sz w:val="20"/>
          <w:szCs w:val="20"/>
          <w:color w:val="auto"/>
        </w:rPr>
      </w:pPr>
    </w:p>
    <w:p>
      <w:pPr>
        <w:ind w:left="180" w:hanging="176"/>
        <w:spacing w:after="0"/>
        <w:tabs>
          <w:tab w:leader="none" w:pos="18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90" w:lineRule="exact"/>
        <w:rPr>
          <w:sz w:val="20"/>
          <w:szCs w:val="20"/>
          <w:color w:val="auto"/>
        </w:rPr>
      </w:pPr>
    </w:p>
    <w:p>
      <w:pPr>
        <w:ind w:right="280" w:firstLine="438"/>
        <w:spacing w:after="0" w:line="305"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Warrant Price</w:t>
      </w:r>
      <w:r>
        <w:rPr>
          <w:rFonts w:ascii="Arial" w:cs="Arial" w:eastAsia="Arial" w:hAnsi="Arial"/>
          <w:sz w:val="15"/>
          <w:szCs w:val="15"/>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price of $</w:t>
      </w:r>
    </w:p>
    <w:p>
      <w:pPr>
        <w:ind w:right="20" w:firstLine="527"/>
        <w:spacing w:after="0" w:line="302" w:lineRule="auto"/>
        <w:rPr>
          <w:sz w:val="20"/>
          <w:szCs w:val="20"/>
          <w:color w:val="auto"/>
        </w:rPr>
      </w:pPr>
      <w:r>
        <w:rPr>
          <w:rFonts w:ascii="Arial" w:cs="Arial" w:eastAsia="Arial" w:hAnsi="Arial"/>
          <w:sz w:val="16"/>
          <w:szCs w:val="16"/>
          <w:color w:val="auto"/>
        </w:rPr>
        <w:t>per whole share, subject to the adjustments provided in Section 4 hereof and in the last sentence of this Section 3.1. The term “Warrant Price” as used in this Warrant Agreement refers to the price per share at which Common Stock may be purchased at the time a Warrant is exercised. The Company in its sole discretion may lower the Warrant Price at any time prior to the Expiration Date for a period of not less than 10 business days.</w:t>
      </w:r>
    </w:p>
    <w:p>
      <w:pPr>
        <w:spacing w:after="0" w:line="28"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(“Exercise Period”) commencing on , and terminating at 5:00 p.m., New York City time on the date fixed for redemption of the Warrants as provided in Section 6 of this Agreement (“Expiration Date”). Except with respect to the right to receive the Redemption Price (as set forth in Section 6 hereunder),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that the Company shall provide notice to registered holders of the Warrants of any such extension of 20 days or more.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90" w:lineRule="exact"/>
        <w:rPr>
          <w:sz w:val="20"/>
          <w:szCs w:val="20"/>
          <w:color w:val="auto"/>
        </w:rPr>
      </w:pPr>
    </w:p>
    <w:p>
      <w:pPr>
        <w:ind w:left="460" w:right="120" w:firstLine="420"/>
        <w:spacing w:after="0" w:line="318" w:lineRule="auto"/>
        <w:rPr>
          <w:sz w:val="20"/>
          <w:szCs w:val="20"/>
          <w:color w:val="auto"/>
        </w:rPr>
      </w:pPr>
      <w:r>
        <w:rPr>
          <w:rFonts w:ascii="Arial" w:cs="Arial" w:eastAsia="Arial" w:hAnsi="Arial"/>
          <w:sz w:val="15"/>
          <w:szCs w:val="15"/>
          <w:color w:val="auto"/>
        </w:rPr>
        <w:t xml:space="preserve">3.3.1 </w:t>
      </w:r>
      <w:r>
        <w:rPr>
          <w:rFonts w:ascii="Arial" w:cs="Arial" w:eastAsia="Arial" w:hAnsi="Arial"/>
          <w:sz w:val="15"/>
          <w:szCs w:val="15"/>
          <w:u w:val="single" w:color="auto"/>
          <w:color w:val="auto"/>
        </w:rPr>
        <w:t>Payment</w:t>
      </w:r>
      <w:r>
        <w:rPr>
          <w:rFonts w:ascii="Arial" w:cs="Arial" w:eastAsia="Arial" w:hAnsi="Arial"/>
          <w:sz w:val="15"/>
          <w:szCs w:val="15"/>
          <w:color w:val="auto"/>
        </w:rPr>
        <w:t>. Subject to the provisions of the Warrant Certificate and this Warrant Agreement, a Warrant may be exercised by the registered holder thereof by surrendering the Warrant Certificate, countersigned by the Warrant Agent, at the office of the Warrant Agent, or, if applicable, at the office of its successor as Warrant Agent with the subscription form, as set forth in the Warrant Certificate, duly executed, and by paying in full the Warrant Price for each full share of Common Stock as to which the Warrant is exercised and any and all applicable taxes due in connection with the exercise of the Warrant, the exchange of the Warrant for shares of Common Stock, and the issuance of the Common Stock, as follows:</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 in cash;</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283" w:name="page284"/>
    <w:bookmarkEnd w:id="283"/>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by certified or official bank check payable to the order of the Company;</w:t>
      </w:r>
    </w:p>
    <w:p>
      <w:pPr>
        <w:spacing w:after="0" w:line="90" w:lineRule="exact"/>
        <w:rPr>
          <w:sz w:val="20"/>
          <w:szCs w:val="20"/>
          <w:color w:val="auto"/>
        </w:rPr>
      </w:pPr>
    </w:p>
    <w:p>
      <w:pPr>
        <w:ind w:firstLine="420"/>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As soon as practicable after the exercise of any Warrants and the clearance of the funds in payment of the Warrant Price, the Company shall issue to the registered holder of such Warrants in book entry form the number of full shares of Common Stock to which such holder is entitled, registered in such name or names as may be directed by him, her or it, and if the holder of such Warrants shall not have exercised all Warrants held by such holder, a new countersigned Warrant Certificate for the number of shares as to which such Warrants shall not have been exercised. Notwithstanding the foregoing, the Company shall not be obligated to deliver any securities pursuant to the exercise of a Warrant and shall have no obligation to settle such Warrant exercise unless a registration statement under the Act with respect to the Common Stock is effective. In the event that a registration statement with respect to the Common Stock underlying a Warrant is not effective under the Act, the holder of such Warrant shall not be entitled to exercise such Warrant and such Warrant may have no value and expire worthless. In no event shall the Company be required to net cash settle the warrant exercise. Warrants may not be exercised by, or securities issued to, any registered holder in any state in which such exercise would be unlawful.</w:t>
      </w:r>
    </w:p>
    <w:p>
      <w:pPr>
        <w:spacing w:after="0" w:line="42" w:lineRule="exact"/>
        <w:rPr>
          <w:sz w:val="20"/>
          <w:szCs w:val="20"/>
          <w:color w:val="auto"/>
        </w:rPr>
      </w:pPr>
    </w:p>
    <w:p>
      <w:pPr>
        <w:ind w:right="280" w:firstLine="420"/>
        <w:spacing w:after="0" w:line="268"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51"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such certificate for shares of Common Stock is issued shall be deemed for all purposes to have become the holder of record of such shares on the date on which the Warrant was surrendered and payment of the Warrant Price was made; provided, however, that, if the date of such surrender and payment is a date when the stock transfer books of the Company are closed, such person shall be deemed to have become the holder of such shares at the close of business on the next succeeding date on which such stock transfer books are open.</w:t>
      </w:r>
    </w:p>
    <w:p>
      <w:pPr>
        <w:spacing w:after="0" w:line="12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284" w:name="page285"/>
    <w:bookmarkEnd w:id="284"/>
    <w:p>
      <w:pPr>
        <w:ind w:left="180" w:hanging="176"/>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w:t>
      </w:r>
      <w:r>
        <w:rPr>
          <w:rFonts w:ascii="Arial" w:cs="Arial" w:eastAsia="Arial" w:hAnsi="Arial"/>
          <w:sz w:val="18"/>
          <w:szCs w:val="18"/>
          <w:color w:val="auto"/>
        </w:rPr>
        <w:t>.</w:t>
      </w:r>
    </w:p>
    <w:p>
      <w:pPr>
        <w:spacing w:after="0" w:line="90" w:lineRule="exact"/>
        <w:rPr>
          <w:sz w:val="20"/>
          <w:szCs w:val="20"/>
          <w:color w:val="auto"/>
        </w:rPr>
      </w:pPr>
    </w:p>
    <w:p>
      <w:pPr>
        <w:ind w:right="100" w:firstLine="438"/>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 Split-Ups</w:t>
      </w:r>
      <w:r>
        <w:rPr>
          <w:rFonts w:ascii="Arial" w:cs="Arial" w:eastAsia="Arial" w:hAnsi="Arial"/>
          <w:sz w:val="16"/>
          <w:szCs w:val="16"/>
          <w:color w:val="auto"/>
        </w:rPr>
        <w:t>. If after the date hereof, and subject to the provisions of Section 4.6 below, the number of outstanding shares of Common Stock is increased by a stock dividend payable in shares of Common Stock, by a split of shares of Common Stock, or by any other similar event, then, on the effective date of such stock dividend, split-up or similar event, the number of shares of Common Stock issuable on exercise of each Warrant shall be increased in proportion to such increase in outstanding shares of Common Stock.</w:t>
      </w:r>
    </w:p>
    <w:p>
      <w:pPr>
        <w:spacing w:after="0" w:line="32"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Aggregation of Shares</w:t>
      </w:r>
      <w:r>
        <w:rPr>
          <w:rFonts w:ascii="Arial" w:cs="Arial" w:eastAsia="Arial" w:hAnsi="Arial"/>
          <w:sz w:val="16"/>
          <w:szCs w:val="16"/>
          <w:color w:val="auto"/>
        </w:rPr>
        <w:t>. If after the date hereof, and subject to the provisions of Section 4.6, the number of outstanding shares of Common Stock is decreased by a consolidation, combination, reverse stock split or reclassification of shares of Common Stock or any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32"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6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Section 4.1 or 4.2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immediately theretofore purchasable and receivable upon the exercise of the rights represented thereby,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285" w:name="page286"/>
    <w:bookmarkEnd w:id="285"/>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and if any reclassification also results in a change in shares of Common Stock covered by Section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35"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or 4.4,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39"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Notwithstanding any provision contained in this Warrant Agreement to the contrary, the Company shall not issue fractional shares upon exercise of Warrants. If, by reason of any adjustment made pursuant to this Section 4, the holder of any Warrant would be entitled, upon the exercise of such Warrant, to receive a fractional interest in a share, the Company shall, upon such exercise, round up or down to the nearest whole number the number of the shares of Common Stock to be issued to the Warrant holder.</w:t>
      </w:r>
    </w:p>
    <w:p>
      <w:pPr>
        <w:spacing w:after="0" w:line="62"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Form of Warrant Certificate</w:t>
      </w:r>
      <w:r>
        <w:rPr>
          <w:rFonts w:ascii="Arial" w:cs="Arial" w:eastAsia="Arial" w:hAnsi="Arial"/>
          <w:sz w:val="16"/>
          <w:szCs w:val="16"/>
          <w:color w:val="auto"/>
        </w:rPr>
        <w:t>. The form of Warrant Certificate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Certificate that the Company may deem appropriate and that does not affect the substance thereof, and any Warrant Certificate thereafter issued or countersigned, whether in exchange or substitution for an outstanding Warrant Certificate or otherwise, may be in the form as so changed.</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286" w:name="page287"/>
    <w:bookmarkEnd w:id="286"/>
    <w:p>
      <w:pPr>
        <w:ind w:left="180" w:hanging="176"/>
        <w:spacing w:after="0"/>
        <w:tabs>
          <w:tab w:leader="none" w:pos="1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and Exchange of Warrants</w:t>
      </w:r>
      <w:r>
        <w:rPr>
          <w:rFonts w:ascii="Arial" w:cs="Arial" w:eastAsia="Arial" w:hAnsi="Arial"/>
          <w:sz w:val="18"/>
          <w:szCs w:val="18"/>
          <w:color w:val="auto"/>
        </w:rPr>
        <w:t>.</w:t>
      </w:r>
    </w:p>
    <w:p>
      <w:pPr>
        <w:spacing w:after="0" w:line="90"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the Warrant Certificate representing such Warrant, for transfer, properly endorsed with signatures properly guaranteed and accompanied by appropriate instructions for transfer. Upon any such transfer, a new Warrant Certificate representing an equal aggregate number of Warrants shall be issued and the old Warrant Certificate shall be cancelled by the Warrant Agent. The Warrants so cancelled shall be delivered by the Warrant Agent to the Company from time to time upon request.</w:t>
      </w:r>
    </w:p>
    <w:p>
      <w:pPr>
        <w:spacing w:after="0" w:line="62"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 Certificates</w:t>
      </w:r>
      <w:r>
        <w:rPr>
          <w:rFonts w:ascii="Arial" w:cs="Arial" w:eastAsia="Arial" w:hAnsi="Arial"/>
          <w:sz w:val="16"/>
          <w:szCs w:val="16"/>
          <w:color w:val="auto"/>
        </w:rPr>
        <w:t>. Warrant Certificates may be surrendered to the Warrant Agent, together with a written request for exchange or transfer, and thereupon the Warrant Agent shall issue in exchange therefor one or more new Warrant Certificates as requested by the registered holder of the Warrants so surrendered, representing an equal aggregate number of Warrants represented by such Warrant Certificate; provided, however, that in the event that a Warrant Certificate surrendered for transfer bears a restrictive legend, the Warrant Agent shall not cancel such Warrant Certificate and issue new Warrant Certificate(s) in exchange therefor until the Warrant Agent has received an opinion of counsel for the Company stating that such transfer may be made and indicating whether the new Warrant Certificate(s) must also bear a restrictive legend.</w:t>
      </w:r>
    </w:p>
    <w:p>
      <w:pPr>
        <w:spacing w:after="0" w:line="39"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would result in the issuance of a warrant certificate for a fraction of a Warrant.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90" w:lineRule="exact"/>
        <w:rPr>
          <w:sz w:val="20"/>
          <w:szCs w:val="20"/>
          <w:color w:val="auto"/>
        </w:rPr>
      </w:pPr>
    </w:p>
    <w:p>
      <w:pPr>
        <w:ind w:right="80" w:firstLine="438"/>
        <w:spacing w:after="0" w:line="30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Warrant Execution and Countersignature</w:t>
      </w:r>
      <w:r>
        <w:rPr>
          <w:rFonts w:ascii="Arial" w:cs="Arial" w:eastAsia="Arial" w:hAnsi="Arial"/>
          <w:sz w:val="16"/>
          <w:szCs w:val="16"/>
          <w:color w:val="auto"/>
        </w:rPr>
        <w:t>. The Warrant Agent is hereby authorized to countersign and to deliver, in accordance with the terms of this Agreement, the Warrant Certificates required to be issued pursuant to the provisions of this Section 5, and the Company, whenever required by the Warrant Agent, shall supply the Warrant Agent with Warrant Certificates duly executed on behalf of the Company for such purpose.</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287" w:name="page288"/>
    <w:bookmarkEnd w:id="287"/>
    <w:p>
      <w:pPr>
        <w:ind w:left="180" w:hanging="176"/>
        <w:spacing w:after="0"/>
        <w:tabs>
          <w:tab w:leader="none" w:pos="18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w:t>
      </w:r>
      <w:r>
        <w:rPr>
          <w:rFonts w:ascii="Arial" w:cs="Arial" w:eastAsia="Arial" w:hAnsi="Arial"/>
          <w:sz w:val="18"/>
          <w:szCs w:val="18"/>
          <w:color w:val="auto"/>
        </w:rPr>
        <w:t>.</w:t>
      </w:r>
    </w:p>
    <w:p>
      <w:pPr>
        <w:spacing w:after="0" w:line="90"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Section 6.4 hereof, not less than all of the outstanding Warrants (excluding the Insider Warrants, so long as such Insider Warrants are held by the Insiders or their affiliates) may be redeemed, at the option of the Company, at any time while they are exercisable and prior to their expiration, at the office of the Warrant Agent, upon the notice referred to in Section 6.2, at the price of $.001 per Warrant (“Redemption Price”), provided that the last sales price of the Common Stock has been at least $ per share, on each of twenty (20) trading days within any thirty (30) trading-day period ending on the third business day prior to the date on which notice of redemption is given.</w:t>
      </w:r>
    </w:p>
    <w:p>
      <w:pPr>
        <w:spacing w:after="0" w:line="35"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Date Fixed for, and Notice of, Redemption</w:t>
      </w:r>
      <w:r>
        <w:rPr>
          <w:rFonts w:ascii="Arial" w:cs="Arial" w:eastAsia="Arial" w:hAnsi="Arial"/>
          <w:sz w:val="16"/>
          <w:szCs w:val="16"/>
          <w:color w:val="auto"/>
        </w:rPr>
        <w:t>. In the event the Company shall elect to redeem all of the Warrants, the Company shall fix a date for the redemption. Notice of redemption shall be mailed by first class mail, postage prepaid, by the Company not less than 30 days prior to the date fixed for redemption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32" w:lineRule="exact"/>
        <w:rPr>
          <w:sz w:val="20"/>
          <w:szCs w:val="20"/>
          <w:color w:val="auto"/>
        </w:rPr>
      </w:pPr>
    </w:p>
    <w:p>
      <w:pPr>
        <w:ind w:firstLine="438"/>
        <w:spacing w:after="0" w:line="335"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Exercise After Notice of Redemption</w:t>
      </w:r>
      <w:r>
        <w:rPr>
          <w:rFonts w:ascii="Arial" w:cs="Arial" w:eastAsia="Arial" w:hAnsi="Arial"/>
          <w:sz w:val="15"/>
          <w:szCs w:val="15"/>
          <w:color w:val="auto"/>
        </w:rPr>
        <w:t>. The Warrants may be exercised in accordance with Section 3.3.1 of this Agreement at any time after notice of redemption shall have been given by the Company pursuant to Section 6.2 hereof and prior to the time and date fixed for redemption. On and after the redemption date, the record holder of the Warrants shall have no further rights except to receive, upon surrender of the Warrants, the Redemption Price.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left="180" w:hanging="176"/>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90" w:lineRule="exact"/>
        <w:rPr>
          <w:sz w:val="20"/>
          <w:szCs w:val="20"/>
          <w:color w:val="auto"/>
        </w:rPr>
      </w:pPr>
    </w:p>
    <w:p>
      <w:pPr>
        <w:ind w:right="120" w:firstLine="438"/>
        <w:spacing w:after="0" w:line="30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288" w:name="page289"/>
    <w:bookmarkEnd w:id="288"/>
    <w:p>
      <w:pPr>
        <w:jc w:val="both"/>
        <w:ind w:right="160" w:firstLine="438"/>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5"/>
          <w:szCs w:val="15"/>
          <w:u w:val="single" w:color="auto"/>
          <w:color w:val="auto"/>
        </w:rPr>
        <w:t>Lost, Stolen, Mutilated, or Destroyed Warrants</w:t>
      </w:r>
      <w:r>
        <w:rPr>
          <w:rFonts w:ascii="Arial" w:cs="Arial" w:eastAsia="Arial" w:hAnsi="Arial"/>
          <w:sz w:val="15"/>
          <w:szCs w:val="15"/>
          <w:color w:val="auto"/>
        </w:rPr>
        <w:t>. If any Warrant Certificate is lost, stolen, mutilated, or destroyed, the Company and the Warrant Agent may on such terms as to indemnity or otherwise as they may in their discretion impose (which shall, in the case of a mutilated Warrant, include the surrender thereof), issue a new Warrant Certificate of like denomination, tenor and date as the Warrant Certificate so lost, stolen, mutilated or destroyed.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such new Warrant Certificate shall constitute a substitute contractual obligation of the Company, whether or not the allegedly lost, stolen, mutilated, or destroyed Warrant Certificate shall be at any time enforceable by anyone.</w:t>
      </w:r>
    </w:p>
    <w:p>
      <w:pPr>
        <w:spacing w:after="0" w:line="57" w:lineRule="exact"/>
        <w:rPr>
          <w:sz w:val="20"/>
          <w:szCs w:val="20"/>
          <w:color w:val="auto"/>
        </w:rPr>
      </w:pPr>
    </w:p>
    <w:p>
      <w:pPr>
        <w:ind w:right="400" w:firstLine="438"/>
        <w:spacing w:after="0" w:line="3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4" w:lineRule="exact"/>
        <w:rPr>
          <w:sz w:val="20"/>
          <w:szCs w:val="20"/>
          <w:color w:val="auto"/>
        </w:rPr>
      </w:pPr>
    </w:p>
    <w:p>
      <w:pPr>
        <w:ind w:right="100" w:firstLine="438"/>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prior to the commencement of the Exercise Period, it shall file with the Securities and Exchange Commission a post-effective amendment to the Registration Statement, or a new registration statement, for the registration, under the Act, of, and it shall use its best efforts to take such action as is necessary to qualify for sale, in those states in which the Warrants were initially offered by the Company, the Common Stock issuable upon exercise of the Warrants. In either case, the Company shall use its best efforts to cause the same to become effective and to maintain the effectiveness of such registration statement until the expiration of the Warrants in accordance with the provisions of this Agreement.</w:t>
      </w:r>
    </w:p>
    <w:p>
      <w:pPr>
        <w:spacing w:after="0" w:line="144" w:lineRule="exact"/>
        <w:rPr>
          <w:sz w:val="20"/>
          <w:szCs w:val="20"/>
          <w:color w:val="auto"/>
        </w:rPr>
      </w:pPr>
    </w:p>
    <w:p>
      <w:pPr>
        <w:ind w:left="180" w:hanging="176"/>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90"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90" w:lineRule="exact"/>
        <w:rPr>
          <w:sz w:val="20"/>
          <w:szCs w:val="20"/>
          <w:color w:val="auto"/>
        </w:rPr>
      </w:pPr>
    </w:p>
    <w:p>
      <w:pPr>
        <w:ind w:left="460" w:right="60" w:firstLine="420"/>
        <w:spacing w:after="0" w:line="294"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holder of the Warrant (who shall, with such notice, submit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289" w:name="page290"/>
    <w:bookmarkEnd w:id="289"/>
    <w:p>
      <w:pPr>
        <w:ind w:lef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The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46" w:lineRule="exact"/>
        <w:rPr>
          <w:sz w:val="20"/>
          <w:szCs w:val="20"/>
          <w:color w:val="auto"/>
        </w:rPr>
      </w:pPr>
    </w:p>
    <w:p>
      <w:pPr>
        <w:ind w:left="20" w:right="40" w:firstLine="420"/>
        <w:spacing w:after="0" w:line="33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4" w:lineRule="exact"/>
        <w:rPr>
          <w:sz w:val="20"/>
          <w:szCs w:val="20"/>
          <w:color w:val="auto"/>
        </w:rPr>
      </w:pPr>
    </w:p>
    <w:p>
      <w:pPr>
        <w:jc w:val="both"/>
        <w:ind w:left="20" w:right="420" w:firstLine="420"/>
        <w:spacing w:after="0" w:line="259"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90" w:lineRule="exact"/>
        <w:rPr>
          <w:sz w:val="20"/>
          <w:szCs w:val="20"/>
          <w:color w:val="auto"/>
        </w:rPr>
      </w:pPr>
    </w:p>
    <w:p>
      <w:pPr>
        <w:jc w:val="both"/>
        <w:ind w:left="20" w:right="20" w:firstLine="420"/>
        <w:spacing w:after="0" w:line="259"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reimburse the Warrant Agent upon demand for all expenditures that the Warrant Agent may reasonably incur in the execution of its duties hereunder.</w:t>
      </w:r>
    </w:p>
    <w:p>
      <w:pPr>
        <w:spacing w:after="0" w:line="59" w:lineRule="exact"/>
        <w:rPr>
          <w:sz w:val="20"/>
          <w:szCs w:val="20"/>
          <w:color w:val="auto"/>
        </w:rPr>
      </w:pPr>
    </w:p>
    <w:p>
      <w:pPr>
        <w:ind w:left="20" w:right="60" w:firstLine="420"/>
        <w:spacing w:after="0" w:line="259"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0"/>
          </w:cols>
          <w:pgMar w:left="1140" w:top="280" w:right="299" w:bottom="1440" w:gutter="0" w:footer="0" w:header="0"/>
        </w:sectPr>
      </w:pPr>
    </w:p>
    <w:bookmarkStart w:id="290" w:name="page291"/>
    <w:bookmarkEnd w:id="2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90" w:lineRule="exact"/>
        <w:rPr>
          <w:sz w:val="20"/>
          <w:szCs w:val="20"/>
          <w:color w:val="auto"/>
        </w:rPr>
      </w:pPr>
    </w:p>
    <w:p>
      <w:pPr>
        <w:ind w:left="460" w:right="60" w:firstLine="420"/>
        <w:spacing w:after="0" w:line="254"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President, Chief Executive Officer or Chairman of the Board of the Company and delivered to the Warrant Agent. The Warrant Agent may rely upon such statement for any action taken or suffered in good faith by it pursuant to the provisions of this Agreement.</w:t>
      </w:r>
    </w:p>
    <w:p>
      <w:pPr>
        <w:spacing w:after="0" w:line="63" w:lineRule="exact"/>
        <w:rPr>
          <w:sz w:val="20"/>
          <w:szCs w:val="20"/>
          <w:color w:val="auto"/>
        </w:rPr>
      </w:pPr>
    </w:p>
    <w:p>
      <w:pPr>
        <w:ind w:left="460" w:right="100" w:firstLine="420"/>
        <w:spacing w:after="0" w:line="256"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negligence, willful misconduct or bad faith.</w:t>
      </w:r>
    </w:p>
    <w:p>
      <w:pPr>
        <w:spacing w:after="0" w:line="62" w:lineRule="exact"/>
        <w:rPr>
          <w:sz w:val="20"/>
          <w:szCs w:val="20"/>
          <w:color w:val="auto"/>
        </w:rPr>
      </w:pPr>
    </w:p>
    <w:p>
      <w:pPr>
        <w:ind w:left="460" w:right="60" w:firstLine="420"/>
        <w:spacing w:after="0" w:line="290" w:lineRule="auto"/>
        <w:rPr>
          <w:sz w:val="20"/>
          <w:szCs w:val="20"/>
          <w:color w:val="auto"/>
        </w:rPr>
      </w:pPr>
      <w:r>
        <w:rPr>
          <w:rFonts w:ascii="Arial" w:cs="Arial" w:eastAsia="Arial" w:hAnsi="Arial"/>
          <w:sz w:val="16"/>
          <w:szCs w:val="16"/>
          <w:color w:val="auto"/>
        </w:rPr>
        <w:t xml:space="preserve">8.4.3 </w:t>
      </w:r>
      <w:r>
        <w:rPr>
          <w:rFonts w:ascii="Arial" w:cs="Arial" w:eastAsia="Arial" w:hAnsi="Arial"/>
          <w:sz w:val="16"/>
          <w:szCs w:val="16"/>
          <w:u w:val="single" w:color="auto"/>
          <w:color w:val="auto"/>
        </w:rPr>
        <w:t>Exclusions</w:t>
      </w:r>
      <w:r>
        <w:rPr>
          <w:rFonts w:ascii="Arial" w:cs="Arial" w:eastAsia="Arial" w:hAnsi="Arial"/>
          <w:sz w:val="16"/>
          <w:szCs w:val="16"/>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37"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Common Stock through the exercise of Warrants.</w:t>
      </w:r>
    </w:p>
    <w:p>
      <w:pPr>
        <w:spacing w:after="0" w:line="1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700" w:top="280" w:right="339" w:bottom="1440" w:gutter="0" w:footer="0" w:header="0"/>
        </w:sectPr>
      </w:pPr>
    </w:p>
    <w:bookmarkStart w:id="291" w:name="page292"/>
    <w:bookmarkEnd w:id="291"/>
    <w:p>
      <w:pPr>
        <w:ind w:left="640" w:hanging="176"/>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51" w:lineRule="exact"/>
        <w:rPr>
          <w:sz w:val="20"/>
          <w:szCs w:val="20"/>
          <w:color w:val="auto"/>
        </w:rPr>
      </w:pPr>
    </w:p>
    <w:p>
      <w:pPr>
        <w:ind w:left="460" w:right="160" w:firstLine="438"/>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holder of any Warrant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Warrant Agent), as follows:</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590 Madison Ave.</w:t>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Chief Financial Officer</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with a copy in each case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Thomas J. Friedmann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92" w:name="page293"/>
    <w:bookmarkEnd w:id="292"/>
    <w:p>
      <w:pPr>
        <w:ind w:right="100"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Agreement and of the Warrants shall be governed in all respects by the laws of the State of New York.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w:t>
      </w:r>
    </w:p>
    <w:p>
      <w:pPr>
        <w:spacing w:after="0" w:line="37" w:lineRule="exact"/>
        <w:rPr>
          <w:sz w:val="20"/>
          <w:szCs w:val="20"/>
          <w:color w:val="auto"/>
        </w:rPr>
      </w:pPr>
    </w:p>
    <w:p>
      <w:pPr>
        <w:jc w:val="both"/>
        <w:ind w:firstLine="438"/>
        <w:spacing w:after="0" w:line="303"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Persons Having Rights under this Agreement</w:t>
      </w:r>
      <w:r>
        <w:rPr>
          <w:rFonts w:ascii="Arial" w:cs="Arial" w:eastAsia="Arial" w:hAnsi="Arial"/>
          <w:sz w:val="15"/>
          <w:szCs w:val="15"/>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and 9.2 hereof, any right, remedy, or claim under or by reason of this Warrant Agreement or of any covenant,</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condition, stipulation, promise, or agreement hereof. [ shall be deemed to be a third-party beneficiary of this Agreement with respect to Sections 7.4 and 9.2 hereof.] All covenants, conditions, stipulations, promises, and agreements contained in this Warrant Agreement shall be for the sole and</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exclusive benefit of the parties hereto [(and with respect to the Sections 7.4 and 9.2 hereof)] and their successors and assigns and of the registered holders of the Warrants. [This Section 9.4 shall not be modified or amended without the prior written consent of .]</w:t>
      </w:r>
    </w:p>
    <w:p>
      <w:pPr>
        <w:spacing w:after="0" w:line="57"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The City and State of New York, for inspection by the registered holder of any Warrant. The Warrant Agent may require any such holder to submit his Warrant for inspection by it.</w:t>
      </w:r>
    </w:p>
    <w:p>
      <w:pPr>
        <w:spacing w:after="0" w:line="59" w:lineRule="exact"/>
        <w:rPr>
          <w:sz w:val="20"/>
          <w:szCs w:val="20"/>
          <w:color w:val="auto"/>
        </w:rPr>
      </w:pPr>
    </w:p>
    <w:p>
      <w:pPr>
        <w:ind w:right="300" w:firstLine="438"/>
        <w:spacing w:after="0" w:line="33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4"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293" w:name="page294"/>
    <w:bookmarkEnd w:id="293"/>
    <w:p>
      <w:pPr>
        <w:ind w:right="120"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to materially and adversely affect the interest of the registered holders. All other modifications or amendments, including any amendment to increase the Warrant Price or shorten the Exercise Period, shall require the written consent of the registered holders of a majority of the then outstanding Warrants. Notwithstanding the foregoing, the Company may lower the Warrant Price or extend the duration of the Exercise Period pursuant to Sections 3.1 and 3.2, respectively, without the consent of the registered holders.</w:t>
      </w:r>
    </w:p>
    <w:p>
      <w:pPr>
        <w:spacing w:after="0" w:line="3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9.9 This Agreement does not constitute an agreement for a partnership or joint venture among the parties. The Warrant Agent shall act hereunder as agent of the Company solely to the limited extent set forth in this Agreement, but shall not assume any fiduciary duties to, or have any rights, power or authority on behalf of, the Company or any of its affiliates, equity holders or creditors or of any other person or entity not expressly set forth in this Agreement. Any duties of the Warrant Agent arising out of its engagements pursuant to this Agreement shall be owed solely to the Company. No party shall make any commitments with third parties that are binding on any other party without such other party’s prior written consent, and none of the Warrant Agent, employees, or representatives or contractors of the Warrant Agent shall be deemed to be employees of the Company or any of its affiliates.</w:t>
      </w:r>
    </w:p>
    <w:p>
      <w:pPr>
        <w:spacing w:after="0" w:line="39" w:lineRule="exact"/>
        <w:rPr>
          <w:sz w:val="20"/>
          <w:szCs w:val="20"/>
          <w:color w:val="auto"/>
        </w:rPr>
      </w:pPr>
    </w:p>
    <w:p>
      <w:pPr>
        <w:ind w:right="260" w:firstLine="438"/>
        <w:spacing w:after="0" w:line="335" w:lineRule="auto"/>
        <w:rPr>
          <w:sz w:val="20"/>
          <w:szCs w:val="20"/>
          <w:color w:val="auto"/>
        </w:rPr>
      </w:pPr>
      <w:r>
        <w:rPr>
          <w:rFonts w:ascii="Arial" w:cs="Arial" w:eastAsia="Arial" w:hAnsi="Arial"/>
          <w:sz w:val="15"/>
          <w:szCs w:val="15"/>
          <w:color w:val="auto"/>
        </w:rPr>
        <w:t>9.10 Except as explicitly stated elsewhere in this Agreement, nothing under this Agreement is intended or shall be construed to give any rights, benefits, remedies or claims under or by reason of this Agreement or any part thereof to anyone other than the Warrant Agent and the Company, and the duties and responsibilities undertaken pursuant to this Agreement shall be for the sole and exclusive benefit of the Warrant Agent and the Company.</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Agreement has been duly executed by the parties hereto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INVESTMENT CORP.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4" w:lineRule="exact"/>
        <w:rPr>
          <w:sz w:val="20"/>
          <w:szCs w:val="20"/>
          <w:color w:val="auto"/>
        </w:rPr>
      </w:pPr>
    </w:p>
    <w:tbl>
      <w:tblPr>
        <w:tblLayout w:type="fixed"/>
        <w:tblInd w:w="6400" w:type="dxa"/>
        <w:tblCellMar>
          <w:top w:w="0" w:type="dxa"/>
          <w:left w:w="0" w:type="dxa"/>
          <w:bottom w:w="0" w:type="dxa"/>
          <w:right w:w="0" w:type="dxa"/>
        </w:tblCellMar>
      </w:tblPr>
      <w:tr>
        <w:trPr>
          <w:trHeight w:val="201"/>
        </w:trPr>
        <w:tc>
          <w:tcPr>
            <w:tcW w:w="320" w:type="dxa"/>
            <w:vAlign w:val="bottom"/>
          </w:tcPr>
          <w:p>
            <w:pPr>
              <w:spacing w:after="0"/>
              <w:rPr>
                <w:sz w:val="17"/>
                <w:szCs w:val="17"/>
                <w:color w:val="auto"/>
              </w:rPr>
            </w:pPr>
          </w:p>
        </w:tc>
        <w:tc>
          <w:tcPr>
            <w:tcW w:w="66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spacing w:after="0"/>
              <w:rPr>
                <w:sz w:val="17"/>
                <w:szCs w:val="17"/>
                <w:color w:val="auto"/>
              </w:rPr>
            </w:pPr>
          </w:p>
        </w:tc>
      </w:tr>
      <w:tr>
        <w:trPr>
          <w:trHeight w:val="222"/>
        </w:trPr>
        <w:tc>
          <w:tcPr>
            <w:tcW w:w="32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19"/>
                <w:szCs w:val="19"/>
                <w:color w:val="auto"/>
              </w:rPr>
            </w:pPr>
          </w:p>
        </w:tc>
      </w:tr>
      <w:tr>
        <w:trPr>
          <w:trHeight w:val="50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3580" w:type="dxa"/>
            <w:vAlign w:val="bottom"/>
          </w:tcPr>
          <w:p>
            <w:pPr>
              <w:jc w:val="right"/>
              <w:ind w:right="2772"/>
              <w:spacing w:after="0"/>
              <w:rPr>
                <w:sz w:val="20"/>
                <w:szCs w:val="20"/>
                <w:color w:val="auto"/>
              </w:rPr>
            </w:pPr>
            <w:r>
              <w:rPr>
                <w:rFonts w:ascii="Arial" w:cs="Arial" w:eastAsia="Arial" w:hAnsi="Arial"/>
                <w:sz w:val="18"/>
                <w:szCs w:val="18"/>
                <w:color w:val="auto"/>
              </w:rPr>
              <w:t>]</w:t>
            </w:r>
          </w:p>
        </w:tc>
      </w:tr>
      <w:tr>
        <w:trPr>
          <w:trHeight w:val="421"/>
        </w:trPr>
        <w:tc>
          <w:tcPr>
            <w:tcW w:w="980" w:type="dxa"/>
            <w:vAlign w:val="bottom"/>
            <w:gridSpan w:val="2"/>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4"/>
                <w:szCs w:val="24"/>
                <w:color w:val="auto"/>
              </w:rPr>
            </w:pPr>
          </w:p>
        </w:tc>
      </w:tr>
      <w:tr>
        <w:trPr>
          <w:trHeight w:val="201"/>
        </w:trPr>
        <w:tc>
          <w:tcPr>
            <w:tcW w:w="320" w:type="dxa"/>
            <w:vAlign w:val="bottom"/>
          </w:tcPr>
          <w:p>
            <w:pPr>
              <w:spacing w:after="0"/>
              <w:rPr>
                <w:sz w:val="17"/>
                <w:szCs w:val="17"/>
                <w:color w:val="auto"/>
              </w:rPr>
            </w:pPr>
          </w:p>
        </w:tc>
        <w:tc>
          <w:tcPr>
            <w:tcW w:w="66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spacing w:after="0"/>
              <w:rPr>
                <w:sz w:val="17"/>
                <w:szCs w:val="17"/>
                <w:color w:val="auto"/>
              </w:rPr>
            </w:pPr>
          </w:p>
        </w:tc>
      </w:tr>
      <w:tr>
        <w:trPr>
          <w:trHeight w:val="222"/>
        </w:trPr>
        <w:tc>
          <w:tcPr>
            <w:tcW w:w="32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19"/>
                <w:szCs w:val="19"/>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3580" w:type="dxa"/>
            <w:vAlign w:val="bottom"/>
          </w:tcPr>
          <w:p>
            <w:pPr>
              <w:jc w:val="right"/>
              <w:ind w:right="2712"/>
              <w:spacing w:after="0"/>
              <w:rPr>
                <w:sz w:val="20"/>
                <w:szCs w:val="20"/>
                <w:color w:val="auto"/>
              </w:rPr>
            </w:pPr>
            <w:r>
              <w:rPr>
                <w:rFonts w:ascii="Arial" w:cs="Arial" w:eastAsia="Arial" w:hAnsi="Arial"/>
                <w:sz w:val="18"/>
                <w:szCs w:val="18"/>
                <w:color w:val="auto"/>
              </w:rPr>
              <w:t>]</w:t>
            </w:r>
          </w:p>
        </w:tc>
      </w:tr>
      <w:tr>
        <w:trPr>
          <w:trHeight w:val="421"/>
        </w:trPr>
        <w:tc>
          <w:tcPr>
            <w:tcW w:w="980" w:type="dxa"/>
            <w:vAlign w:val="bottom"/>
            <w:gridSpan w:val="2"/>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4"/>
                <w:szCs w:val="24"/>
                <w:color w:val="auto"/>
              </w:rPr>
            </w:pPr>
          </w:p>
        </w:tc>
      </w:tr>
      <w:tr>
        <w:trPr>
          <w:trHeight w:val="201"/>
        </w:trPr>
        <w:tc>
          <w:tcPr>
            <w:tcW w:w="320" w:type="dxa"/>
            <w:vAlign w:val="bottom"/>
          </w:tcPr>
          <w:p>
            <w:pPr>
              <w:spacing w:after="0"/>
              <w:rPr>
                <w:sz w:val="17"/>
                <w:szCs w:val="17"/>
                <w:color w:val="auto"/>
              </w:rPr>
            </w:pPr>
          </w:p>
        </w:tc>
        <w:tc>
          <w:tcPr>
            <w:tcW w:w="66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spacing w:after="0"/>
              <w:rPr>
                <w:sz w:val="17"/>
                <w:szCs w:val="17"/>
                <w:color w:val="auto"/>
              </w:rPr>
            </w:pPr>
          </w:p>
        </w:tc>
      </w:tr>
      <w:tr>
        <w:trPr>
          <w:trHeight w:val="222"/>
        </w:trPr>
        <w:tc>
          <w:tcPr>
            <w:tcW w:w="32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3580" w:type="dxa"/>
            <w:vAlign w:val="bottom"/>
          </w:tcPr>
          <w:p>
            <w:pPr>
              <w:jc w:val="right"/>
              <w:ind w:right="331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t>Exhibit (h)(1)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Shares of Common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Common Stock or Preferred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131" w:right="2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Shares of Common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Common Stock or Preferred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PennantPark Investment Corporation, a Maryland corporation (the “Company”), confirms its agreement with [ ] (“ [ ]”) and each of the other Underwriters named in Schedule A hereto (collectively, the “Underwriters,” which term shall also include any underwriter substituted as hereinafter</w:t>
      </w:r>
    </w:p>
    <w:p>
      <w:pPr>
        <w:ind w:right="60"/>
        <w:spacing w:after="0" w:line="290" w:lineRule="auto"/>
        <w:rPr>
          <w:sz w:val="20"/>
          <w:szCs w:val="20"/>
          <w:color w:val="auto"/>
        </w:rPr>
      </w:pPr>
      <w:r>
        <w:rPr>
          <w:rFonts w:ascii="Arial" w:cs="Arial" w:eastAsia="Arial" w:hAnsi="Arial"/>
          <w:sz w:val="16"/>
          <w:szCs w:val="16"/>
          <w:color w:val="auto"/>
        </w:rPr>
        <w:t>provided in Section 10 hereof), for whom [ ] are acting as representatives (in such capacity, the “Representatives”), with respect to the issue and sale by the Company and the purchase by the Underwriters, acting severally and not jointly, of the respective numbers of shares of common stock, par value $.001 per share (“Common Stock”), or preferred stock, par value $ per share (“Preferred Stock”), or both, and/or warrants (the “Warrants”) to purchase Common Stock or Preferred Stock, or both, of the Company set forth in said Schedule A and with respect to the grant by the Company to the Underwriters, acting severally and not jointly, of the option described in Section 2(2) hereof to purchase additional Securities (as hereinafter defined) to cover overallotments, if any. The Preferred Stock may be offered in the form of depositary shares (the “Depositary Shares”) represented by depositary receipts (the “Depositary Receipts”).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The Common Stock and, if applicable, the Preferred Stock or the Warrants, [together, with the Depositary Shares and the Depositary Receipts] are hereinafter referred to as the “Securities.” The aforesaid Securities (the “Initial Securities”) to be purchased by the Underwriters and all or any part of the Securities subject to the option described in Section 2(2) hereof (the “Option Securities”) are hereinafter called, collectively, the “Underwritten Securities” and “Warrant Securities” shall mean the Common Stock or Preferred Stock issuable upon exercise of the Warrants. The Common Stock, Preferred Stock and Warrants may be offered either together or separately. Each issue of Preferred Stock may vary, as applicable, as to the specific number of shares, title, issuance price, any redemption or sinking fund requirements, any conversion provisions and sinking fund requirements, if any, and any other variable terms as set forth in the applicable certificate of designation (each, a “Certificate of Designation”) relating to such Preferred Stock. Each issue of Warrants may vary, as applicable, as to the title, specific number of shares of Common Stock or Preferred Stock receivable upon exercise, issuance price, exercise dates, exercise conditions and any other variable terms as set forth in the applicable Warrant Agreement relating to such Warrants.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understands that the Underwriters propose to make a public offering of the Underwritten Securities as soon as the Representatives deem advisable after this Agreement has been executed and delivered.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97" w:name="page298"/>
    <w:bookmarkEnd w:id="297"/>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filed with the Securities and Exchange Commission (the “Commission”) a shelf registration statement on Form N-2 (File No. 333-150033) containing a base prospectus dated (the “Base Prospectus”) to be used in connection with the public offering and sale of the Underwritten Securities and certain of the Company’s debt securities and warrants to purchase debt securities under the Securities Act of 1933, as amended (the “Securities Act”), which registration statement has been declared effective by the Commission. The Company has also filed with the Commission pursuant to Rule 497 a preliminary prospectus supplement to the Base Prospectus dated , (the “Pre-pricing Prospectus Supplement” and together with the Base Prospectus, the “Pre-pricing Prospectus”). Within two (2) days after execution and delivery of this Agreement, the Company will prepare and file a final prospectus supplement to the Base Prospectus in accordance with the provisions of Rule 497 under the Securities Act (the “Prospectus Supplement” and together with the Base Prospectus, the “Prospectus”). Such registration statement, as amended, including all exhibits and schedules thereto, at the time it became effective, including any information deemed to be a part of the registration statement at the time of its effectiveness pursuant to Rule 430A and Rule 497 under the Securities Act, is hereinafter referred to as the “Registration Statement.”</w:t>
      </w:r>
    </w:p>
    <w:p>
      <w:pPr>
        <w:spacing w:after="0" w:line="12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Company has entered into an investment management agreement, dated as of April 17, 2007 (the “Investment Management Agreement”), with PennantPark Investment Advisers, LLC, a Delaware limited liability company registered as an investment adviser (the “Investment Adviser”), under the Investment Advisers Act of 1940, as amended, and the rules and regulations thereunder (collectively, the “Advisers Act”).</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entered into an investment administration agreement, dated as of April 17, 2007 (the “Administration Agreement”), with PennantPark Investment Administration, LLC, a Delaware limited liability Company (the “Administrator”).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the Investment Adviser and the Administrator, jointly and severally, represent and warrant to each Underwriter as of the date hereof, as of the Closing Time referred to in Section 2(3) hereof and as of each Date of Delivery (if any) referred to in Section 2(2) hereof, and agrees with each Underwriter:</w:t>
      </w:r>
    </w:p>
    <w:p>
      <w:pPr>
        <w:spacing w:after="0" w:line="4"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Compliance with Registration Requirements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80" w:firstLine="1"/>
        <w:spacing w:after="0" w:line="254" w:lineRule="auto"/>
        <w:tabs>
          <w:tab w:leader="none" w:pos="113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Company has filed with the Commission pursuant to Section 54(a) of the Investment Company Act of 1940, as amended, and the rules and regulations thereunder (collectively, the “Investment Company Act”), a completed and executed Form N-54A, pursuant to which the Company has elected to be subject to the provisions of Sections 55 through 65 of the Investment Company Act (the “BDC Election”); the Company has not filed with the Commission any notice of withdrawal of the BDC Election; the BDC Election remains in full force and effect, and, to the Company’s knowledge, no order of suspension or revocation of such election under the Investment Company Act has been issued or proceedings therefore initiated or threatened by the Commission.</w:t>
      </w:r>
    </w:p>
    <w:p>
      <w:pPr>
        <w:spacing w:after="0" w:line="63" w:lineRule="exact"/>
        <w:rPr>
          <w:rFonts w:ascii="Arial" w:cs="Arial" w:eastAsia="Arial" w:hAnsi="Arial"/>
          <w:sz w:val="18"/>
          <w:szCs w:val="18"/>
          <w:color w:val="auto"/>
        </w:rPr>
      </w:pPr>
    </w:p>
    <w:p>
      <w:pPr>
        <w:ind w:left="920" w:right="100" w:firstLine="1"/>
        <w:spacing w:after="0" w:line="306" w:lineRule="auto"/>
        <w:tabs>
          <w:tab w:leader="none" w:pos="117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Company is eligible to use Form N-2.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by the Commission.</w:t>
      </w:r>
    </w:p>
    <w:p>
      <w:pPr>
        <w:spacing w:after="0" w:line="25" w:lineRule="exact"/>
        <w:rPr>
          <w:rFonts w:ascii="Arial" w:cs="Arial" w:eastAsia="Arial" w:hAnsi="Arial"/>
          <w:sz w:val="16"/>
          <w:szCs w:val="16"/>
          <w:color w:val="auto"/>
        </w:rPr>
      </w:pPr>
    </w:p>
    <w:p>
      <w:pPr>
        <w:ind w:left="920" w:right="80" w:firstLine="1"/>
        <w:spacing w:after="0" w:line="259" w:lineRule="auto"/>
        <w:tabs>
          <w:tab w:leader="none" w:pos="122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Registration Statement complies in all material respects with the requirements of the Securities Act and the 1940 Act and does not contain an untrue statement of a material fact or omit to state a material fact required to be stated therein or necessary to make the statements therein not misleading.</w:t>
      </w:r>
    </w:p>
    <w:p>
      <w:pPr>
        <w:spacing w:after="0" w:line="59" w:lineRule="exact"/>
        <w:rPr>
          <w:sz w:val="20"/>
          <w:szCs w:val="20"/>
          <w:color w:val="auto"/>
        </w:rPr>
      </w:pPr>
    </w:p>
    <w:p>
      <w:pPr>
        <w:ind w:left="920" w:firstLine="1"/>
        <w:spacing w:after="0" w:line="259" w:lineRule="auto"/>
        <w:tabs>
          <w:tab w:leader="none" w:pos="122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 of the Applicable Time, as defined below, the Prospectus and the Pre-pricing Prospectus, or any amendment thereto, complied when so filed in all material respects with the Securities Act and the 1940 Act except for any corrections to the Pre-pricing Prospectus that were made in the Prospectus or any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298" w:name="page299"/>
    <w:bookmarkEnd w:id="298"/>
    <w:p>
      <w:pPr>
        <w:ind w:left="466"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thereto. The Prospectus and any amendment thereto does not include an untrue statement of a material fact or omit to state a material fact necessary in order to make the statements therein, in the light of the circumstances under which they were made, not misleading.</w:t>
      </w:r>
    </w:p>
    <w:p>
      <w:pPr>
        <w:sectPr>
          <w:pgSz w:w="11900" w:h="16838" w:orient="portrait"/>
          <w:cols w:equalWidth="0" w:num="1">
            <w:col w:w="10966"/>
          </w:cols>
          <w:pgMar w:left="694" w:top="280" w:right="239" w:bottom="1440" w:gutter="0" w:footer="0" w:header="0"/>
        </w:sectPr>
      </w:pPr>
    </w:p>
    <w:p>
      <w:pPr>
        <w:spacing w:after="0" w:line="4"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As used in this subsection and elsewhere in this Agreement, “Applicable Time” means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[a.m.][p.m.] (Eastern time)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or such other</w:t>
      </w:r>
    </w:p>
    <w:p>
      <w:pPr>
        <w:spacing w:after="0" w:line="49" w:lineRule="exact"/>
        <w:rPr>
          <w:sz w:val="20"/>
          <w:szCs w:val="20"/>
          <w:color w:val="auto"/>
        </w:rPr>
      </w:pPr>
    </w:p>
    <w:p>
      <w:pPr>
        <w:sectPr>
          <w:pgSz w:w="11900" w:h="16838" w:orient="portrait"/>
          <w:cols w:equalWidth="0" w:num="3">
            <w:col w:w="6546" w:space="580"/>
            <w:col w:w="2100" w:space="580"/>
            <w:col w:w="1160"/>
          </w:cols>
          <w:pgMar w:left="694" w:top="280" w:right="239" w:bottom="1440" w:gutter="0" w:footer="0" w:header="0"/>
          <w:type w:val="continuous"/>
        </w:sectPr>
      </w:pPr>
    </w:p>
    <w:p>
      <w:pPr>
        <w:ind w:left="466"/>
        <w:spacing w:after="0"/>
        <w:rPr>
          <w:sz w:val="20"/>
          <w:szCs w:val="20"/>
          <w:color w:val="auto"/>
        </w:rPr>
      </w:pPr>
      <w:r>
        <w:rPr>
          <w:rFonts w:ascii="Arial" w:cs="Arial" w:eastAsia="Arial" w:hAnsi="Arial"/>
          <w:sz w:val="15"/>
          <w:szCs w:val="15"/>
          <w:color w:val="auto"/>
        </w:rPr>
        <w:t>time as agreed by the Company and the Representatives.</w:t>
      </w:r>
    </w:p>
    <w:p>
      <w:pPr>
        <w:sectPr>
          <w:pgSz w:w="11900" w:h="16838" w:orient="portrait"/>
          <w:cols w:equalWidth="0" w:num="1">
            <w:col w:w="10966"/>
          </w:cols>
          <w:pgMar w:left="694" w:top="280" w:right="239" w:bottom="1440" w:gutter="0" w:footer="0" w:header="0"/>
          <w:type w:val="continuous"/>
        </w:sectPr>
      </w:pPr>
    </w:p>
    <w:p>
      <w:pPr>
        <w:spacing w:after="0" w:line="118" w:lineRule="exact"/>
        <w:rPr>
          <w:sz w:val="20"/>
          <w:szCs w:val="20"/>
          <w:color w:val="auto"/>
        </w:rPr>
      </w:pPr>
    </w:p>
    <w:p>
      <w:pPr>
        <w:ind w:left="466" w:right="160" w:firstLine="1"/>
        <w:spacing w:after="0" w:line="268" w:lineRule="auto"/>
        <w:tabs>
          <w:tab w:leader="none" w:pos="7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its officers and directors, in their capacities as such, are in compliance in all material respects with the applicable provisions of the Sarbanes-Oxley Act of 2002 and the rules and regulations promulgated thereunder.</w:t>
      </w:r>
    </w:p>
    <w:p>
      <w:pPr>
        <w:spacing w:after="0" w:line="51" w:lineRule="exact"/>
        <w:rPr>
          <w:sz w:val="20"/>
          <w:szCs w:val="20"/>
          <w:color w:val="auto"/>
        </w:rPr>
      </w:pPr>
    </w:p>
    <w:p>
      <w:pPr>
        <w:ind w:left="466"/>
        <w:spacing w:after="0" w:line="256"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Prospectus, Pre-pricing Prospectus or any amendments thereto made in reliance upon and in conformity with written information furnished to the Company by or on behalf of any Underwriter through the Representatives expressly for use in the Registration Statement (or any amendment thereto), the Prospectus, the Pre-pricing Prospectus or any amendment or supplement thereto.</w:t>
      </w:r>
    </w:p>
    <w:p>
      <w:pPr>
        <w:spacing w:after="0" w:line="62" w:lineRule="exact"/>
        <w:rPr>
          <w:sz w:val="20"/>
          <w:szCs w:val="20"/>
          <w:color w:val="auto"/>
        </w:rPr>
      </w:pPr>
    </w:p>
    <w:p>
      <w:pPr>
        <w:ind w:left="446" w:hanging="446"/>
        <w:spacing w:after="0"/>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w:t>
      </w:r>
    </w:p>
    <w:p>
      <w:pPr>
        <w:spacing w:after="0" w:line="90" w:lineRule="exact"/>
        <w:rPr>
          <w:sz w:val="20"/>
          <w:szCs w:val="20"/>
          <w:color w:val="auto"/>
        </w:rPr>
      </w:pPr>
    </w:p>
    <w:p>
      <w:pPr>
        <w:ind w:left="466" w:right="120"/>
        <w:spacing w:after="0" w:line="332" w:lineRule="auto"/>
        <w:rPr>
          <w:sz w:val="20"/>
          <w:szCs w:val="20"/>
          <w:color w:val="auto"/>
        </w:rPr>
      </w:pPr>
      <w:r>
        <w:rPr>
          <w:rFonts w:ascii="Arial" w:cs="Arial" w:eastAsia="Arial" w:hAnsi="Arial"/>
          <w:sz w:val="16"/>
          <w:szCs w:val="16"/>
          <w:color w:val="auto"/>
        </w:rPr>
        <w:t>The accountants who certified the financial statements included in the Registration Statement are independent public accountants as required by the Securities Act, the Securities Act Regulations and the Securities Exchange Act of 1934, as amended (the “Securities Exchange Act”).</w:t>
      </w:r>
    </w:p>
    <w:p>
      <w:pPr>
        <w:spacing w:after="0" w:line="4" w:lineRule="exact"/>
        <w:rPr>
          <w:sz w:val="20"/>
          <w:szCs w:val="20"/>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91" w:lineRule="auto"/>
        <w:rPr>
          <w:sz w:val="20"/>
          <w:szCs w:val="20"/>
          <w:color w:val="auto"/>
        </w:rPr>
      </w:pPr>
      <w:r>
        <w:rPr>
          <w:rFonts w:ascii="Arial" w:cs="Arial" w:eastAsia="Arial" w:hAnsi="Arial"/>
          <w:sz w:val="16"/>
          <w:szCs w:val="16"/>
          <w:color w:val="auto"/>
        </w:rPr>
        <w:t>The financial statements of the Company, together with related notes, as set forth in the Registration Statement present fairly in all material respects the financial position and the results of operations of the Company at the indicated dates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in all material respects of results for such periods have been made; and the selected financial information included in the Prospectus presents fairly in all material respects the information shown therein and has been compiled on a basis consistent with the financial statements presented therein.</w:t>
      </w:r>
    </w:p>
    <w:p>
      <w:pPr>
        <w:spacing w:after="0" w:line="39" w:lineRule="exact"/>
        <w:rPr>
          <w:sz w:val="20"/>
          <w:szCs w:val="20"/>
          <w:color w:val="auto"/>
        </w:rPr>
      </w:pPr>
    </w:p>
    <w:p>
      <w:pPr>
        <w:ind w:left="446" w:hanging="446"/>
        <w:spacing w:after="0"/>
        <w:tabs>
          <w:tab w:leader="none" w:pos="446"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left="466" w:right="80"/>
        <w:spacing w:after="0" w:line="290" w:lineRule="auto"/>
        <w:rPr>
          <w:sz w:val="20"/>
          <w:szCs w:val="20"/>
          <w:color w:val="auto"/>
        </w:rPr>
      </w:pPr>
      <w:r>
        <w:rPr>
          <w:rFonts w:ascii="Arial" w:cs="Arial" w:eastAsia="Arial" w:hAnsi="Arial"/>
          <w:sz w:val="16"/>
          <w:szCs w:val="16"/>
          <w:color w:val="auto"/>
        </w:rPr>
        <w:t>Since the respective dates as of which information is given in the Prospectus, the Pre-pricing Prospectus and any amendments thereto, except as otherwise stated therein, (i) there has been no material adverse change in the financial condition, earnings, business or operations of the Company and its Subsidiaries considered as one enterprise, whether or not arising in the ordinary course of business (a “Material Adverse Effect”), (ii) neither the Company nor any of its Subsidiaries has incurred any material liability or obligation, indirect, direct or contingent, not in the ordinary course of business nor entered into any material transaction or agreement no in the ordinary course of business; and (iii) except as disclosed in the Pre-pricing Prospectus and the Prospectus, as the case may be, there has been no dividend or distribution of any kind declared, paid or made by the Company or repurchase or redemption by the Company of any class of capital stock.</w:t>
      </w:r>
    </w:p>
    <w:p>
      <w:pPr>
        <w:spacing w:after="0" w:line="37" w:lineRule="exact"/>
        <w:rPr>
          <w:sz w:val="20"/>
          <w:szCs w:val="20"/>
          <w:color w:val="auto"/>
        </w:rPr>
      </w:pPr>
    </w:p>
    <w:p>
      <w:pPr>
        <w:ind w:left="446" w:hanging="446"/>
        <w:spacing w:after="0"/>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55" w:lineRule="auto"/>
        <w:rPr>
          <w:sz w:val="20"/>
          <w:szCs w:val="20"/>
          <w:color w:val="auto"/>
        </w:rPr>
      </w:pPr>
      <w:r>
        <w:rPr>
          <w:rFonts w:ascii="Arial" w:cs="Arial" w:eastAsia="Arial" w:hAnsi="Arial"/>
          <w:sz w:val="18"/>
          <w:szCs w:val="18"/>
          <w:color w:val="auto"/>
        </w:rPr>
        <w:t>The Company has been duly organized and is validly existing as a corporation in good standing under the laws of the State of Maryland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except where the failure so to qualify or to be in good standing would not reasonably be expected to result in a Material Adverse Effect.</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type w:val="continuous"/>
        </w:sectPr>
      </w:pPr>
    </w:p>
    <w:bookmarkStart w:id="299" w:name="page300"/>
    <w:bookmarkEnd w:id="299"/>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6" w:hanging="219"/>
        <w:spacing w:after="0"/>
        <w:tabs>
          <w:tab w:leader="none" w:pos="68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Company’s only subsidiaries are [insert subsidiaries] (each, a “Subsidiary” and collectively, the “Subsidiaries”).</w:t>
      </w:r>
    </w:p>
    <w:p>
      <w:pPr>
        <w:spacing w:after="0" w:line="90" w:lineRule="exact"/>
        <w:rPr>
          <w:rFonts w:ascii="Arial" w:cs="Arial" w:eastAsia="Arial" w:hAnsi="Arial"/>
          <w:sz w:val="18"/>
          <w:szCs w:val="18"/>
          <w:color w:val="auto"/>
        </w:rPr>
      </w:pPr>
    </w:p>
    <w:p>
      <w:pPr>
        <w:ind w:left="466" w:right="20" w:firstLine="1"/>
        <w:spacing w:after="0" w:line="294" w:lineRule="auto"/>
        <w:tabs>
          <w:tab w:leader="none" w:pos="725"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Pre-pricing Prospectus and the Prospectus, as the case may be, and is duly qualified as a foreign corporation, limited liability company or limited partnership to transact business and is in good standing in each jurisdiction in which such qualification is required, except where the failure to be so qualified or to be in good standing would not reasonably be expected to result in a Material Adverse Effect.</w:t>
      </w:r>
    </w:p>
    <w:p>
      <w:pPr>
        <w:spacing w:after="0" w:line="34" w:lineRule="exact"/>
        <w:rPr>
          <w:rFonts w:ascii="Arial" w:cs="Arial" w:eastAsia="Arial" w:hAnsi="Arial"/>
          <w:sz w:val="16"/>
          <w:szCs w:val="16"/>
          <w:color w:val="auto"/>
        </w:rPr>
      </w:pPr>
    </w:p>
    <w:p>
      <w:pPr>
        <w:ind w:left="466" w:right="20" w:firstLine="1"/>
        <w:spacing w:after="0" w:line="298" w:lineRule="auto"/>
        <w:tabs>
          <w:tab w:leader="none" w:pos="773"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Except as otherwise disclosed in the Pre-pricing Prospectus and the Prospectus, as the case may be, all of the issued and outstanding capital stock of each such Subsidiary has been duly authorized and validly issued, is fully paid and non-assessable and is owned directly or indirectly by the Company free and clear of any security interest, mortgage, pledge, lien encumbrance, claim or equity; none of the outstanding shares of capital stock of any of the Subsidiaries was issued in violation of the preemptive or other similar rights of any securityholder of such Subsidiary.</w:t>
      </w:r>
    </w:p>
    <w:p>
      <w:pPr>
        <w:spacing w:after="0" w:line="31" w:lineRule="exact"/>
        <w:rPr>
          <w:rFonts w:ascii="Arial" w:cs="Arial" w:eastAsia="Arial" w:hAnsi="Arial"/>
          <w:sz w:val="16"/>
          <w:szCs w:val="16"/>
          <w:color w:val="auto"/>
        </w:rPr>
      </w:pPr>
    </w:p>
    <w:p>
      <w:pPr>
        <w:ind w:left="466" w:firstLine="1"/>
        <w:spacing w:after="0" w:line="259" w:lineRule="auto"/>
        <w:tabs>
          <w:tab w:leader="none" w:pos="76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Except as (a) otherwise disclosed in the Pre-pricing Prospectus and the Prospectus, as the case may be, and (b) portfolio investments made after , the Company does not own, directly or indirectly, any shares of stock or any other equity or debt securities of any corporation or have any equity or debt interest in any firm, partnership, joint venture, association or other entity.</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90" w:lineRule="exact"/>
        <w:rPr>
          <w:sz w:val="20"/>
          <w:szCs w:val="20"/>
          <w:color w:val="auto"/>
        </w:rPr>
      </w:pPr>
    </w:p>
    <w:p>
      <w:pPr>
        <w:ind w:left="466"/>
        <w:spacing w:after="0" w:line="255" w:lineRule="auto"/>
        <w:rPr>
          <w:sz w:val="20"/>
          <w:szCs w:val="20"/>
          <w:color w:val="auto"/>
        </w:rPr>
      </w:pPr>
      <w:r>
        <w:rPr>
          <w:rFonts w:ascii="Arial" w:cs="Arial" w:eastAsia="Arial" w:hAnsi="Arial"/>
          <w:sz w:val="18"/>
          <w:szCs w:val="18"/>
          <w:color w:val="auto"/>
        </w:rPr>
        <w:t>The authorized, issued and outstanding capital stock of the Company is as set forth in the Pre-pricing Prospectus and the Prospectus in the column entitled “Actual” under the caption “Capitalization” (except for subsequent issuances, if any, pursuant to this Agreement or pursuant to the Company’s Dividend Reinvestment Plan.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w:t>
      </w:r>
    </w:p>
    <w:p>
      <w:pPr>
        <w:spacing w:after="0" w:line="62" w:lineRule="exact"/>
        <w:rPr>
          <w:sz w:val="20"/>
          <w:szCs w:val="20"/>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6" w:hanging="219"/>
        <w:spacing w:after="0"/>
        <w:tabs>
          <w:tab w:leader="none" w:pos="68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466" w:right="300" w:firstLine="1"/>
        <w:spacing w:after="0" w:line="283" w:lineRule="auto"/>
        <w:tabs>
          <w:tab w:leader="none" w:pos="72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Investment Management Agreement and the Administration Agreement have each been duly authorized, executed and delivered by the Company, and assuming due authorization, execution and delivery by the Investment Adviser and Administrator, respectively, each are valid and binding obligations of the Company, enforceable against the Company in accordance with their terms, except as the enforcement thereof may be limited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w:t>
      </w:r>
    </w:p>
    <w:p>
      <w:pPr>
        <w:spacing w:after="0" w:line="1" w:lineRule="exact"/>
        <w:rPr>
          <w:rFonts w:ascii="Arial" w:cs="Arial" w:eastAsia="Arial" w:hAnsi="Arial"/>
          <w:sz w:val="16"/>
          <w:szCs w:val="16"/>
          <w:color w:val="auto"/>
        </w:rPr>
      </w:pPr>
    </w:p>
    <w:p>
      <w:pPr>
        <w:ind w:left="766" w:hanging="299"/>
        <w:spacing w:after="0"/>
        <w:tabs>
          <w:tab w:leader="none" w:pos="76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principles of public policy.</w:t>
      </w:r>
    </w:p>
    <w:p>
      <w:pPr>
        <w:spacing w:after="0" w:line="84" w:lineRule="exact"/>
        <w:rPr>
          <w:sz w:val="20"/>
          <w:szCs w:val="20"/>
          <w:color w:val="auto"/>
        </w:rPr>
      </w:pPr>
    </w:p>
    <w:p>
      <w:pPr>
        <w:ind w:left="466" w:right="80" w:firstLine="1"/>
        <w:spacing w:after="0" w:line="268" w:lineRule="auto"/>
        <w:tabs>
          <w:tab w:leader="none" w:pos="7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the Company prior to the issuance of any applicable Warrants and when executed and delivered by the Warrant Agent will</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300" w:name="page301"/>
    <w:bookmarkEnd w:id="300"/>
    <w:p>
      <w:pPr>
        <w:ind w:left="466" w:right="1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constitute a valid and binding obligation of the Company, enforceable against the Company in accordance with its terms, except as the enforcement thereof may be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w:t>
      </w:r>
    </w:p>
    <w:p>
      <w:pPr>
        <w:spacing w:after="0" w:line="3" w:lineRule="exact"/>
        <w:rPr>
          <w:sz w:val="20"/>
          <w:szCs w:val="20"/>
          <w:color w:val="auto"/>
        </w:rPr>
      </w:pPr>
    </w:p>
    <w:p>
      <w:pPr>
        <w:ind w:left="766" w:hanging="299"/>
        <w:spacing w:after="0"/>
        <w:tabs>
          <w:tab w:leader="none" w:pos="76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principles of public policy.</w:t>
      </w:r>
    </w:p>
    <w:p>
      <w:pPr>
        <w:spacing w:after="0" w:line="83" w:lineRule="exact"/>
        <w:rPr>
          <w:rFonts w:ascii="Arial" w:cs="Arial" w:eastAsia="Arial" w:hAnsi="Arial"/>
          <w:sz w:val="18"/>
          <w:szCs w:val="18"/>
          <w:color w:val="auto"/>
        </w:rPr>
      </w:pPr>
    </w:p>
    <w:p>
      <w:pPr>
        <w:ind w:left="466" w:right="20" w:firstLine="1"/>
        <w:spacing w:after="0" w:line="289" w:lineRule="auto"/>
        <w:tabs>
          <w:tab w:leader="none" w:pos="76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deposit agreement (the “Deposit Agreement”), pursuant to which Preferred Stock is deposited among the Company, the financial institution named in the Deposit Agreement (the “Deposit Agent”) and the holders of the Depositary Receipts issued thereunder, will have been duly authorized, executed and delivered by the Company prior to the issuance of any applicable Underwritten Securities, and when executed by the Deposit Agent, will constitute a valid and binding obligation of the Company, enforceable against the Company in accordance with its terms, except as the enforcement thereof may be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37" w:lineRule="exact"/>
        <w:rPr>
          <w:rFonts w:ascii="Arial" w:cs="Arial" w:eastAsia="Arial" w:hAnsi="Arial"/>
          <w:sz w:val="16"/>
          <w:szCs w:val="16"/>
          <w:color w:val="auto"/>
        </w:rPr>
      </w:pPr>
    </w:p>
    <w:p>
      <w:pPr>
        <w:ind w:left="446" w:hanging="446"/>
        <w:spacing w:after="0"/>
        <w:tabs>
          <w:tab w:leader="none" w:pos="446"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Authorization and Description of Underwritten 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right="180" w:firstLine="1"/>
        <w:spacing w:after="0" w:line="298" w:lineRule="auto"/>
        <w:tabs>
          <w:tab w:leader="none" w:pos="676"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Underwritten Securities being sold pursuant to this Agreement and the Warrant Securities issuable upon exercise of the Warrants have been duly authorized by the Company and, when issued and delivered by the Company pursuant to the provisions of this Agreement, the Warrant Agreement [or the Deposit Agreement] relating thereto, against payment of the consideration set forth in this Agreement and such Warrant Agreement [or Deposit Agreement], will be validly issued, fully paid and non-assessable.</w:t>
      </w:r>
    </w:p>
    <w:p>
      <w:pPr>
        <w:spacing w:after="0" w:line="31" w:lineRule="exact"/>
        <w:rPr>
          <w:rFonts w:ascii="Arial" w:cs="Arial" w:eastAsia="Arial" w:hAnsi="Arial"/>
          <w:sz w:val="16"/>
          <w:szCs w:val="16"/>
          <w:color w:val="auto"/>
        </w:rPr>
      </w:pPr>
    </w:p>
    <w:p>
      <w:pPr>
        <w:ind w:left="466" w:right="20" w:firstLine="1"/>
        <w:spacing w:after="0" w:line="259" w:lineRule="auto"/>
        <w:tabs>
          <w:tab w:leader="none" w:pos="72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Underwritten Securities being sold pursuant to this Agreement conform in all material respects to the statements relating thereto contained in the Prospectus, and the issuance of the Underwritten Securities is not subject to preemptive or other similar rights of any securityholder of the Company.</w:t>
      </w:r>
    </w:p>
    <w:p>
      <w:pPr>
        <w:spacing w:after="0" w:line="59" w:lineRule="exact"/>
        <w:rPr>
          <w:sz w:val="20"/>
          <w:szCs w:val="20"/>
          <w:color w:val="auto"/>
        </w:rPr>
      </w:pPr>
    </w:p>
    <w:p>
      <w:pPr>
        <w:ind w:left="446" w:hanging="446"/>
        <w:spacing w:after="0"/>
        <w:tabs>
          <w:tab w:leader="none" w:pos="446"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No Defaults or Violations.</w:t>
      </w:r>
    </w:p>
    <w:p>
      <w:pPr>
        <w:spacing w:after="0" w:line="90" w:lineRule="exact"/>
        <w:rPr>
          <w:rFonts w:ascii="Arial" w:cs="Arial" w:eastAsia="Arial" w:hAnsi="Arial"/>
          <w:sz w:val="18"/>
          <w:szCs w:val="18"/>
          <w:color w:val="auto"/>
        </w:rPr>
      </w:pPr>
    </w:p>
    <w:p>
      <w:pPr>
        <w:ind w:left="686" w:hanging="219"/>
        <w:spacing w:after="0"/>
        <w:tabs>
          <w:tab w:leader="none" w:pos="686"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in violation of its charter, by-laws or other organizational documents.</w:t>
      </w:r>
    </w:p>
    <w:p>
      <w:pPr>
        <w:spacing w:after="0" w:line="90" w:lineRule="exact"/>
        <w:rPr>
          <w:rFonts w:ascii="Arial" w:cs="Arial" w:eastAsia="Arial" w:hAnsi="Arial"/>
          <w:sz w:val="18"/>
          <w:szCs w:val="18"/>
          <w:color w:val="auto"/>
        </w:rPr>
      </w:pPr>
    </w:p>
    <w:p>
      <w:pPr>
        <w:jc w:val="both"/>
        <w:ind w:left="466" w:right="60" w:firstLine="1"/>
        <w:spacing w:after="0" w:line="298" w:lineRule="auto"/>
        <w:tabs>
          <w:tab w:leader="none" w:pos="72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in default in the performance or observance of any of (A) the terms of any agreement filed as an exhibit to the Registration Statement, (B) any federal or state statute, law, rule, regulation, or any judgment, order or decree of any federal or state court, regulatory body, administrative agency or governmental body having jurisdiction over the Company, its Subsidiaries or any of their respective properties, as applicable, except any such default or observance which would not result in a Material Adverse Effect.</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Absence of Proceedings</w:t>
      </w:r>
      <w:r>
        <w:rPr>
          <w:rFonts w:ascii="Arial" w:cs="Arial" w:eastAsia="Arial" w:hAnsi="Arial"/>
          <w:sz w:val="18"/>
          <w:szCs w:val="18"/>
          <w:color w:val="auto"/>
        </w:rPr>
        <w:t>.</w:t>
      </w:r>
    </w:p>
    <w:p>
      <w:pPr>
        <w:spacing w:after="0" w:line="90"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Other than as disclosed in the Prospectus and Pre-pricing Prospectus, there are no actions, suits or proceedings or, to the knowledge of the Company, inquiries or investigations, before or brought by any court or governmental agency or body, domestic or foreign, now pending, or, to the knowledge of the Company, threatened, against or affecting the Company or any of the Subsidiaries, which are required to be disclosed in the Prospectus and the Pre-pricing Prospectus, or which would, individually or in the aggregate result in a Material Adverse Effect.</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301" w:name="page302"/>
    <w:bookmarkEnd w:id="301"/>
    <w:p>
      <w:pPr>
        <w:ind w:left="446" w:hanging="446"/>
        <w:spacing w:after="0"/>
        <w:tabs>
          <w:tab w:leader="none" w:pos="446"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Possession of Intellectual Property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firstLine="1"/>
        <w:spacing w:after="0" w:line="291" w:lineRule="auto"/>
        <w:tabs>
          <w:tab w:leader="none" w:pos="676"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or proposed to be operated by them immediately following the offering of the Underwritten Securities as described in the Prospectus, except where the failure to own or possess or otherwise be able to acquire such rights in a timely manner would not otherwise reasonably be expected to result in a Material Adverse Effect.</w:t>
      </w:r>
    </w:p>
    <w:p>
      <w:pPr>
        <w:spacing w:after="0" w:line="39" w:lineRule="exact"/>
        <w:rPr>
          <w:rFonts w:ascii="Arial" w:cs="Arial" w:eastAsia="Arial" w:hAnsi="Arial"/>
          <w:sz w:val="16"/>
          <w:szCs w:val="16"/>
          <w:color w:val="auto"/>
        </w:rPr>
      </w:pPr>
    </w:p>
    <w:p>
      <w:pPr>
        <w:ind w:left="466" w:right="20" w:firstLine="1"/>
        <w:spacing w:after="0" w:line="255" w:lineRule="auto"/>
        <w:tabs>
          <w:tab w:leader="none" w:pos="72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received any notice of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61" w:lineRule="exact"/>
        <w:rPr>
          <w:rFonts w:ascii="Arial" w:cs="Arial" w:eastAsia="Arial" w:hAnsi="Arial"/>
          <w:sz w:val="18"/>
          <w:szCs w:val="18"/>
          <w:color w:val="auto"/>
        </w:rPr>
      </w:pPr>
    </w:p>
    <w:p>
      <w:pPr>
        <w:ind w:left="446" w:hanging="446"/>
        <w:spacing w:after="0"/>
        <w:tabs>
          <w:tab w:leader="none" w:pos="446"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p>
    <w:p>
      <w:pPr>
        <w:spacing w:after="0" w:line="90" w:lineRule="exact"/>
        <w:rPr>
          <w:sz w:val="20"/>
          <w:szCs w:val="20"/>
          <w:color w:val="auto"/>
        </w:rPr>
      </w:pPr>
    </w:p>
    <w:p>
      <w:pPr>
        <w:ind w:left="466" w:right="60"/>
        <w:spacing w:after="0" w:line="283" w:lineRule="auto"/>
        <w:rPr>
          <w:sz w:val="20"/>
          <w:szCs w:val="20"/>
          <w:color w:val="auto"/>
        </w:rPr>
      </w:pPr>
      <w:r>
        <w:rPr>
          <w:rFonts w:ascii="Arial" w:cs="Arial" w:eastAsia="Arial" w:hAnsi="Arial"/>
          <w:sz w:val="16"/>
          <w:szCs w:val="16"/>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Underwritten Securities hereunder or the consummation of the transactions contemplated by this Agreement, [the Deposit Agreement] or the Warrant Agreement, as applicable, except (i) such as have been already obtained under the Securities Act, the Securities Act or the 1940 Act and</w:t>
      </w:r>
    </w:p>
    <w:p>
      <w:pPr>
        <w:spacing w:after="0" w:line="3" w:lineRule="exact"/>
        <w:rPr>
          <w:sz w:val="20"/>
          <w:szCs w:val="20"/>
          <w:color w:val="auto"/>
        </w:rPr>
      </w:pPr>
    </w:p>
    <w:p>
      <w:pPr>
        <w:jc w:val="both"/>
        <w:ind w:left="466" w:right="40" w:firstLine="1"/>
        <w:spacing w:after="0" w:line="352" w:lineRule="auto"/>
        <w:tabs>
          <w:tab w:leader="none" w:pos="725" w:val="left"/>
        </w:tabs>
        <w:numPr>
          <w:ilvl w:val="1"/>
          <w:numId w:val="243"/>
        </w:numPr>
        <w:rPr>
          <w:rFonts w:ascii="Arial" w:cs="Arial" w:eastAsia="Arial" w:hAnsi="Arial"/>
          <w:sz w:val="15"/>
          <w:szCs w:val="15"/>
          <w:color w:val="auto"/>
        </w:rPr>
      </w:pPr>
      <w:r>
        <w:rPr>
          <w:rFonts w:ascii="Arial" w:cs="Arial" w:eastAsia="Arial" w:hAnsi="Arial"/>
          <w:sz w:val="15"/>
          <w:szCs w:val="15"/>
          <w:color w:val="auto"/>
        </w:rPr>
        <w:t>such as may be required by the various state Blue Sky or securities laws, the rules and regulations of the Financial Industry Regulatory Authority (“FINRA”) or the securities laws of any jurisdiction outside of the United States in connection with the offer and sale of the Underwritten Securities.</w:t>
      </w:r>
    </w:p>
    <w:p>
      <w:pPr>
        <w:ind w:left="446" w:hanging="446"/>
        <w:spacing w:after="0"/>
        <w:tabs>
          <w:tab w:leader="none" w:pos="446"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w:t>
      </w:r>
    </w:p>
    <w:p>
      <w:pPr>
        <w:spacing w:after="0" w:line="90" w:lineRule="exact"/>
        <w:rPr>
          <w:sz w:val="20"/>
          <w:szCs w:val="20"/>
          <w:color w:val="auto"/>
        </w:rPr>
      </w:pPr>
    </w:p>
    <w:p>
      <w:pPr>
        <w:ind w:left="466" w:right="140"/>
        <w:spacing w:after="0" w:line="256" w:lineRule="auto"/>
        <w:rPr>
          <w:sz w:val="20"/>
          <w:szCs w:val="20"/>
          <w:color w:val="auto"/>
        </w:rPr>
      </w:pPr>
      <w:r>
        <w:rPr>
          <w:rFonts w:ascii="Arial" w:cs="Arial" w:eastAsia="Arial" w:hAnsi="Arial"/>
          <w:sz w:val="18"/>
          <w:szCs w:val="18"/>
          <w:color w:val="auto"/>
        </w:rPr>
        <w:t>Neither the Company nor to its knowledge any affiliate of the Company has taken, nor will the Company or any affiliate take, directly or indirectly, any action which is designed to or which has constituted or which would be expected to cause or result in stabilization or manipulation of the price of any security of the Company to facilitate the sale or resale of the Underwritten Securities in violation of any law, statute, regulation or rule applicable to the Company or its affiliates.</w:t>
      </w:r>
    </w:p>
    <w:p>
      <w:pPr>
        <w:spacing w:after="0" w:line="62" w:lineRule="exact"/>
        <w:rPr>
          <w:sz w:val="20"/>
          <w:szCs w:val="20"/>
          <w:color w:val="auto"/>
        </w:rPr>
      </w:pPr>
    </w:p>
    <w:p>
      <w:pPr>
        <w:ind w:left="446" w:hanging="446"/>
        <w:spacing w:after="0"/>
        <w:tabs>
          <w:tab w:leader="none" w:pos="446"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ind w:left="466" w:right="40"/>
        <w:spacing w:after="0" w:line="256" w:lineRule="auto"/>
        <w:rPr>
          <w:sz w:val="20"/>
          <w:szCs w:val="20"/>
          <w:color w:val="auto"/>
        </w:rPr>
      </w:pPr>
      <w:r>
        <w:rPr>
          <w:rFonts w:ascii="Arial" w:cs="Arial" w:eastAsia="Arial" w:hAnsi="Arial"/>
          <w:sz w:val="18"/>
          <w:szCs w:val="18"/>
          <w:color w:val="auto"/>
        </w:rPr>
        <w:t>The Company owns, or has obtained valid and enforceable licenses for, or other rights to use, the inventions, patent applications, patents, trademarks (both registered and unregistered), tradenames, 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62" w:lineRule="exact"/>
        <w:rPr>
          <w:sz w:val="20"/>
          <w:szCs w:val="20"/>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w:t>
      </w:r>
    </w:p>
    <w:p>
      <w:pPr>
        <w:spacing w:after="0" w:line="90" w:lineRule="exact"/>
        <w:rPr>
          <w:sz w:val="20"/>
          <w:szCs w:val="20"/>
          <w:color w:val="auto"/>
        </w:rPr>
      </w:pPr>
    </w:p>
    <w:p>
      <w:pPr>
        <w:ind w:left="466" w:right="100"/>
        <w:spacing w:after="0" w:line="370" w:lineRule="auto"/>
        <w:rPr>
          <w:sz w:val="20"/>
          <w:szCs w:val="20"/>
          <w:color w:val="auto"/>
        </w:rPr>
      </w:pPr>
      <w:r>
        <w:rPr>
          <w:rFonts w:ascii="Arial" w:cs="Arial" w:eastAsia="Arial" w:hAnsi="Arial"/>
          <w:sz w:val="15"/>
          <w:szCs w:val="15"/>
          <w:color w:val="auto"/>
        </w:rPr>
        <w:t>The Company is not and, after giving effect to the offering and sale of Underwritten Securities, will not be a “registered management investment company” or an entity “controlled” by a “registered management investment company,” as such terms are used under the Investment Company Act.</w:t>
      </w:r>
    </w:p>
    <w:p>
      <w:pPr>
        <w:spacing w:after="0" w:line="4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80" w:right="239" w:bottom="1440" w:gutter="0" w:footer="0" w:header="0"/>
        </w:sectPr>
      </w:pPr>
    </w:p>
    <w:bookmarkStart w:id="302" w:name="page303"/>
    <w:bookmarkEnd w:id="302"/>
    <w:p>
      <w:pPr>
        <w:ind w:left="446" w:hanging="446"/>
        <w:spacing w:after="0"/>
        <w:tabs>
          <w:tab w:leader="none" w:pos="446"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w:t>
      </w:r>
      <w:r>
        <w:rPr>
          <w:rFonts w:ascii="Arial" w:cs="Arial" w:eastAsia="Arial" w:hAnsi="Arial"/>
          <w:sz w:val="18"/>
          <w:szCs w:val="18"/>
          <w:color w:val="auto"/>
        </w:rPr>
        <w:t>.</w:t>
      </w:r>
    </w:p>
    <w:p>
      <w:pPr>
        <w:spacing w:after="0" w:line="90" w:lineRule="exact"/>
        <w:rPr>
          <w:sz w:val="20"/>
          <w:szCs w:val="20"/>
          <w:color w:val="auto"/>
        </w:rPr>
      </w:pPr>
    </w:p>
    <w:p>
      <w:pPr>
        <w:ind w:left="466" w:right="580"/>
        <w:spacing w:after="0" w:line="332" w:lineRule="auto"/>
        <w:rPr>
          <w:sz w:val="20"/>
          <w:szCs w:val="20"/>
          <w:color w:val="auto"/>
        </w:rPr>
      </w:pPr>
      <w:r>
        <w:rPr>
          <w:rFonts w:ascii="Arial" w:cs="Arial" w:eastAsia="Arial" w:hAnsi="Arial"/>
          <w:sz w:val="16"/>
          <w:szCs w:val="16"/>
          <w:color w:val="auto"/>
        </w:rPr>
        <w:t>There are no persons with registration rights or other similar rights to have any securities registered pursuant to the Registration Statement or otherwise registered by the Company under the Securities Act other than as set forth in the Prospectus.</w:t>
      </w:r>
    </w:p>
    <w:p>
      <w:pPr>
        <w:spacing w:after="0" w:line="4" w:lineRule="exact"/>
        <w:rPr>
          <w:sz w:val="20"/>
          <w:szCs w:val="20"/>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Investment Management Agreement</w:t>
      </w:r>
      <w:r>
        <w:rPr>
          <w:rFonts w:ascii="Arial" w:cs="Arial" w:eastAsia="Arial" w:hAnsi="Arial"/>
          <w:sz w:val="18"/>
          <w:szCs w:val="18"/>
          <w:color w:val="auto"/>
        </w:rPr>
        <w:t>.</w:t>
      </w:r>
    </w:p>
    <w:p>
      <w:pPr>
        <w:spacing w:after="0" w:line="90"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The terms of the Investment Management Agreement, including compensation terms, comply in all material respects with all applicable provisions of the 1940 Act and the Advisers Act.</w:t>
      </w:r>
    </w:p>
    <w:p>
      <w:pPr>
        <w:spacing w:after="0" w:line="51" w:lineRule="exact"/>
        <w:rPr>
          <w:sz w:val="20"/>
          <w:szCs w:val="20"/>
          <w:color w:val="auto"/>
        </w:rPr>
      </w:pPr>
    </w:p>
    <w:p>
      <w:pPr>
        <w:ind w:left="446" w:hanging="446"/>
        <w:spacing w:after="0"/>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Interested Persons</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56" w:lineRule="auto"/>
        <w:rPr>
          <w:sz w:val="20"/>
          <w:szCs w:val="20"/>
          <w:color w:val="auto"/>
        </w:rPr>
      </w:pPr>
      <w:r>
        <w:rPr>
          <w:rFonts w:ascii="Arial" w:cs="Arial" w:eastAsia="Arial" w:hAnsi="Arial"/>
          <w:sz w:val="18"/>
          <w:szCs w:val="18"/>
          <w:color w:val="auto"/>
        </w:rPr>
        <w:t>Except as disclosed in the Prospectus and the Pre-pricing Prospectus, (i) no person is serving or acting as an officer, director or investment adviser of the Company, except in accordance with the provisions of the 1940 Act and the Advisers Act, and (ii) to the knowledge of the Company, no director of the Company is an “interested person” (as defined in the 1940 Act) of the Company or an “affiliated person” (as defined in the 1940 Act) of any of the Underwriters.</w:t>
      </w:r>
    </w:p>
    <w:p>
      <w:pPr>
        <w:spacing w:after="0" w:line="62" w:lineRule="exact"/>
        <w:rPr>
          <w:sz w:val="20"/>
          <w:szCs w:val="20"/>
          <w:color w:val="auto"/>
        </w:rPr>
      </w:pPr>
    </w:p>
    <w:p>
      <w:pPr>
        <w:ind w:left="446" w:hanging="446"/>
        <w:spacing w:after="0"/>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color w:val="auto"/>
        </w:rPr>
        <w:t>The Company has established and maintained a system of internal accounting controls sufficient to provide reasonable assurances that</w:t>
      </w:r>
    </w:p>
    <w:p>
      <w:pPr>
        <w:spacing w:after="0" w:line="38" w:lineRule="exact"/>
        <w:rPr>
          <w:sz w:val="20"/>
          <w:szCs w:val="20"/>
          <w:color w:val="auto"/>
        </w:rPr>
      </w:pPr>
    </w:p>
    <w:p>
      <w:pPr>
        <w:ind w:left="466" w:right="240" w:firstLine="1"/>
        <w:spacing w:after="0" w:line="292" w:lineRule="auto"/>
        <w:tabs>
          <w:tab w:leader="none" w:pos="676"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authorization, (ii) transactions are recorded as necessary to permit preparation of financial statements in conformity with GAAP and to maintain accountability for assets, (iii) access to assets is permitted only in accordance with management’s authorization and (iv) the recorded accountability for inventory assets is compared with the existing inventory assets at reasonable intervals and appropriate action is taken with respect to any differences, except, in each of the foregoing cases, where the failure to establish and maintain such controls would not result in a Material Adverse Effect.</w:t>
      </w:r>
    </w:p>
    <w:p>
      <w:pPr>
        <w:spacing w:after="0" w:line="35" w:lineRule="exact"/>
        <w:rPr>
          <w:rFonts w:ascii="Arial" w:cs="Arial" w:eastAsia="Arial" w:hAnsi="Arial"/>
          <w:sz w:val="16"/>
          <w:szCs w:val="16"/>
          <w:color w:val="auto"/>
        </w:rPr>
      </w:pPr>
    </w:p>
    <w:p>
      <w:pPr>
        <w:ind w:left="446" w:hanging="446"/>
        <w:spacing w:after="0"/>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w:t>
      </w:r>
    </w:p>
    <w:p>
      <w:pPr>
        <w:spacing w:after="0" w:line="90" w:lineRule="exact"/>
        <w:rPr>
          <w:sz w:val="20"/>
          <w:szCs w:val="20"/>
          <w:color w:val="auto"/>
        </w:rPr>
      </w:pPr>
    </w:p>
    <w:p>
      <w:pPr>
        <w:jc w:val="both"/>
        <w:ind w:left="466"/>
        <w:spacing w:after="0" w:line="318" w:lineRule="auto"/>
        <w:rPr>
          <w:sz w:val="20"/>
          <w:szCs w:val="20"/>
          <w:color w:val="auto"/>
        </w:rPr>
      </w:pPr>
      <w:r>
        <w:rPr>
          <w:rFonts w:ascii="Arial" w:cs="Arial" w:eastAsia="Arial" w:hAnsi="Arial"/>
          <w:sz w:val="15"/>
          <w:szCs w:val="15"/>
          <w:color w:val="auto"/>
        </w:rPr>
        <w:t>The Company has established and employs disclosure controls and procedures that are designed to ensure that information required to be disclosed by the Company in the reports that it files or submits under the Securities Exchange Act is (i) recorded, processed, summarized and reported, within the time periods specified in the Commission’s rules and forms and (ii) accumulated and communicated to the Company’s management, including its principal executive officer or officers and principal financial officer or officers, as appropriate to allow timely decisions regarding disclosure, except, in each of the foregoing cases, where failure to establish and employ such controls and procedures would not result in a Material Adverse Effect.</w:t>
      </w:r>
    </w:p>
    <w:p>
      <w:pPr>
        <w:spacing w:after="0" w:line="19" w:lineRule="exact"/>
        <w:rPr>
          <w:sz w:val="20"/>
          <w:szCs w:val="20"/>
          <w:color w:val="auto"/>
        </w:rPr>
      </w:pPr>
    </w:p>
    <w:p>
      <w:pPr>
        <w:ind w:left="446" w:hanging="446"/>
        <w:spacing w:after="0"/>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right="80" w:firstLine="1"/>
        <w:spacing w:after="0" w:line="306" w:lineRule="auto"/>
        <w:tabs>
          <w:tab w:leader="none" w:pos="676"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Company and the Subsidiaries have filed all federal, state, local and foreign tax returns that are required to have been filed by them pursuant to applicable foreign, federal, state, local or other law or have duly requested extensions thereof, except insofar as the failure to file such returns or request such extensions would not reasonably be expected to result in a Material Adverse Effect.</w:t>
      </w:r>
    </w:p>
    <w:p>
      <w:pPr>
        <w:spacing w:after="0" w:line="25" w:lineRule="exact"/>
        <w:rPr>
          <w:rFonts w:ascii="Arial" w:cs="Arial" w:eastAsia="Arial" w:hAnsi="Arial"/>
          <w:sz w:val="16"/>
          <w:szCs w:val="16"/>
          <w:color w:val="auto"/>
        </w:rPr>
      </w:pPr>
    </w:p>
    <w:p>
      <w:pPr>
        <w:ind w:left="466" w:right="200" w:firstLine="1"/>
        <w:spacing w:after="0" w:line="306" w:lineRule="auto"/>
        <w:tabs>
          <w:tab w:leader="none" w:pos="725"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Company and the Subsidiaries have paid all taxes shown as due pursuant to such returns or pursuant to any assessment received by the Company and the Subsidiaries, except for such taxes or assessments, if any, as are being contested in good faith and as to which adequate reserves have been provided or where the failure to pay would not reasonably be expected to result in a Material Adverse Effect.</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6"/>
          </w:cols>
          <w:pgMar w:left="694" w:top="280" w:right="259" w:bottom="1440" w:gutter="0" w:footer="0" w:header="0"/>
        </w:sectPr>
      </w:pPr>
    </w:p>
    <w:bookmarkStart w:id="303" w:name="page304"/>
    <w:bookmarkEnd w:id="303"/>
    <w:p>
      <w:pPr>
        <w:ind w:left="900" w:hanging="446"/>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335" w:lineRule="auto"/>
        <w:rPr>
          <w:sz w:val="20"/>
          <w:szCs w:val="20"/>
          <w:color w:val="auto"/>
        </w:rPr>
      </w:pPr>
      <w:r>
        <w:rPr>
          <w:rFonts w:ascii="Arial" w:cs="Arial" w:eastAsia="Arial" w:hAnsi="Arial"/>
          <w:sz w:val="15"/>
          <w:szCs w:val="15"/>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7" w:lineRule="exact"/>
        <w:rPr>
          <w:sz w:val="20"/>
          <w:szCs w:val="20"/>
          <w:color w:val="auto"/>
        </w:rPr>
      </w:pPr>
    </w:p>
    <w:p>
      <w:pPr>
        <w:ind w:left="900" w:hanging="446"/>
        <w:spacing w:after="0"/>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i w:val="1"/>
          <w:iCs w:val="1"/>
          <w:color w:val="auto"/>
        </w:rPr>
        <w:t>Transactions with Insiders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380" w:firstLine="1"/>
        <w:spacing w:after="0" w:line="259" w:lineRule="auto"/>
        <w:tabs>
          <w:tab w:leader="none" w:pos="113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Company has not, directly or indirectly, extended credit, arranged to extend credit, or renewed any extension of credit, in the form of a personal loan, to or for any director or executive officer of the Company, or to or for any family member or affiliate of any director or executive officer of the Company.</w:t>
      </w:r>
    </w:p>
    <w:p>
      <w:pPr>
        <w:spacing w:after="0" w:line="59" w:lineRule="exact"/>
        <w:rPr>
          <w:rFonts w:ascii="Arial" w:cs="Arial" w:eastAsia="Arial" w:hAnsi="Arial"/>
          <w:sz w:val="18"/>
          <w:szCs w:val="18"/>
          <w:color w:val="auto"/>
        </w:rPr>
      </w:pPr>
    </w:p>
    <w:p>
      <w:pPr>
        <w:ind w:left="920" w:firstLine="1"/>
        <w:spacing w:after="0" w:line="259" w:lineRule="auto"/>
        <w:tabs>
          <w:tab w:leader="none" w:pos="1178" w:val="left"/>
        </w:tabs>
        <w:numPr>
          <w:ilvl w:val="2"/>
          <w:numId w:val="255"/>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employee or agent of the Company has made any payment of funds of the Company or received or retained any funds in violation of any law, rule or regulation, which payment, receipt or retention of funds is of a character required to be disclosed in the Prospectus.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Foreign Corrupt Practices Act and OFAC.</w:t>
      </w:r>
    </w:p>
    <w:p>
      <w:pPr>
        <w:spacing w:after="0" w:line="90" w:lineRule="exact"/>
        <w:rPr>
          <w:rFonts w:ascii="Arial" w:cs="Arial" w:eastAsia="Arial" w:hAnsi="Arial"/>
          <w:sz w:val="18"/>
          <w:szCs w:val="18"/>
          <w:color w:val="auto"/>
        </w:rPr>
      </w:pPr>
    </w:p>
    <w:p>
      <w:pPr>
        <w:ind w:left="920" w:right="120" w:firstLine="1"/>
        <w:spacing w:after="0" w:line="259" w:lineRule="auto"/>
        <w:tabs>
          <w:tab w:leader="none" w:pos="113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employee or affiliate of the Company is aware of or has taken any action, directly or indirectly, that would result in a violation by such entities or persons of the Foreign Corrupt Practices Act of 1977, as amended, and the rules and regulations thereunder.</w:t>
      </w:r>
    </w:p>
    <w:p>
      <w:pPr>
        <w:spacing w:after="0" w:line="59" w:lineRule="exact"/>
        <w:rPr>
          <w:rFonts w:ascii="Arial" w:cs="Arial" w:eastAsia="Arial" w:hAnsi="Arial"/>
          <w:sz w:val="18"/>
          <w:szCs w:val="18"/>
          <w:color w:val="auto"/>
        </w:rPr>
      </w:pPr>
    </w:p>
    <w:p>
      <w:pPr>
        <w:ind w:left="920" w:right="480" w:firstLine="1"/>
        <w:spacing w:after="0" w:line="332" w:lineRule="auto"/>
        <w:tabs>
          <w:tab w:leader="none" w:pos="1178" w:val="left"/>
        </w:tabs>
        <w:numPr>
          <w:ilvl w:val="2"/>
          <w:numId w:val="255"/>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or affiliate of the Company is currently subject to any U.S. sanctions administered by the Office of Foreign Assets Control of the U.S. Treasury Department (“OFAC”).</w:t>
      </w:r>
    </w:p>
    <w:p>
      <w:pPr>
        <w:spacing w:after="0" w:line="4" w:lineRule="exact"/>
        <w:rPr>
          <w:rFonts w:ascii="Arial" w:cs="Arial" w:eastAsia="Arial" w:hAnsi="Arial"/>
          <w:sz w:val="16"/>
          <w:szCs w:val="16"/>
          <w:color w:val="auto"/>
        </w:rPr>
      </w:pPr>
    </w:p>
    <w:p>
      <w:pPr>
        <w:jc w:val="both"/>
        <w:ind w:left="920" w:right="220" w:firstLine="1"/>
        <w:spacing w:after="0" w:line="332" w:lineRule="auto"/>
        <w:tabs>
          <w:tab w:leader="none" w:pos="1227" w:val="left"/>
        </w:tabs>
        <w:numPr>
          <w:ilvl w:val="2"/>
          <w:numId w:val="255"/>
        </w:numPr>
        <w:rPr>
          <w:rFonts w:ascii="Arial" w:cs="Arial" w:eastAsia="Arial" w:hAnsi="Arial"/>
          <w:sz w:val="16"/>
          <w:szCs w:val="16"/>
          <w:color w:val="auto"/>
        </w:rPr>
      </w:pPr>
      <w:r>
        <w:rPr>
          <w:rFonts w:ascii="Arial" w:cs="Arial" w:eastAsia="Arial" w:hAnsi="Arial"/>
          <w:sz w:val="16"/>
          <w:szCs w:val="16"/>
          <w:color w:val="auto"/>
        </w:rPr>
        <w:t>The Company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Investment Adviser and the Administrator</w:t>
      </w:r>
      <w:r>
        <w:rPr>
          <w:rFonts w:ascii="Arial" w:cs="Arial" w:eastAsia="Arial" w:hAnsi="Arial"/>
          <w:sz w:val="18"/>
          <w:szCs w:val="18"/>
          <w:color w:val="auto"/>
        </w:rPr>
        <w:t>.</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Investment Adviser and the Administrator, jointly and severally, represent to each Underwriter as of the date hereof, as of the Applicable Time, as of the Closing Time referred to in Section 2(3) hereof, and as of each Date of Delivery (if any) referred to in Section 2(2) hereof, and agrees with each Underwriter as follows:</w:t>
      </w:r>
    </w:p>
    <w:p>
      <w:pPr>
        <w:spacing w:after="0" w:line="59" w:lineRule="exact"/>
        <w:rPr>
          <w:sz w:val="20"/>
          <w:szCs w:val="20"/>
          <w:color w:val="auto"/>
        </w:rPr>
      </w:pPr>
    </w:p>
    <w:p>
      <w:pPr>
        <w:ind w:left="900" w:hanging="446"/>
        <w:spacing w:after="0"/>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Since the respective dates as of which information is in the Prospectus and Pre-pricing Prospectus, except as otherwise stated therein, there has been no material adverse change in the condition, financial or otherwise, or in the earnings, business affairs, business prospects or regulatory status of the Investment Adviser or the Administrator, whether or not arising in the ordinary course of business, that would reasonably be expected to result in a Material Adverse Effect.</w:t>
      </w:r>
    </w:p>
    <w:p>
      <w:pPr>
        <w:spacing w:after="0" w:line="62" w:lineRule="exact"/>
        <w:rPr>
          <w:sz w:val="20"/>
          <w:szCs w:val="20"/>
          <w:color w:val="auto"/>
        </w:rPr>
      </w:pPr>
    </w:p>
    <w:p>
      <w:pPr>
        <w:ind w:left="900" w:hanging="446"/>
        <w:spacing w:after="0"/>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Each of the Investment Adviser and the Administrator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Prospectus and to enter into and perform its obligations under this Agreement; the Investment Adviser has limited liability company power and authority to execute and deliver and perform its obligations under the Investment Management Agreement; the Administrator has limited liability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04" w:name="page305"/>
    <w:bookmarkEnd w:id="304"/>
    <w:p>
      <w:pPr>
        <w:ind w:left="46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company power and authority to enter into and perform its obligations under the Administration Agreement; and each of the Investment Adviser and the Administrator is duly qualified to transact business as a foreign entity and is in good standing in each other jurisdiction in which such qualification is required, whether by reason of ownership or leasing of its property or the conduct of business, except where the failure to qualify or be in good standing would not otherwise reasonably be expected to result in a Material Adverse Effect.</w:t>
      </w:r>
    </w:p>
    <w:p>
      <w:pPr>
        <w:spacing w:after="0" w:line="32" w:lineRule="exact"/>
        <w:rPr>
          <w:sz w:val="20"/>
          <w:szCs w:val="20"/>
          <w:color w:val="auto"/>
        </w:rPr>
      </w:pPr>
    </w:p>
    <w:p>
      <w:pPr>
        <w:ind w:left="446" w:hanging="446"/>
        <w:spacing w:after="0"/>
        <w:tabs>
          <w:tab w:leader="none" w:pos="446"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Registration Under Advisers Act</w:t>
      </w:r>
      <w:r>
        <w:rPr>
          <w:rFonts w:ascii="Arial" w:cs="Arial" w:eastAsia="Arial" w:hAnsi="Arial"/>
          <w:sz w:val="18"/>
          <w:szCs w:val="18"/>
          <w:color w:val="auto"/>
        </w:rPr>
        <w:t>.</w:t>
      </w:r>
    </w:p>
    <w:p>
      <w:pPr>
        <w:spacing w:after="0" w:line="90" w:lineRule="exact"/>
        <w:rPr>
          <w:sz w:val="20"/>
          <w:szCs w:val="20"/>
          <w:color w:val="auto"/>
        </w:rPr>
      </w:pPr>
    </w:p>
    <w:p>
      <w:pPr>
        <w:ind w:left="466" w:right="480"/>
        <w:spacing w:after="0" w:line="357" w:lineRule="auto"/>
        <w:rPr>
          <w:sz w:val="20"/>
          <w:szCs w:val="20"/>
          <w:color w:val="auto"/>
        </w:rPr>
      </w:pPr>
      <w:r>
        <w:rPr>
          <w:rFonts w:ascii="Arial" w:cs="Arial" w:eastAsia="Arial" w:hAnsi="Arial"/>
          <w:sz w:val="15"/>
          <w:szCs w:val="15"/>
          <w:color w:val="auto"/>
        </w:rPr>
        <w:t>The Investment Adviser is duly registered with the Commission as an investment adviser under the Advisers Act and is not prohibited by the Advisers Act or the 1940 Act from acting under the Investment Management Agreement for the Company as contemplated by the Prospectus.</w:t>
      </w: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Absence of Proceedings</w:t>
      </w:r>
      <w:r>
        <w:rPr>
          <w:rFonts w:ascii="Arial" w:cs="Arial" w:eastAsia="Arial" w:hAnsi="Arial"/>
          <w:sz w:val="18"/>
          <w:szCs w:val="18"/>
          <w:color w:val="auto"/>
        </w:rPr>
        <w:t>.</w:t>
      </w:r>
    </w:p>
    <w:p>
      <w:pPr>
        <w:spacing w:after="0" w:line="90" w:lineRule="exact"/>
        <w:rPr>
          <w:sz w:val="20"/>
          <w:szCs w:val="20"/>
          <w:color w:val="auto"/>
        </w:rPr>
      </w:pPr>
    </w:p>
    <w:p>
      <w:pPr>
        <w:ind w:left="466"/>
        <w:spacing w:after="0" w:line="294" w:lineRule="auto"/>
        <w:rPr>
          <w:sz w:val="20"/>
          <w:szCs w:val="20"/>
          <w:color w:val="auto"/>
        </w:rPr>
      </w:pPr>
      <w:r>
        <w:rPr>
          <w:rFonts w:ascii="Arial" w:cs="Arial" w:eastAsia="Arial" w:hAnsi="Arial"/>
          <w:sz w:val="16"/>
          <w:szCs w:val="16"/>
          <w:color w:val="auto"/>
        </w:rPr>
        <w:t>There is no action, suit or proceeding, or to the knowledge of the Investment Adviser or the Administrator, inquiry or investigation before or brought by any court or governmental agency or body, domestic or foreign, now pending against or affecting either the Investment Adviser or the Administrator, which is required to be disclosed in the Prospectus or Pre-pricing Prospectus (other than as disclosed therein), or which would reasonably be expected to result in a Material Adverse Effect, or which would reasonably be expected to materially and adversely affect the consummation of the transactions contemplated in this Agreement, the Investment Management Agreement or the Administration Agreement.</w:t>
      </w:r>
    </w:p>
    <w:p>
      <w:pPr>
        <w:spacing w:after="0" w:line="35" w:lineRule="exact"/>
        <w:rPr>
          <w:sz w:val="20"/>
          <w:szCs w:val="20"/>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sz w:val="20"/>
          <w:szCs w:val="20"/>
          <w:color w:val="auto"/>
        </w:rPr>
      </w:pPr>
    </w:p>
    <w:p>
      <w:pPr>
        <w:ind w:left="466" w:right="100"/>
        <w:spacing w:after="0" w:line="290" w:lineRule="auto"/>
        <w:rPr>
          <w:sz w:val="20"/>
          <w:szCs w:val="20"/>
          <w:color w:val="auto"/>
        </w:rPr>
      </w:pPr>
      <w:r>
        <w:rPr>
          <w:rFonts w:ascii="Arial" w:cs="Arial" w:eastAsia="Arial" w:hAnsi="Arial"/>
          <w:sz w:val="16"/>
          <w:szCs w:val="16"/>
          <w:color w:val="auto"/>
        </w:rPr>
        <w:t>This Agreement, the Investment Management Agreement and the Administration Agreement have been duly authorized, executed and delivered by the Investment Adviser and the Administrator, as applicable. This Agreement, the Investment Management Agreement and the Administration Agreement are valid and binding obligations of the Investment Adviser or the Administrator, as applicable, enforceable against them in accordance with their terms, except as the enforcement thereof may be subject to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37" w:lineRule="exact"/>
        <w:rPr>
          <w:sz w:val="20"/>
          <w:szCs w:val="20"/>
          <w:color w:val="auto"/>
        </w:rPr>
      </w:pPr>
    </w:p>
    <w:p>
      <w:pPr>
        <w:ind w:left="446" w:hanging="446"/>
        <w:spacing w:after="0"/>
        <w:tabs>
          <w:tab w:leader="none" w:pos="446"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Absence of Defaults and Conflicts</w:t>
      </w:r>
      <w:r>
        <w:rPr>
          <w:rFonts w:ascii="Arial" w:cs="Arial" w:eastAsia="Arial" w:hAnsi="Arial"/>
          <w:sz w:val="18"/>
          <w:szCs w:val="18"/>
          <w:color w:val="auto"/>
        </w:rPr>
        <w:t>.</w:t>
      </w:r>
    </w:p>
    <w:p>
      <w:pPr>
        <w:spacing w:after="0" w:line="90" w:lineRule="exact"/>
        <w:rPr>
          <w:sz w:val="20"/>
          <w:szCs w:val="20"/>
          <w:color w:val="auto"/>
        </w:rPr>
      </w:pPr>
    </w:p>
    <w:p>
      <w:pPr>
        <w:ind w:left="466"/>
        <w:spacing w:after="0" w:line="286" w:lineRule="auto"/>
        <w:rPr>
          <w:sz w:val="20"/>
          <w:szCs w:val="20"/>
          <w:color w:val="auto"/>
        </w:rPr>
      </w:pPr>
      <w:r>
        <w:rPr>
          <w:rFonts w:ascii="Arial" w:cs="Arial" w:eastAsia="Arial" w:hAnsi="Arial"/>
          <w:sz w:val="16"/>
          <w:szCs w:val="16"/>
          <w:color w:val="auto"/>
        </w:rPr>
        <w:t>Neither the Investment Adviser nor the Administrator is in violation of its limited liability company operating agreement or in default in the performance or observance of any obligation, agreement, covenant or condition contained in any contract, loan or credit agreement, lease or other instrument to which the Investment Adviser or the Administrator is a party or by which it or any of them may be bound, or to which any of the property or assets of the Investment Adviser or the Administrator is subject (collectively, the “Adviser/Administrator Agreements and Instruments”), or in violation of any law, statute, rule, regulation, judgment, order or decree except for such violations or defaults that would not reasonably be expected to result in a Material Adverse Effect; and the execution, delivery and performance of this Agreement, the Investment Management Agreement and the Administration Agreement and the consummation of the transactions contemplated herein and therein and in the Prospectus and Pre-pricing Prospectus do not and will not, whether with or without the giving of notice or passage of time or both, conflict with or constitute a breach of, or default under, the Adviser/Administrator Agreements and Instruments except for such violations or defaults that would not reasonably be expected to result in a Material Adverse Effect, nor will such action result in any violation of the provisions of the limited liability company operating agreement of the Investment Adviser or Administrator, respectively.</w:t>
      </w:r>
    </w:p>
    <w:p>
      <w:pPr>
        <w:spacing w:after="0" w:line="11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6"/>
          </w:cols>
          <w:pgMar w:left="694" w:top="279" w:right="279" w:bottom="1440" w:gutter="0" w:footer="0" w:header="0"/>
        </w:sectPr>
      </w:pPr>
    </w:p>
    <w:bookmarkStart w:id="305" w:name="page306"/>
    <w:bookmarkEnd w:id="305"/>
    <w:p>
      <w:pPr>
        <w:ind w:left="900" w:hanging="446"/>
        <w:spacing w:after="0"/>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Description of Investment Adviser and Administrator</w:t>
      </w:r>
      <w:r>
        <w:rPr>
          <w:rFonts w:ascii="Arial" w:cs="Arial" w:eastAsia="Arial" w:hAnsi="Arial"/>
          <w:sz w:val="18"/>
          <w:szCs w:val="18"/>
          <w:color w:val="auto"/>
        </w:rPr>
        <w:t>.</w:t>
      </w:r>
    </w:p>
    <w:p>
      <w:pPr>
        <w:spacing w:after="0" w:line="90" w:lineRule="exact"/>
        <w:rPr>
          <w:sz w:val="20"/>
          <w:szCs w:val="20"/>
          <w:color w:val="auto"/>
        </w:rPr>
      </w:pPr>
    </w:p>
    <w:p>
      <w:pPr>
        <w:jc w:val="both"/>
        <w:ind w:left="920" w:right="200"/>
        <w:spacing w:after="0" w:line="259" w:lineRule="auto"/>
        <w:rPr>
          <w:sz w:val="20"/>
          <w:szCs w:val="20"/>
          <w:color w:val="auto"/>
        </w:rPr>
      </w:pPr>
      <w:r>
        <w:rPr>
          <w:rFonts w:ascii="Arial" w:cs="Arial" w:eastAsia="Arial" w:hAnsi="Arial"/>
          <w:sz w:val="18"/>
          <w:szCs w:val="18"/>
          <w:color w:val="auto"/>
        </w:rPr>
        <w:t>The description of the Investment Adviser and the Administrator contained in the Pre-pricing Prospectus and the Prospectus does not contain any untrue statement of a material fact or omit to state a material fact necessary to make the statements therein, in light of the circumstances in which they were made, not misleading.</w:t>
      </w:r>
    </w:p>
    <w:p>
      <w:pPr>
        <w:spacing w:after="0" w:line="59"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jc w:val="both"/>
        <w:ind w:left="920" w:right="80"/>
        <w:spacing w:after="0" w:line="256" w:lineRule="auto"/>
        <w:rPr>
          <w:sz w:val="20"/>
          <w:szCs w:val="20"/>
          <w:color w:val="auto"/>
        </w:rPr>
      </w:pPr>
      <w:r>
        <w:rPr>
          <w:rFonts w:ascii="Arial" w:cs="Arial" w:eastAsia="Arial" w:hAnsi="Arial"/>
          <w:sz w:val="18"/>
          <w:szCs w:val="18"/>
          <w:color w:val="auto"/>
        </w:rPr>
        <w:t>The Investment Adviser and the Administrator each owns, or has obtained valid and enforceable licenses for, or other rights to use, the inventions, patent applications, patents, trademarks (both registered and unregistered), tradenames, 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62" w:lineRule="exact"/>
        <w:rPr>
          <w:sz w:val="20"/>
          <w:szCs w:val="20"/>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w:t>
      </w:r>
    </w:p>
    <w:p>
      <w:pPr>
        <w:spacing w:after="0" w:line="90" w:lineRule="exact"/>
        <w:rPr>
          <w:sz w:val="20"/>
          <w:szCs w:val="20"/>
          <w:color w:val="auto"/>
        </w:rPr>
      </w:pPr>
    </w:p>
    <w:p>
      <w:pPr>
        <w:ind w:left="920" w:right="280"/>
        <w:spacing w:after="0" w:line="294" w:lineRule="auto"/>
        <w:rPr>
          <w:sz w:val="20"/>
          <w:szCs w:val="20"/>
          <w:color w:val="auto"/>
        </w:rPr>
      </w:pPr>
      <w:r>
        <w:rPr>
          <w:rFonts w:ascii="Arial" w:cs="Arial" w:eastAsia="Arial" w:hAnsi="Arial"/>
          <w:sz w:val="16"/>
          <w:szCs w:val="16"/>
          <w:color w:val="auto"/>
        </w:rPr>
        <w:t>The Investment Adviser has used its commercially reasonable efforts to establish and maintain a system of internal controls sufficient to provide reasonable assurance that (i) transactions effectuated by it under the Investment Management Agreement are executed in accordance with its management’s general or specific authorization and (ii) access to the Company’s assets that are in its possession or control is permitted only in accordance with its management’s general or specific authorization, except, in each of the foregoing cases, where the failure to establish and maintain such controls would not result in a Material Adverse Effect.</w:t>
      </w:r>
    </w:p>
    <w:p>
      <w:pPr>
        <w:spacing w:after="0" w:line="35" w:lineRule="exact"/>
        <w:rPr>
          <w:sz w:val="20"/>
          <w:szCs w:val="20"/>
          <w:color w:val="auto"/>
        </w:rPr>
      </w:pPr>
    </w:p>
    <w:p>
      <w:pPr>
        <w:ind w:left="900" w:hanging="446"/>
        <w:spacing w:after="0"/>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Administrator has used its commercially reasonable efforts to operate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GAAP and to maintain financial statements in conformity with GAAP and to maintain accountability for the Company’s assets and (ii) the recorded accountability for such assets is compared with existing assets at reasonable intervals and appropriate action is taken with respect to any differences, except, in each of the foregoing cases, where the failure to operate such controls would not result in a Material Adverse Effect.</w:t>
      </w:r>
    </w:p>
    <w:p>
      <w:pPr>
        <w:spacing w:after="0" w:line="39" w:lineRule="exact"/>
        <w:rPr>
          <w:sz w:val="20"/>
          <w:szCs w:val="20"/>
          <w:color w:val="auto"/>
        </w:rPr>
      </w:pPr>
    </w:p>
    <w:p>
      <w:pPr>
        <w:ind w:left="900" w:hanging="446"/>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Any certificate signed by any officer of the Company and any of the Subsidiaries delivered to the Representatives or to counsel for the Underwriters shall be deemed a representation and warranty by the Company and such Subsidiary, as applicable, to each Underwriter as to the matters covered thereby.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Sale and Delivery to Underwriters; Closing</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set forth in Schedule B, the aggregate principal amount of Initial Securities set forth in Schedule A opposite the name of such Underwriter, plus any additional aggregate principal amount of Initial Securities which such Underwriter may become obligated to purchase pursuant to the provisions of Section 10 hereof.</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9" w:right="319" w:bottom="1440" w:gutter="0" w:footer="0" w:header="0"/>
        </w:sectPr>
      </w:pPr>
    </w:p>
    <w:bookmarkStart w:id="306" w:name="page307"/>
    <w:bookmarkEnd w:id="306"/>
    <w:p>
      <w:pPr>
        <w:ind w:left="180" w:hanging="172"/>
        <w:spacing w:after="0"/>
        <w:tabs>
          <w:tab w:leader="none" w:pos="18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basis of the representations and warranties herein contained and subject to the terms and conditions herein set forth, the Company hereby grants an</w:t>
      </w:r>
    </w:p>
    <w:p>
      <w:pPr>
        <w:spacing w:after="0" w:line="5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option to the Underwriters, severally and not jointly, to purchase up to an additional Securities at the price per share set forth in Schedule B, less an amount per share equal to any dividends or distributions declared by the Company and payable on the Initial Securities but not payable on the Option Securities. The option hereby granted will expire 30 days after the date hereof and may be exercised in whole or in part on no more than two occasions and only for the purpose of covering overallotments which may be made in connection with the offering and distribution of the Initial Securities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as hereinafter defined.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discretion shall make to eliminate any sales or purchases of fractional shares.</w:t>
      </w:r>
    </w:p>
    <w:p>
      <w:pPr>
        <w:spacing w:after="0" w:line="121" w:lineRule="exact"/>
        <w:rPr>
          <w:sz w:val="20"/>
          <w:szCs w:val="20"/>
          <w:color w:val="auto"/>
        </w:rPr>
      </w:pPr>
    </w:p>
    <w:p>
      <w:pPr>
        <w:ind w:left="180" w:hanging="172"/>
        <w:spacing w:after="0"/>
        <w:tabs>
          <w:tab w:leader="none" w:pos="180"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of the purchase price for the Initial Securities or against delivery of certificates [or the Depositary Receipts evidencing the Depositary Shares,] for</w:t>
      </w:r>
    </w:p>
    <w:p>
      <w:pPr>
        <w:spacing w:after="0" w:line="38"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the Initial Securities shall be made at the offices of or at such other place as shall be agreed upon by the Representatives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the Initial Securities or against delivery of certificates [or the Depositary Receipts evidencing the Depositary Shares,]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Representatives through the facilities of the Depository Trust Company (“DTC”) for the respective accounts of the Underwriters of certificates or receipts for the Underwritten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The Representatives, individually and not as representatives of the Underwriters, may (but shall not be obligated to) make payment of the purchase price for the Initial Securities and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18" w:lineRule="exact"/>
        <w:rPr>
          <w:sz w:val="20"/>
          <w:szCs w:val="20"/>
          <w:color w:val="auto"/>
        </w:rPr>
      </w:pPr>
    </w:p>
    <w:p>
      <w:pPr>
        <w:ind w:firstLine="8"/>
        <w:spacing w:after="0" w:line="256" w:lineRule="auto"/>
        <w:tabs>
          <w:tab w:leader="none" w:pos="176"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certificates or receipts for the Initial Securities and the Option Securities, if any, shall be transferred electronically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or the relevant Date of Delivery, as the case may be, in such denominations and registered in such names as the Representatives may request; provided that any such request must be received in writing at least one full business day before the Closing Time or the relevant Date of Delivery, as the case may be.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307" w:name="page308"/>
    <w:bookmarkEnd w:id="30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the Investment Adviser and the Administrator, jointly and severally, covenant with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Underwriter as follows:</w:t>
      </w:r>
    </w:p>
    <w:p>
      <w:pPr>
        <w:spacing w:after="0" w:line="165" w:lineRule="exact"/>
        <w:rPr>
          <w:sz w:val="20"/>
          <w:szCs w:val="20"/>
          <w:color w:val="auto"/>
        </w:rPr>
      </w:pPr>
    </w:p>
    <w:p>
      <w:pPr>
        <w:ind w:left="180" w:hanging="172"/>
        <w:spacing w:after="0"/>
        <w:tabs>
          <w:tab w:leader="none" w:pos="18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to advise the Underwriters, promptly after the Company receives notice thereof, of the time when any amendment to the Registration Statement relating to or affecting the Underwritten Securities has been filed or becomes effective or any amendment or supplement to the Prospectus relating to or affecting the Underwritten Securities has been filed;</w:t>
      </w:r>
    </w:p>
    <w:p>
      <w:pPr>
        <w:spacing w:after="0" w:line="59" w:lineRule="exact"/>
        <w:rPr>
          <w:rFonts w:ascii="Arial" w:cs="Arial" w:eastAsia="Arial" w:hAnsi="Arial"/>
          <w:sz w:val="18"/>
          <w:szCs w:val="18"/>
          <w:color w:val="auto"/>
        </w:rPr>
      </w:pPr>
    </w:p>
    <w:p>
      <w:pPr>
        <w:ind w:left="900" w:right="80" w:hanging="446"/>
        <w:spacing w:after="0" w:line="291" w:lineRule="auto"/>
        <w:tabs>
          <w:tab w:leader="none" w:pos="90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to advise the Underwriters, promptly after the Company receives notice thereof, of the issuance by the Commission of any stop order suspending the effectiveness of the Registration Statement, of the suspension of the qualification of the Underwritten Securities for offering or sale in any jurisdiction, of the initiation or threatening of any proceeding for any such purpose, or of any request by the Commission for the amending or supplementing of the Registration Statement, Pre-pricing Prospectus or Prospectus relating to or affecting the Underwritten Securities or for additional information regarding such Registration Statement, Pre-pricing Prospectus or Prospectus, and, in the event of the issuance of any stop order suspending the effectiveness of the Registration Statement, promptly to use its best efforts to obtain the withdrawal of such order;</w:t>
      </w:r>
    </w:p>
    <w:p>
      <w:pPr>
        <w:spacing w:after="0" w:line="120" w:lineRule="exact"/>
        <w:rPr>
          <w:rFonts w:ascii="Arial" w:cs="Arial" w:eastAsia="Arial" w:hAnsi="Arial"/>
          <w:sz w:val="16"/>
          <w:szCs w:val="16"/>
          <w:color w:val="auto"/>
        </w:rPr>
      </w:pPr>
    </w:p>
    <w:p>
      <w:pPr>
        <w:ind w:left="180" w:hanging="172"/>
        <w:spacing w:after="0"/>
        <w:tabs>
          <w:tab w:leader="none" w:pos="18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w:t>
      </w:r>
    </w:p>
    <w:p>
      <w:pPr>
        <w:spacing w:after="0" w:line="90" w:lineRule="exact"/>
        <w:rPr>
          <w:sz w:val="20"/>
          <w:szCs w:val="20"/>
          <w:color w:val="auto"/>
        </w:rPr>
      </w:pPr>
    </w:p>
    <w:p>
      <w:pPr>
        <w:ind w:left="460"/>
        <w:spacing w:after="0" w:line="302" w:lineRule="auto"/>
        <w:rPr>
          <w:sz w:val="20"/>
          <w:szCs w:val="20"/>
          <w:color w:val="auto"/>
        </w:rPr>
      </w:pPr>
      <w:r>
        <w:rPr>
          <w:rFonts w:ascii="Arial" w:cs="Arial" w:eastAsia="Arial" w:hAnsi="Arial"/>
          <w:sz w:val="15"/>
          <w:szCs w:val="15"/>
          <w:color w:val="auto"/>
        </w:rPr>
        <w:t xml:space="preserve">to promptly from time to time to take such action as the Underwriters may reasonably request (i) to qualify the Underwritten Securities for offering and sale under the securities laws of such jurisdictions as the Underwriters may reasonably request and (ii) to comply with such laws so as to permit the continuance of sales and dealings in such jurisdictions for as long as may be necessary to complete the distribution of the Underwritten Securities,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in connection therewith the Company shall not be required to (A) qualify to do business, (B) be subject to taxation, (C) qualify as a foreign corporation,</w:t>
      </w:r>
    </w:p>
    <w:p>
      <w:pPr>
        <w:spacing w:after="0" w:line="3" w:lineRule="exact"/>
        <w:rPr>
          <w:sz w:val="20"/>
          <w:szCs w:val="20"/>
          <w:color w:val="auto"/>
        </w:rPr>
      </w:pPr>
    </w:p>
    <w:p>
      <w:pPr>
        <w:ind w:left="760" w:hanging="296"/>
        <w:spacing w:after="0"/>
        <w:tabs>
          <w:tab w:leader="none" w:pos="760" w:val="left"/>
        </w:tabs>
        <w:numPr>
          <w:ilvl w:val="2"/>
          <w:numId w:val="273"/>
        </w:numPr>
        <w:rPr>
          <w:rFonts w:ascii="Arial" w:cs="Arial" w:eastAsia="Arial" w:hAnsi="Arial"/>
          <w:sz w:val="18"/>
          <w:szCs w:val="18"/>
          <w:color w:val="auto"/>
        </w:rPr>
      </w:pPr>
      <w:r>
        <w:rPr>
          <w:rFonts w:ascii="Arial" w:cs="Arial" w:eastAsia="Arial" w:hAnsi="Arial"/>
          <w:sz w:val="18"/>
          <w:szCs w:val="18"/>
          <w:color w:val="auto"/>
        </w:rPr>
        <w:t>be subject to the jurisdiction of courts, or (E) file a general consent to service of process, in any jurisdiction;</w:t>
      </w:r>
    </w:p>
    <w:p>
      <w:pPr>
        <w:spacing w:after="0" w:line="164" w:lineRule="exact"/>
        <w:rPr>
          <w:rFonts w:ascii="Arial" w:cs="Arial" w:eastAsia="Arial" w:hAnsi="Arial"/>
          <w:sz w:val="18"/>
          <w:szCs w:val="18"/>
          <w:color w:val="auto"/>
        </w:rPr>
      </w:pPr>
    </w:p>
    <w:p>
      <w:pPr>
        <w:ind w:left="180" w:hanging="172"/>
        <w:spacing w:after="0"/>
        <w:tabs>
          <w:tab w:leader="none" w:pos="18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Filing and Provision of Copies of Registration Statement, Pre-pricing Prospectus and Prospectus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to furnish to the Underwriters, without charge, signed copies of the Registration Statement (including exhibits thereto), and to furnish the</w:t>
      </w:r>
    </w:p>
    <w:p>
      <w:pPr>
        <w:spacing w:after="0" w:line="38" w:lineRule="exact"/>
        <w:rPr>
          <w:sz w:val="20"/>
          <w:szCs w:val="20"/>
          <w:color w:val="auto"/>
        </w:rPr>
      </w:pPr>
    </w:p>
    <w:p>
      <w:pPr>
        <w:ind w:left="900" w:right="40"/>
        <w:spacing w:after="0" w:line="254" w:lineRule="auto"/>
        <w:rPr>
          <w:sz w:val="20"/>
          <w:szCs w:val="20"/>
          <w:color w:val="auto"/>
        </w:rPr>
      </w:pPr>
      <w:r>
        <w:rPr>
          <w:rFonts w:ascii="Arial" w:cs="Arial" w:eastAsia="Arial" w:hAnsi="Arial"/>
          <w:sz w:val="18"/>
          <w:szCs w:val="18"/>
          <w:color w:val="auto"/>
        </w:rPr>
        <w:t>Underwriters, without charge, prior to [ ] a.m., [ ] time, on the Business Day next succeeding the date of this Agreement and as soon as practicable as many copies of the Pre-pricing Prospectus and Prospectus relating to or affecting the Underwritten Securities and any supplements and amendments thereto or to the Registration Statement relating to or affecting the Underwritten Securities prior to such proposed filing or use, as the Underwriters may reasonably request;</w:t>
      </w:r>
    </w:p>
    <w:p>
      <w:pPr>
        <w:spacing w:after="0" w:line="63" w:lineRule="exact"/>
        <w:rPr>
          <w:sz w:val="20"/>
          <w:szCs w:val="20"/>
          <w:color w:val="auto"/>
        </w:rPr>
      </w:pPr>
    </w:p>
    <w:p>
      <w:pPr>
        <w:ind w:left="900" w:right="140" w:hanging="446"/>
        <w:spacing w:after="0" w:line="306" w:lineRule="auto"/>
        <w:tabs>
          <w:tab w:leader="none" w:pos="9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relating to or affecting the Underwritten Securities or the Prospectus relating to or affecting the Underwritten Securities, to furnish the Underwriters with a copy of each such proposed amendment or supplement, and to file with the Commission within the applicable period specified in Rule 497 under the Securities Act any prospectus required to be filed pursuant to such rule;</w:t>
      </w:r>
    </w:p>
    <w:p>
      <w:pPr>
        <w:spacing w:after="0" w:line="25" w:lineRule="exact"/>
        <w:rPr>
          <w:rFonts w:ascii="Arial" w:cs="Arial" w:eastAsia="Arial" w:hAnsi="Arial"/>
          <w:sz w:val="16"/>
          <w:szCs w:val="16"/>
          <w:color w:val="auto"/>
        </w:rPr>
      </w:pPr>
    </w:p>
    <w:p>
      <w:pPr>
        <w:ind w:left="900" w:hanging="446"/>
        <w:spacing w:after="0" w:line="287" w:lineRule="auto"/>
        <w:tabs>
          <w:tab w:leader="none" w:pos="9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if, during any time when the Prospectus is required by law to be delivered in connection with sales by the Underwriters or a dealer, any event shall have occurred as a result of which the Prospectus relating to or affecting the Underwritten Securities as then amended or supplemented would include an untrue statement of a material fact or omit to state any material fact necessary in order to make the statements therein, in the light of the circumstances under which they were made when such Prospectus is delivered to a purchaser, not misleading, or, if for any other reason it shall be necessary during such period to amend or supplement the Prospectus relating to or affecting the Underwritten Securities in order to comply with the Securities Act, to notify the Underwriters, and upon the Underwriters’ written request to prepare and furnish without charge to the Underwriters and to the dealers (whose names and addresses the Underwriters will furnish in writing to the Company) to which Underwritten Securities may have been sold by the Underwriters and to any other dealers upon request, as many written and electronic copies as the Underwriters may from time to time reasonably request of an amended Prospectus relating to or affecting the Underwritten Securities or a supplement to the Prospectus relating to or affecting the Underwritten Securities which will correct such statement or omission or effect such compliance;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9" w:right="239" w:bottom="1440" w:gutter="0" w:footer="0" w:header="0"/>
        </w:sectPr>
      </w:pPr>
    </w:p>
    <w:bookmarkStart w:id="308" w:name="page309"/>
    <w:bookmarkEnd w:id="308"/>
    <w:p>
      <w:pPr>
        <w:ind w:left="180" w:hanging="172"/>
        <w:spacing w:after="0"/>
        <w:tabs>
          <w:tab w:leader="none" w:pos="180"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Rule 158</w:t>
      </w:r>
    </w:p>
    <w:p>
      <w:pPr>
        <w:spacing w:after="0" w:line="90" w:lineRule="exact"/>
        <w:rPr>
          <w:sz w:val="20"/>
          <w:szCs w:val="20"/>
          <w:color w:val="auto"/>
        </w:rPr>
      </w:pPr>
    </w:p>
    <w:p>
      <w:pPr>
        <w:ind w:left="460" w:right="220"/>
        <w:spacing w:after="0" w:line="335" w:lineRule="auto"/>
        <w:rPr>
          <w:sz w:val="20"/>
          <w:szCs w:val="20"/>
          <w:color w:val="auto"/>
        </w:rPr>
      </w:pPr>
      <w:r>
        <w:rPr>
          <w:rFonts w:ascii="Arial" w:cs="Arial" w:eastAsia="Arial" w:hAnsi="Arial"/>
          <w:sz w:val="15"/>
          <w:szCs w:val="15"/>
          <w:color w:val="auto"/>
        </w:rPr>
        <w:t>to make generally available to the Company’s securityholders as soon as practicable an earnings statement of the Company (which need not be audited) complying with Section 11(a) of the Securities Act and the rules and regulations of the Commission thereunder (including, at the option of the Company, Rule 158); (h) to use its best efforts to maintain the Company’s qualification as a “regulated investment company” under Subchapter M of the Code; and</w:t>
      </w:r>
    </w:p>
    <w:p>
      <w:pPr>
        <w:spacing w:after="0" w:line="88" w:lineRule="exact"/>
        <w:rPr>
          <w:sz w:val="20"/>
          <w:szCs w:val="20"/>
          <w:color w:val="auto"/>
        </w:rPr>
      </w:pPr>
    </w:p>
    <w:p>
      <w:pPr>
        <w:ind w:left="180" w:hanging="172"/>
        <w:spacing w:after="0"/>
        <w:tabs>
          <w:tab w:leader="none" w:pos="180"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DTC.</w:t>
      </w:r>
    </w:p>
    <w:p>
      <w:pPr>
        <w:spacing w:after="0" w:line="90"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to cooperate with the Representatives and use commercially reasonable efforts to permit the Underwritten Securities to be eligible for clearance and settlement through the facilities of DTC;</w:t>
      </w:r>
    </w:p>
    <w:p>
      <w:pPr>
        <w:spacing w:after="0" w:line="132" w:lineRule="exact"/>
        <w:rPr>
          <w:sz w:val="20"/>
          <w:szCs w:val="20"/>
          <w:color w:val="auto"/>
        </w:rPr>
      </w:pPr>
    </w:p>
    <w:p>
      <w:pPr>
        <w:ind w:left="180" w:hanging="172"/>
        <w:spacing w:after="0"/>
        <w:tabs>
          <w:tab w:leader="none" w:pos="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Reservation of Shares of Common Stock</w:t>
      </w:r>
      <w:r>
        <w:rPr>
          <w:rFonts w:ascii="Arial" w:cs="Arial" w:eastAsia="Arial" w:hAnsi="Arial"/>
          <w:sz w:val="18"/>
          <w:szCs w:val="18"/>
          <w:color w:val="auto"/>
        </w:rPr>
        <w:t>.</w:t>
      </w:r>
    </w:p>
    <w:p>
      <w:pPr>
        <w:spacing w:after="0" w:line="90" w:lineRule="exact"/>
        <w:rPr>
          <w:sz w:val="20"/>
          <w:szCs w:val="20"/>
          <w:color w:val="auto"/>
        </w:rPr>
      </w:pPr>
    </w:p>
    <w:p>
      <w:pPr>
        <w:ind w:left="460" w:right="700"/>
        <w:spacing w:after="0" w:line="332" w:lineRule="auto"/>
        <w:rPr>
          <w:sz w:val="20"/>
          <w:szCs w:val="20"/>
          <w:color w:val="auto"/>
        </w:rPr>
      </w:pPr>
      <w:r>
        <w:rPr>
          <w:rFonts w:ascii="Arial" w:cs="Arial" w:eastAsia="Arial" w:hAnsi="Arial"/>
          <w:sz w:val="16"/>
          <w:szCs w:val="16"/>
          <w:color w:val="auto"/>
        </w:rPr>
        <w:t>if applicable, to at all times reserve and keep available, free of preemptive rights, enough shares of Common Stock for the purpose of enabling the Company to satisfy any obligations to issue shares of Common Stock upon conversion of the Underwritten Securities; ]</w:t>
      </w:r>
    </w:p>
    <w:p>
      <w:pPr>
        <w:spacing w:after="0" w:line="85" w:lineRule="exact"/>
        <w:rPr>
          <w:sz w:val="20"/>
          <w:szCs w:val="20"/>
          <w:color w:val="auto"/>
        </w:rPr>
      </w:pPr>
    </w:p>
    <w:p>
      <w:pPr>
        <w:ind w:left="180" w:hanging="172"/>
        <w:spacing w:after="0"/>
        <w:tabs>
          <w:tab w:leader="none" w:pos="18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90"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to use the net proceeds received by it from the sale of the Underwritten Securities materially in the manner specified in Pre-pricing Prospectus and the Prospectus under “Use of Proceeds”;</w:t>
      </w:r>
    </w:p>
    <w:p>
      <w:pPr>
        <w:spacing w:after="0" w:line="132" w:lineRule="exact"/>
        <w:rPr>
          <w:sz w:val="20"/>
          <w:szCs w:val="20"/>
          <w:color w:val="auto"/>
        </w:rPr>
      </w:pPr>
    </w:p>
    <w:p>
      <w:pPr>
        <w:ind w:left="180" w:hanging="172"/>
        <w:spacing w:after="0"/>
        <w:tabs>
          <w:tab w:leader="none" w:pos="180"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use commercially reasonable efforts to effect and maintain the quotation of the Company’s common stock on the NASDAQ Global Select Market;</w:t>
      </w:r>
    </w:p>
    <w:p>
      <w:pPr>
        <w:spacing w:after="0" w:line="194" w:lineRule="exact"/>
        <w:rPr>
          <w:sz w:val="20"/>
          <w:szCs w:val="20"/>
          <w:color w:val="auto"/>
        </w:rPr>
      </w:pPr>
    </w:p>
    <w:p>
      <w:pPr>
        <w:ind w:left="180" w:hanging="172"/>
        <w:spacing w:after="0"/>
        <w:tabs>
          <w:tab w:leader="none" w:pos="180"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Restriction on Sale of Underwritten Securities</w:t>
      </w:r>
      <w:r>
        <w:rPr>
          <w:rFonts w:ascii="Arial" w:cs="Arial" w:eastAsia="Arial" w:hAnsi="Arial"/>
          <w:sz w:val="18"/>
          <w:szCs w:val="18"/>
          <w:color w:val="auto"/>
        </w:rPr>
        <w:t>.</w:t>
      </w:r>
    </w:p>
    <w:p>
      <w:pPr>
        <w:spacing w:after="0" w:line="90"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to not, directly or indirectly, sell, offer to sell, enter into any agreement to sell, or otherwise dispose of, any equity or equity related securities of the Company or securities convertible into such securities, other than the Underwritten Securities and Common Stock issued in connection with the reinvestment of dividends or distributions, for a period of 90 days from the date of this Agreement without the prior consent of the Representatives; and</w:t>
      </w:r>
    </w:p>
    <w:p>
      <w:pPr>
        <w:spacing w:after="0" w:line="107" w:lineRule="exact"/>
        <w:rPr>
          <w:sz w:val="20"/>
          <w:szCs w:val="20"/>
          <w:color w:val="auto"/>
        </w:rPr>
      </w:pPr>
    </w:p>
    <w:p>
      <w:pPr>
        <w:ind w:left="280" w:hanging="272"/>
        <w:spacing w:after="0"/>
        <w:tabs>
          <w:tab w:leader="none" w:pos="280"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to use commercially reasonable efforts to maintain a system of internal accounting controls sufficient to provide reasonable assurances that (i) material information relating to the Company and the assets managed by the Investment Adviser is promptly made known to the officers responsible for establishing and maintaining the system of internal accounting controls and (ii) any significant deficiencies or weaknesses in the design or operation of internal accounting controls which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09" w:name="page310"/>
    <w:bookmarkEnd w:id="3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4. </w:t>
      </w:r>
      <w:r>
        <w:rPr>
          <w:rFonts w:ascii="Arial" w:cs="Arial" w:eastAsia="Arial" w:hAnsi="Arial"/>
          <w:sz w:val="18"/>
          <w:szCs w:val="18"/>
          <w:i w:val="1"/>
          <w:iCs w:val="1"/>
          <w:color w:val="auto"/>
        </w:rPr>
        <w:t>Payment of Expenses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pay all expenses incident to the performance of its obligations under this Agreement, including:</w:t>
      </w:r>
    </w:p>
    <w:p>
      <w:pPr>
        <w:spacing w:after="0" w:line="90" w:lineRule="exact"/>
        <w:rPr>
          <w:sz w:val="20"/>
          <w:szCs w:val="20"/>
          <w:color w:val="auto"/>
        </w:rPr>
      </w:pPr>
    </w:p>
    <w:p>
      <w:pPr>
        <w:ind w:left="700" w:hanging="236"/>
        <w:spacing w:after="0"/>
        <w:tabs>
          <w:tab w:leader="none" w:pos="70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of each amendment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64" w:lineRule="exact"/>
        <w:rPr>
          <w:rFonts w:ascii="Arial" w:cs="Arial" w:eastAsia="Arial" w:hAnsi="Arial"/>
          <w:sz w:val="16"/>
          <w:szCs w:val="16"/>
          <w:color w:val="auto"/>
        </w:rPr>
      </w:pPr>
    </w:p>
    <w:p>
      <w:pPr>
        <w:ind w:firstLine="464"/>
        <w:spacing w:after="0" w:line="332" w:lineRule="auto"/>
        <w:tabs>
          <w:tab w:leader="none" w:pos="705"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delivery to the Underwriters of this Agreement, the Warrant Agreement [and the Deposit Agreement], any Agreement among Underwriters and such other documents as may be required in connection with the offering, purchase, sale, issuance or delivery of the Underwritten Securities;</w:t>
      </w:r>
    </w:p>
    <w:p>
      <w:pPr>
        <w:spacing w:after="0" w:line="85" w:lineRule="exact"/>
        <w:rPr>
          <w:rFonts w:ascii="Arial" w:cs="Arial" w:eastAsia="Arial" w:hAnsi="Arial"/>
          <w:sz w:val="16"/>
          <w:szCs w:val="16"/>
          <w:color w:val="auto"/>
        </w:rPr>
      </w:pPr>
    </w:p>
    <w:p>
      <w:pPr>
        <w:ind w:right="540" w:firstLine="464"/>
        <w:spacing w:after="0" w:line="259" w:lineRule="auto"/>
        <w:tabs>
          <w:tab w:leader="none" w:pos="69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preparation, issuance and delivery of the certificates for the Underwritten Securities and any Warrant Securities issuable upon exercise of the Warrants to the Underwriters, including any stock or other transfer taxes and any stamp or other duties payable upon the sale, issuance or delivery of the Underwritten Securities and any Warrant Securities to the Underwriters;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fees and disbursements of the Company’s, the Investment Adviser’s and the Administrator’s counsel, accountants and other advisers;</w:t>
      </w:r>
    </w:p>
    <w:p>
      <w:pPr>
        <w:spacing w:after="0" w:line="194" w:lineRule="exact"/>
        <w:rPr>
          <w:rFonts w:ascii="Arial" w:cs="Arial" w:eastAsia="Arial" w:hAnsi="Arial"/>
          <w:sz w:val="16"/>
          <w:szCs w:val="16"/>
          <w:color w:val="auto"/>
        </w:rPr>
      </w:pPr>
    </w:p>
    <w:p>
      <w:pPr>
        <w:ind w:firstLine="464"/>
        <w:spacing w:after="0" w:line="305" w:lineRule="auto"/>
        <w:tabs>
          <w:tab w:leader="none" w:pos="695" w:val="left"/>
        </w:tabs>
        <w:numPr>
          <w:ilvl w:val="1"/>
          <w:numId w:val="284"/>
        </w:numPr>
        <w:rPr>
          <w:rFonts w:ascii="Arial" w:cs="Arial" w:eastAsia="Arial" w:hAnsi="Arial"/>
          <w:sz w:val="15"/>
          <w:szCs w:val="15"/>
          <w:color w:val="auto"/>
        </w:rPr>
      </w:pPr>
      <w:r>
        <w:rPr>
          <w:rFonts w:ascii="Arial" w:cs="Arial" w:eastAsia="Arial" w:hAnsi="Arial"/>
          <w:sz w:val="15"/>
          <w:szCs w:val="15"/>
          <w:color w:val="auto"/>
        </w:rPr>
        <w:t>up to $10,000 for (A) the qualification of the Underwritten Securities and any Warrant Securities issuable upon exercise of the Warrants under securities laws in accordance with the provisions of Section 3(2) hereof, (B) in connection with the preparation of any blue sky surveys and any supplements thereto and</w:t>
      </w:r>
    </w:p>
    <w:p>
      <w:pPr>
        <w:ind w:firstLine="8"/>
        <w:spacing w:after="0" w:line="261" w:lineRule="auto"/>
        <w:tabs>
          <w:tab w:leader="none" w:pos="27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filing fees incident to, and the reasonable fees and disbursements of counsel to the Underwriters in connection with, the review by the FINRA of the terms of the sale of the Underwritten Securities</w:t>
      </w:r>
    </w:p>
    <w:p>
      <w:pPr>
        <w:spacing w:after="0" w:line="137" w:lineRule="exact"/>
        <w:rPr>
          <w:rFonts w:ascii="Arial" w:cs="Arial" w:eastAsia="Arial" w:hAnsi="Arial"/>
          <w:sz w:val="18"/>
          <w:szCs w:val="18"/>
          <w:color w:val="auto"/>
        </w:rPr>
      </w:pPr>
    </w:p>
    <w:p>
      <w:pPr>
        <w:ind w:left="680" w:hanging="216"/>
        <w:spacing w:after="0"/>
        <w:tabs>
          <w:tab w:leader="none" w:pos="680" w:val="left"/>
        </w:tabs>
        <w:numPr>
          <w:ilvl w:val="1"/>
          <w:numId w:val="285"/>
        </w:numPr>
        <w:rPr>
          <w:rFonts w:ascii="Arial" w:cs="Arial" w:eastAsia="Arial" w:hAnsi="Arial"/>
          <w:sz w:val="15"/>
          <w:szCs w:val="15"/>
          <w:color w:val="auto"/>
        </w:rPr>
      </w:pPr>
      <w:r>
        <w:rPr>
          <w:rFonts w:ascii="Arial" w:cs="Arial" w:eastAsia="Arial" w:hAnsi="Arial"/>
          <w:sz w:val="15"/>
          <w:szCs w:val="15"/>
          <w:color w:val="auto"/>
        </w:rPr>
        <w:t>the printing and delivery to the Underwriters of copies of the Pre-pricing Prospectus and of the Prospectus and any amendments or supplements thereto;</w:t>
      </w:r>
    </w:p>
    <w:p>
      <w:pPr>
        <w:spacing w:after="0" w:line="205" w:lineRule="exact"/>
        <w:rPr>
          <w:rFonts w:ascii="Arial" w:cs="Arial" w:eastAsia="Arial" w:hAnsi="Arial"/>
          <w:sz w:val="15"/>
          <w:szCs w:val="15"/>
          <w:color w:val="auto"/>
        </w:rPr>
      </w:pPr>
    </w:p>
    <w:p>
      <w:pPr>
        <w:ind w:left="720" w:hanging="256"/>
        <w:spacing w:after="0"/>
        <w:tabs>
          <w:tab w:leader="none" w:pos="7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fees and expenses of any transfer agent or registrar for the Underwritten Securities; and</w:t>
      </w:r>
    </w:p>
    <w:p>
      <w:pPr>
        <w:spacing w:after="0" w:line="171" w:lineRule="exact"/>
        <w:rPr>
          <w:rFonts w:ascii="Arial" w:cs="Arial" w:eastAsia="Arial" w:hAnsi="Arial"/>
          <w:sz w:val="18"/>
          <w:szCs w:val="18"/>
          <w:color w:val="auto"/>
        </w:rPr>
      </w:pPr>
    </w:p>
    <w:p>
      <w:pPr>
        <w:ind w:right="40" w:firstLine="464"/>
        <w:spacing w:after="0" w:line="268" w:lineRule="auto"/>
        <w:tabs>
          <w:tab w:leader="none" w:pos="70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fees and expenses incurred in connection with the inclusion of the Underwritten Securities or any Warrant Securities, if applicable, in the NASDAQ Global Select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obligations of the several Underwriters hereunder are subject to the accuracy of the representations and warranties of the Company, the Investment Adviser and the Administrator contained in Section 1 hereof or in certificates of any officer of the Company, the Investment Adviser or the Administrator, to the performance by the Company, the Investment Adviser and the Administrator of their respective covenants and other obligations hereunder, and to the following further conditions:</w:t>
      </w:r>
    </w:p>
    <w:p>
      <w:pPr>
        <w:spacing w:after="0" w:line="62" w:lineRule="exact"/>
        <w:rPr>
          <w:sz w:val="20"/>
          <w:szCs w:val="20"/>
          <w:color w:val="auto"/>
        </w:rPr>
      </w:pPr>
    </w:p>
    <w:p>
      <w:pPr>
        <w:ind w:left="900" w:hanging="446"/>
        <w:spacing w:after="0"/>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The Registration Statement has become effective and at Closing Time no stop order suspending the effectiveness of the Registration Statement shall have been issued under the Securities Act or proceedings therefor initiated or threatened by the Commission.</w:t>
      </w:r>
    </w:p>
    <w:p>
      <w:pPr>
        <w:spacing w:after="0" w:line="4" w:lineRule="exact"/>
        <w:rPr>
          <w:sz w:val="20"/>
          <w:szCs w:val="20"/>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Closing Time, the Representatives shall have received a signed favorable opinion, dated as of Closing Time, of Dechert LLP, counsel for the</w:t>
      </w:r>
    </w:p>
    <w:p>
      <w:pPr>
        <w:spacing w:after="0" w:line="38"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18"/>
          <w:szCs w:val="18"/>
          <w:color w:val="auto"/>
        </w:rPr>
        <w:t>Company, and</w:t>
      </w:r>
      <w:r>
        <w:rPr>
          <w:sz w:val="20"/>
          <w:szCs w:val="20"/>
          <w:color w:val="auto"/>
        </w:rPr>
        <w:tab/>
      </w:r>
      <w:r>
        <w:rPr>
          <w:rFonts w:ascii="Arial" w:cs="Arial" w:eastAsia="Arial" w:hAnsi="Arial"/>
          <w:sz w:val="15"/>
          <w:szCs w:val="15"/>
          <w:color w:val="auto"/>
        </w:rPr>
        <w:t>, special Maryland counsel for the Company, together with reproduced copies of such letter for each of the other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9" w:right="259" w:bottom="1440" w:gutter="0" w:footer="0" w:header="0"/>
        </w:sectPr>
      </w:pPr>
    </w:p>
    <w:bookmarkStart w:id="310" w:name="page311"/>
    <w:bookmarkEnd w:id="310"/>
    <w:p>
      <w:pPr>
        <w:ind w:left="466"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Underwriters, substantially in the form set forth in Exhibits A and B hereto. Such counsel may state that, insofar as such opinion involves factual matters, they have relied upon certificates of officers of the Company and/or any of the Subsidiaries and certificates of public officials.</w:t>
      </w:r>
    </w:p>
    <w:p>
      <w:pPr>
        <w:spacing w:after="0" w:line="4" w:lineRule="exact"/>
        <w:rPr>
          <w:sz w:val="20"/>
          <w:szCs w:val="20"/>
          <w:color w:val="auto"/>
        </w:rPr>
      </w:pPr>
    </w:p>
    <w:p>
      <w:pPr>
        <w:ind w:left="446" w:hanging="446"/>
        <w:spacing w:after="0"/>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w:t>
      </w:r>
    </w:p>
    <w:p>
      <w:pPr>
        <w:spacing w:after="0" w:line="90"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At Closing Time, the Representatives shall have received the signed favorable opinion, dated as of Closing Time, of , counsel for the Underwriters, together with signed or reproduced copies of such letter for each of the other Underwriters, substantially in the form set forth in Exhibit C hereto. Such counsel may also state that, insofar as such opinion involves factual matters, they have relied, to the extent they deem proper, upon certificates of officers of the Company and/or any of the Subsidiaries and certificates of public officials.</w:t>
      </w:r>
    </w:p>
    <w:p>
      <w:pPr>
        <w:spacing w:after="0" w:line="32" w:lineRule="exact"/>
        <w:rPr>
          <w:sz w:val="20"/>
          <w:szCs w:val="20"/>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No Material Adverse Effect; Officers’ Certificates</w:t>
      </w:r>
      <w:r>
        <w:rPr>
          <w:rFonts w:ascii="Arial" w:cs="Arial" w:eastAsia="Arial" w:hAnsi="Arial"/>
          <w:sz w:val="18"/>
          <w:szCs w:val="18"/>
          <w:color w:val="auto"/>
        </w:rPr>
        <w:t>.</w:t>
      </w:r>
    </w:p>
    <w:p>
      <w:pPr>
        <w:spacing w:after="0" w:line="90" w:lineRule="exact"/>
        <w:rPr>
          <w:sz w:val="20"/>
          <w:szCs w:val="20"/>
          <w:color w:val="auto"/>
        </w:rPr>
      </w:pPr>
    </w:p>
    <w:p>
      <w:pPr>
        <w:ind w:left="466" w:right="120"/>
        <w:spacing w:after="0" w:line="290" w:lineRule="auto"/>
        <w:rPr>
          <w:sz w:val="20"/>
          <w:szCs w:val="20"/>
          <w:color w:val="auto"/>
        </w:rPr>
      </w:pPr>
      <w:r>
        <w:rPr>
          <w:rFonts w:ascii="Arial" w:cs="Arial" w:eastAsia="Arial" w:hAnsi="Arial"/>
          <w:sz w:val="16"/>
          <w:szCs w:val="16"/>
          <w:color w:val="auto"/>
        </w:rPr>
        <w:t>At Closing Time, there shall not have been, since the date hereof or since the respective dates as of which information is given in the Prospectus or the Pre-pricing Prospectus, any Material Adverse Effect, and the Representatives shall have received a certificate of the president of the Company and of the chief financial or chief accounting officer of the Company, dated as of Closing Time, to the effect that (A) there has been no Material Adverse Effect, (B) the representations and warranties in Section 1 hereof are true and correct with the same force and effect as though expressly made at and as of Closing Time, (C) the Company has complied with all agreements and satisfied all conditions on its part to be performed or satisfied at or prior to Closing Time and (D) no stop order suspending the effectiveness of the Registration Statement has been issued and no proceedings for that purpose have been instituted or are pending or, to their knowledge, contemplated by the Commission.</w:t>
      </w:r>
    </w:p>
    <w:p>
      <w:pPr>
        <w:spacing w:after="0" w:line="37" w:lineRule="exact"/>
        <w:rPr>
          <w:sz w:val="20"/>
          <w:szCs w:val="20"/>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w:t>
      </w:r>
    </w:p>
    <w:p>
      <w:pPr>
        <w:spacing w:after="0" w:line="90" w:lineRule="exact"/>
        <w:rPr>
          <w:sz w:val="20"/>
          <w:szCs w:val="20"/>
          <w:color w:val="auto"/>
        </w:rPr>
      </w:pPr>
    </w:p>
    <w:p>
      <w:pPr>
        <w:ind w:left="466" w:right="120"/>
        <w:spacing w:after="0" w:line="298" w:lineRule="auto"/>
        <w:rPr>
          <w:sz w:val="20"/>
          <w:szCs w:val="20"/>
          <w:color w:val="auto"/>
        </w:rPr>
      </w:pPr>
      <w:r>
        <w:rPr>
          <w:rFonts w:ascii="Arial" w:cs="Arial" w:eastAsia="Arial" w:hAnsi="Arial"/>
          <w:sz w:val="16"/>
          <w:szCs w:val="16"/>
          <w:color w:val="auto"/>
        </w:rPr>
        <w:t>At the time of the execution of this Agreement, the Representatives shall have received from KPMG LLP a signed letter, in form and substance reasonably satisfactory to the Representatives, together with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32" w:lineRule="exact"/>
        <w:rPr>
          <w:sz w:val="20"/>
          <w:szCs w:val="20"/>
          <w:color w:val="auto"/>
        </w:rPr>
      </w:pPr>
    </w:p>
    <w:p>
      <w:pPr>
        <w:ind w:left="446" w:hanging="446"/>
        <w:spacing w:after="0"/>
        <w:tabs>
          <w:tab w:leader="none" w:pos="446"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w:t>
      </w:r>
    </w:p>
    <w:p>
      <w:pPr>
        <w:spacing w:after="0" w:line="90" w:lineRule="exact"/>
        <w:rPr>
          <w:sz w:val="20"/>
          <w:szCs w:val="20"/>
          <w:color w:val="auto"/>
        </w:rPr>
      </w:pPr>
    </w:p>
    <w:p>
      <w:pPr>
        <w:ind w:left="466" w:right="60"/>
        <w:spacing w:after="0" w:line="259" w:lineRule="auto"/>
        <w:rPr>
          <w:sz w:val="20"/>
          <w:szCs w:val="20"/>
          <w:color w:val="auto"/>
        </w:rPr>
      </w:pPr>
      <w:r>
        <w:rPr>
          <w:rFonts w:ascii="Arial" w:cs="Arial" w:eastAsia="Arial" w:hAnsi="Arial"/>
          <w:sz w:val="18"/>
          <w:szCs w:val="18"/>
          <w:color w:val="auto"/>
        </w:rPr>
        <w:t>At Closing Time, the Representatives shall have received from KPMG LLP a signed letter, dated as of Closing Time, to the effect that they reaffirm the statements made in the letter furnished pursuant to subsection (e) of this Section, except that the specified date referred to shall be a date not more than three business days prior to Closing Time.</w:t>
      </w:r>
    </w:p>
    <w:p>
      <w:pPr>
        <w:spacing w:after="0" w:line="59" w:lineRule="exact"/>
        <w:rPr>
          <w:sz w:val="20"/>
          <w:szCs w:val="20"/>
          <w:color w:val="auto"/>
        </w:rPr>
      </w:pPr>
    </w:p>
    <w:p>
      <w:pPr>
        <w:ind w:left="446" w:hanging="446"/>
        <w:spacing w:after="0"/>
        <w:tabs>
          <w:tab w:leader="none" w:pos="446" w:val="left"/>
        </w:tabs>
        <w:numPr>
          <w:ilvl w:val="0"/>
          <w:numId w:val="293"/>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w:t>
      </w:r>
    </w:p>
    <w:p>
      <w:pPr>
        <w:spacing w:after="0" w:line="90" w:lineRule="exact"/>
        <w:rPr>
          <w:sz w:val="20"/>
          <w:szCs w:val="20"/>
          <w:color w:val="auto"/>
        </w:rPr>
      </w:pPr>
    </w:p>
    <w:p>
      <w:pPr>
        <w:ind w:left="466" w:right="100"/>
        <w:spacing w:after="0" w:line="268" w:lineRule="auto"/>
        <w:rPr>
          <w:sz w:val="20"/>
          <w:szCs w:val="20"/>
          <w:color w:val="auto"/>
        </w:rPr>
      </w:pPr>
      <w:r>
        <w:rPr>
          <w:rFonts w:ascii="Arial" w:cs="Arial" w:eastAsia="Arial" w:hAnsi="Arial"/>
          <w:sz w:val="18"/>
          <w:szCs w:val="18"/>
          <w:color w:val="auto"/>
        </w:rPr>
        <w:t>At Closing Time, the [if applicable, describe Securities] shall have been approved for inclusion in [describe applicable stock exchange or quotation service], subject only to official notice of issuance.</w:t>
      </w:r>
    </w:p>
    <w:p>
      <w:pPr>
        <w:spacing w:after="0" w:line="51" w:lineRule="exact"/>
        <w:rPr>
          <w:sz w:val="20"/>
          <w:szCs w:val="20"/>
          <w:color w:val="auto"/>
        </w:rPr>
      </w:pPr>
    </w:p>
    <w:p>
      <w:pPr>
        <w:ind w:left="446" w:hanging="446"/>
        <w:spacing w:after="0"/>
        <w:tabs>
          <w:tab w:leader="none" w:pos="446"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FINRA has not raised any objection with respect to the fairness and reasonableness of the underwriting terms and arrangements.</w:t>
      </w:r>
    </w:p>
    <w:p>
      <w:pPr>
        <w:spacing w:after="0" w:line="158"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6"/>
          </w:cols>
          <w:pgMar w:left="694" w:top="279" w:right="299" w:bottom="1440" w:gutter="0" w:footer="0" w:header="0"/>
        </w:sectPr>
      </w:pPr>
    </w:p>
    <w:bookmarkStart w:id="311" w:name="page312"/>
    <w:bookmarkEnd w:id="311"/>
    <w:p>
      <w:pPr>
        <w:ind w:left="446" w:hanging="446"/>
        <w:spacing w:after="0"/>
        <w:tabs>
          <w:tab w:leader="none" w:pos="446" w:val="left"/>
        </w:tabs>
        <w:numPr>
          <w:ilvl w:val="0"/>
          <w:numId w:val="2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Lock-up Agreements</w:t>
      </w:r>
      <w:r>
        <w:rPr>
          <w:rFonts w:ascii="Arial" w:cs="Arial" w:eastAsia="Arial" w:hAnsi="Arial"/>
          <w:sz w:val="18"/>
          <w:szCs w:val="18"/>
          <w:color w:val="auto"/>
        </w:rPr>
        <w:t>.</w:t>
      </w:r>
    </w:p>
    <w:p>
      <w:pPr>
        <w:spacing w:after="0" w:line="90" w:lineRule="exact"/>
        <w:rPr>
          <w:sz w:val="20"/>
          <w:szCs w:val="20"/>
          <w:color w:val="auto"/>
        </w:rPr>
      </w:pPr>
    </w:p>
    <w:p>
      <w:pPr>
        <w:ind w:left="466" w:right="180"/>
        <w:spacing w:after="0" w:line="335" w:lineRule="auto"/>
        <w:rPr>
          <w:sz w:val="20"/>
          <w:szCs w:val="20"/>
          <w:color w:val="auto"/>
        </w:rPr>
      </w:pPr>
      <w:r>
        <w:rPr>
          <w:rFonts w:ascii="Arial" w:cs="Arial" w:eastAsia="Arial" w:hAnsi="Arial"/>
          <w:sz w:val="15"/>
          <w:szCs w:val="15"/>
          <w:color w:val="auto"/>
        </w:rPr>
        <w:t>At the date of this Agreement, the Representatives shall have received an agreement substantially in the form of Exhibit C hereto signed by the persons listed on Schedule C hereto. Notwithstanding the foregoing or any lock-up agreement delivered in connection with this Section 5(i) to the contrary, the Investment Adviser may pledge shares of Common Stock of the Company that it owns in one or more bona fide lending transactions.</w:t>
      </w:r>
    </w:p>
    <w:p>
      <w:pPr>
        <w:spacing w:after="0" w:line="7" w:lineRule="exact"/>
        <w:rPr>
          <w:sz w:val="20"/>
          <w:szCs w:val="20"/>
          <w:color w:val="auto"/>
        </w:rPr>
      </w:pPr>
    </w:p>
    <w:p>
      <w:pPr>
        <w:ind w:left="446" w:hanging="446"/>
        <w:spacing w:after="0"/>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w:t>
      </w:r>
    </w:p>
    <w:p>
      <w:pPr>
        <w:spacing w:after="0" w:line="90" w:lineRule="exact"/>
        <w:rPr>
          <w:sz w:val="20"/>
          <w:szCs w:val="20"/>
          <w:color w:val="auto"/>
        </w:rPr>
      </w:pPr>
    </w:p>
    <w:p>
      <w:pPr>
        <w:ind w:left="466"/>
        <w:spacing w:after="0" w:line="335" w:lineRule="auto"/>
        <w:rPr>
          <w:sz w:val="20"/>
          <w:szCs w:val="20"/>
          <w:color w:val="auto"/>
        </w:rPr>
      </w:pPr>
      <w:r>
        <w:rPr>
          <w:rFonts w:ascii="Arial" w:cs="Arial" w:eastAsia="Arial" w:hAnsi="Arial"/>
          <w:sz w:val="15"/>
          <w:szCs w:val="15"/>
          <w:color w:val="auto"/>
        </w:rPr>
        <w:t>In the event that the Underwriters exercise their option provided in Section 2(2) hereof to purchase all or any portion of the Option Securities, the representations and warranties of the Company, the Investment Adviser and the Administrator contained herein and the statements in any certificates furnished by the Company, the Investment Adviser and the Administrator hereunder shall be true and correct as of each Date of Delivery.</w:t>
      </w:r>
    </w:p>
    <w:p>
      <w:pPr>
        <w:spacing w:after="0" w:line="7" w:lineRule="exact"/>
        <w:rPr>
          <w:sz w:val="20"/>
          <w:szCs w:val="20"/>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Additional Officers’ Certificates and Opinions and Comfort Letters.</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Upon purchase of the overallotment option, at each relevant Date of Delivery, the Representatives shall have received:</w:t>
      </w:r>
    </w:p>
    <w:p>
      <w:pPr>
        <w:spacing w:after="0" w:line="90" w:lineRule="exact"/>
        <w:rPr>
          <w:sz w:val="20"/>
          <w:szCs w:val="20"/>
          <w:color w:val="auto"/>
        </w:rPr>
      </w:pPr>
    </w:p>
    <w:p>
      <w:pPr>
        <w:ind w:left="466" w:right="40" w:firstLine="1"/>
        <w:spacing w:after="0" w:line="332" w:lineRule="auto"/>
        <w:tabs>
          <w:tab w:leader="none" w:pos="67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 certificate, dated such Date of Delivery, of the Chief Executive Officer of the Company and of the Chief Financial Officer of the Company confirming that the certificate delivered at the Closing Time pursuant to Section 5(1)(d) hereof remains true and correct as of such Date of Delivery;</w:t>
      </w:r>
    </w:p>
    <w:p>
      <w:pPr>
        <w:spacing w:after="0" w:line="4" w:lineRule="exact"/>
        <w:rPr>
          <w:sz w:val="20"/>
          <w:szCs w:val="20"/>
          <w:color w:val="auto"/>
        </w:rPr>
      </w:pPr>
    </w:p>
    <w:p>
      <w:pPr>
        <w:jc w:val="both"/>
        <w:ind w:left="466" w:right="120"/>
        <w:spacing w:after="0" w:line="259" w:lineRule="auto"/>
        <w:rPr>
          <w:sz w:val="20"/>
          <w:szCs w:val="20"/>
          <w:color w:val="auto"/>
        </w:rPr>
      </w:pPr>
      <w:r>
        <w:rPr>
          <w:rFonts w:ascii="Arial" w:cs="Arial" w:eastAsia="Arial" w:hAnsi="Arial"/>
          <w:sz w:val="18"/>
          <w:szCs w:val="18"/>
          <w:color w:val="auto"/>
        </w:rPr>
        <w:t>(ii) a signed favorable opinion of Dechert LLP, counsel for the Company, and , special Maryland counsel for the Company, dated such Date of Delivery, relating to the Option Securities to be purchased on such Date of Delivery and otherwise to the same effect as the opinions required by Section 5(1)(b) hereof.</w:t>
      </w:r>
    </w:p>
    <w:p>
      <w:pPr>
        <w:spacing w:after="0" w:line="59" w:lineRule="exact"/>
        <w:rPr>
          <w:sz w:val="20"/>
          <w:szCs w:val="20"/>
          <w:color w:val="auto"/>
        </w:rPr>
      </w:pPr>
    </w:p>
    <w:p>
      <w:pPr>
        <w:ind w:left="466" w:right="660"/>
        <w:spacing w:after="0" w:line="332" w:lineRule="auto"/>
        <w:rPr>
          <w:sz w:val="20"/>
          <w:szCs w:val="20"/>
          <w:color w:val="auto"/>
        </w:rPr>
      </w:pPr>
      <w:r>
        <w:rPr>
          <w:rFonts w:ascii="Arial" w:cs="Arial" w:eastAsia="Arial" w:hAnsi="Arial"/>
          <w:sz w:val="16"/>
          <w:szCs w:val="16"/>
          <w:color w:val="auto"/>
        </w:rPr>
        <w:t>(iii) a signed favorable opinion of , counsel for the Underwriters, dated such Date of Delivery, relating to the Option Securities to be purchased on such Date of Delivery and otherwise to the same effect as the opinion required by Section 5(1)(c) hereof.</w:t>
      </w:r>
    </w:p>
    <w:p>
      <w:pPr>
        <w:spacing w:after="0" w:line="4" w:lineRule="exact"/>
        <w:rPr>
          <w:sz w:val="20"/>
          <w:szCs w:val="20"/>
          <w:color w:val="auto"/>
        </w:rPr>
      </w:pPr>
    </w:p>
    <w:p>
      <w:pPr>
        <w:jc w:val="both"/>
        <w:ind w:left="466" w:right="640" w:firstLine="1"/>
        <w:spacing w:after="0" w:line="335" w:lineRule="auto"/>
        <w:tabs>
          <w:tab w:leader="none" w:pos="764" w:val="left"/>
        </w:tabs>
        <w:numPr>
          <w:ilvl w:val="1"/>
          <w:numId w:val="299"/>
        </w:numPr>
        <w:rPr>
          <w:rFonts w:ascii="Arial" w:cs="Arial" w:eastAsia="Arial" w:hAnsi="Arial"/>
          <w:sz w:val="15"/>
          <w:szCs w:val="15"/>
          <w:color w:val="auto"/>
        </w:rPr>
      </w:pPr>
      <w:r>
        <w:rPr>
          <w:rFonts w:ascii="Arial" w:cs="Arial" w:eastAsia="Arial" w:hAnsi="Arial"/>
          <w:sz w:val="15"/>
          <w:szCs w:val="15"/>
          <w:color w:val="auto"/>
        </w:rPr>
        <w:t>a signed letter from KPMG LLP, in form and substance reasonably satisfactory to the Representatives and dated such Date of Delivery, substantially in the same form and substance as the letter furnished to the Representatives pursuant to Section 5(1)(f) hereof, except that the “specified date” in the letter furnished pursuant to this paragraph shall be a date not more than five days prior to such Date of Delivery.</w:t>
      </w:r>
    </w:p>
    <w:p>
      <w:pPr>
        <w:spacing w:after="0" w:line="7" w:lineRule="exact"/>
        <w:rPr>
          <w:rFonts w:ascii="Arial" w:cs="Arial" w:eastAsia="Arial" w:hAnsi="Arial"/>
          <w:sz w:val="15"/>
          <w:szCs w:val="15"/>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w:t>
      </w:r>
    </w:p>
    <w:p>
      <w:pPr>
        <w:spacing w:after="0" w:line="90" w:lineRule="exact"/>
        <w:rPr>
          <w:sz w:val="20"/>
          <w:szCs w:val="20"/>
          <w:color w:val="auto"/>
        </w:rPr>
      </w:pPr>
    </w:p>
    <w:p>
      <w:pPr>
        <w:ind w:left="466" w:right="120"/>
        <w:spacing w:after="0" w:line="332" w:lineRule="auto"/>
        <w:rPr>
          <w:sz w:val="20"/>
          <w:szCs w:val="20"/>
          <w:color w:val="auto"/>
        </w:rPr>
      </w:pPr>
      <w:r>
        <w:rPr>
          <w:rFonts w:ascii="Arial" w:cs="Arial" w:eastAsia="Arial" w:hAnsi="Arial"/>
          <w:sz w:val="16"/>
          <w:szCs w:val="16"/>
          <w:color w:val="auto"/>
        </w:rPr>
        <w:t>At Closing Time and at each Date of Delivery counsel for the Underwriters shall have been furnished with such documents as they may reasonably require for the purpose of enabling them to pass upon the issuance and sale of the Underwritten Securities as herein contemplated.</w:t>
      </w:r>
    </w:p>
    <w:p>
      <w:pPr>
        <w:spacing w:after="0" w:line="4" w:lineRule="exact"/>
        <w:rPr>
          <w:sz w:val="20"/>
          <w:szCs w:val="20"/>
          <w:color w:val="auto"/>
        </w:rPr>
      </w:pPr>
    </w:p>
    <w:p>
      <w:pPr>
        <w:ind w:left="446" w:hanging="446"/>
        <w:spacing w:after="0"/>
        <w:tabs>
          <w:tab w:leader="none" w:pos="446"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56" w:lineRule="auto"/>
        <w:rPr>
          <w:sz w:val="20"/>
          <w:szCs w:val="20"/>
          <w:color w:val="auto"/>
        </w:rPr>
      </w:pPr>
      <w:r>
        <w:rPr>
          <w:rFonts w:ascii="Arial" w:cs="Arial" w:eastAsia="Arial" w:hAnsi="Arial"/>
          <w:sz w:val="18"/>
          <w:szCs w:val="18"/>
          <w:color w:val="auto"/>
        </w:rPr>
        <w:t>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w:t>
      </w:r>
    </w:p>
    <w:p>
      <w:pPr>
        <w:spacing w:after="0" w:line="13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6"/>
          </w:cols>
          <w:pgMar w:left="694" w:top="280" w:right="279" w:bottom="1440" w:gutter="0" w:footer="0" w:header="0"/>
        </w:sectPr>
      </w:pPr>
    </w:p>
    <w:bookmarkStart w:id="312" w:name="page313"/>
    <w:bookmarkEnd w:id="312"/>
    <w:p>
      <w:pPr>
        <w:ind w:left="92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such termination shall be without liability of any party to any other party except as provided in Section 4 and except that Sections 6 and 7 shall survive any such termination and remain in full force and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02"/>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w:t>
      </w:r>
      <w:r>
        <w:rPr>
          <w:rFonts w:ascii="Arial" w:cs="Arial" w:eastAsia="Arial" w:hAnsi="Arial"/>
          <w:sz w:val="18"/>
          <w:szCs w:val="18"/>
          <w:color w:val="auto"/>
        </w:rPr>
        <w:t>.</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Investment Adviser and Administrator agrees, jointly and severally, to indemnify and hold harmless each Underwriter, its affiliates, as such term is defined in Rule 501(b) under the Securities Act, its selling agents and each person, if any, who controls any Underwriter within the meaning of Section 15 of the Securities Act or Section 20 of the Securities Exchange Act as follows:</w:t>
      </w:r>
    </w:p>
    <w:p>
      <w:pPr>
        <w:spacing w:after="0" w:line="59" w:lineRule="exact"/>
        <w:rPr>
          <w:sz w:val="20"/>
          <w:szCs w:val="20"/>
          <w:color w:val="auto"/>
        </w:rPr>
      </w:pPr>
    </w:p>
    <w:p>
      <w:pPr>
        <w:ind w:left="900" w:right="40" w:hanging="446"/>
        <w:spacing w:after="0" w:line="294" w:lineRule="auto"/>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Pre-pricing Prospectus or the Prospectus, or the omission or alleged omission therefrom of a material fact necessary in order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and</w:t>
      </w:r>
    </w:p>
    <w:p>
      <w:pPr>
        <w:spacing w:after="0" w:line="62"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against any and all expense whatsoever (including the fees and disbursements of counsel chosen by the Representatives), as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no case shall the Company, the Investment Adviser or the Administrator be liable under this indemnity agreement with respect to any claim made against any Underwriter or any other indemnified party specified in this Section 6 unless the Company, the Investment Adviser and the Administrator, as applicable, shall be notified in writing of the nature of the claim within a reasonable time after the assertion thereof, but failure so to notify the Company, the Investment Adviser and the Administrator shall not relieve them from any liability to the extent each is not materially prejudiced as a result thereof and which they may have otherwise than on account of this indemnity agreement. Each of the Company, the Investment Adviser and the Administrator shall be entitled to participate at its own expense in the defense, or if it so elects within a reasonable time after receipt of such notice, to assume the defense for any suit brought to enforce any such claim, but if the Company, the Investment Adviser or the Administrator elects to assume such defense, such defense shall be conducted by counsel chosen by it and satisfactory to the Underwriter or Underwriters or controlling person or persons, defendant or defendant in any suit so brought. In the event that the Company, the Investment Adviser or the Administrator elects to assume the defense of any such suit and retains such counsel, the Underwriter or Underwriters or controlling person or persons, defendant or defendant in the suit shall bear the fees and expenses of any additional counsel thereafter retained by them. In the event that the parties to any such action (including impleaded parties) include the Company, the Investment Adviser or Administrator and one or more Underwriter or Underwriters and any such Underwriter shall have been advised by counsel chosen by it and satisfactory to the Company, the Investment Adviser or the Administrator that there may be one or more legal defenses available to it which are different from or additional to those available to the Company, the Investment Adviser and the Administrator, the Company, the Investment Adviser or the Administrator, as applicable, shall not have the right to assume the defense of such action on behalf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313" w:name="page314"/>
    <w:bookmarkEnd w:id="313"/>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Underwriter and shall reimburse such Underwriter and any person controlling such Underwriter as aforesaid for the reasonable fees and expenses of any counsel retained by them, it being understood that the Company, the Investment Adviser and the Administrator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Representatives. Notwithstanding anything to the contrary herein, neither the assumption of the defense of any claim nor the payment of any fees or expenses related thereto shall be deemed to be an admission by the indemnifying party that it has the obligation to indemnify any person pursuant to this Agreement.</w:t>
      </w:r>
    </w:p>
    <w:p>
      <w:pPr>
        <w:spacing w:after="0" w:line="120" w:lineRule="exact"/>
        <w:rPr>
          <w:sz w:val="20"/>
          <w:szCs w:val="20"/>
          <w:color w:val="auto"/>
        </w:rPr>
      </w:pPr>
    </w:p>
    <w:p>
      <w:pPr>
        <w:ind w:left="180" w:hanging="172"/>
        <w:spacing w:after="0"/>
        <w:tabs>
          <w:tab w:leader="none" w:pos="180"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Indemnification of Company, Directors, Officers, Investment Adviser and Administrator</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Underwriter severally agrees that it shall indemnify and hold harmless the Company, the Investment Adviser, the Administrator and each of their officers, directors and each person, if any, who controls the Company within the meaning of Section 15 of the Securities Act or Section 20 of the Securities Exchange Act to the same extent as the foregoing indemnity from the Company, the Investment Adviser and Administrator, as applicable, but only with respect to statements or omissions made in the Pre-pricing Prospectus or the Prospectus (or any amendment or supplement thereto) or the Registration Statement (or any amendment thereto) in reliance upon and in conformity with written information furnished to the Company by or on behalf of such Underwriter through the Representatives expressly for use in the Pre-pricing Prospectus or the Prospectus (or any amendment or supplement thereto). In case any action shall be brought against the Company, the Investment Adviser, the Administrator or any person so indemnified based on the Pre-pricing Prospectus or the Prospectus (or any amendment or supplement thereto) and in respect of which indemnity may be sought against any Underwriter, such Underwriter shall have the right and duties given to the Company, the Investment Adviser and the Administrator, and the Company, the Investment Adviser, the Administrator and each person so indemnified shall have the right and duties given to the Underwriters, by the provisions of Section 6(1).</w:t>
      </w:r>
    </w:p>
    <w:p>
      <w:pPr>
        <w:spacing w:after="0" w:line="123" w:lineRule="exact"/>
        <w:rPr>
          <w:sz w:val="20"/>
          <w:szCs w:val="20"/>
          <w:color w:val="auto"/>
        </w:rPr>
      </w:pPr>
    </w:p>
    <w:p>
      <w:pPr>
        <w:ind w:left="180" w:hanging="172"/>
        <w:spacing w:after="0"/>
        <w:tabs>
          <w:tab w:leader="none" w:pos="180"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Settlement of Claims.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Contribution</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the indemnification provisions provided in Section 6 above should under applicable law be unenforceable in respect of any losses, liabilities, claims, damages or expenses (or actions in respect thereof) referred to therein, then each indemnifying party shall contribute to the amount paid or payable by such indemnified party as a result of such losses, liabilities, claims, damages or expenses (or actions in respect thereof) in such proportion as is appropriate to reflect the relative benefit received by the Company, the Investment Adviser, the Administrator and the Underwriters from the offering of the Underwritten Securities and also the relative fault of the Company, the Investment Adviser, the Administrator and the Underwriters in connection with the statements or omissions which resulted in such losses, liabilities, claims, damages or expenses (or actions in respect thereof), as well as any other relevant equitable considerations.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relative benefits received by the Company, the Investment Adviser, the Administrator and the Underwriters shall be deemed to be in the same proportion as the total net proceeds from the offering (before deducting expenses) received by the Company, the Investment Adviser and the Administrator and the total underwriting discounts and commissions received by the Underwriters, in each case as set forth in the Prospectus, bear to the aggregate public offering price of the Underwritten Securities.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relative fault shall be determined by reference to, among other things, whether the indemnified party failed to give the notice required under Section 6 above including the consequences of such failure, and whether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14" w:name="page315"/>
    <w:bookmarkEnd w:id="31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untrue or alleged untrue statement of a material fact or the omission or alleged omission to state a material fact relates to information supplied by the Company, the Investment Adviser, the Administrator or the Underwriters and the parties’ relative intent, knowledge, access to information and opportunity to correct or prevent such statement or omission of the Company, the Investment Adviser, the Administrator and the Underwriters, directly or through the Representatives of the Underwriters. The Company, the Investment Adviser, the Administrator and the Underwriters agree that it would not be just and equitable if contribution pursuant to this Section 7 were determined by per capita allocation (even if the Underwriters were treated as one entity for such purpose) or by any other method of allocation which does not take account of the equitable considerations referred to above in this Section 7. The amount paid or payable by an indemnified party as a result of the losses, liabilities, claims, damages or expenses (or actions in respect thereof) referred to above in this Section 7 shall be deemed to include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Underwritten Securities underwritten by it and offered to the public exceeds the amount of any damages which such Underwriter has otherwise been required to pay by reason of such untrue or alleged untrue statement or omission or alleged omission.</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Termination; General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Representatives may terminate this Agreement, by notice to the Company, at any time at or prior to Closing Time if:</w:t>
      </w:r>
    </w:p>
    <w:p>
      <w:pPr>
        <w:spacing w:after="0" w:line="90" w:lineRule="exact"/>
        <w:rPr>
          <w:sz w:val="20"/>
          <w:szCs w:val="20"/>
          <w:color w:val="auto"/>
        </w:rPr>
      </w:pPr>
    </w:p>
    <w:p>
      <w:pPr>
        <w:ind w:left="900" w:right="140" w:hanging="446"/>
        <w:spacing w:after="0" w:line="256" w:lineRule="auto"/>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there has been, since the time of execution of this Agreement or since the respective dates as of which information is given in the prospectus in the form first used to confirm sales of the Underwritten Securities, any material adverse change in the financial condition, capitalization or regulatory status of the Company and the Subsidiaries considered as one enterprise or the Investment Adviser, whether or not arising in the ordinary course of business;</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there has occurred any outbreak of hostilities or escalation thereof or other calamity, the effect of which is such as to make it, in the judgment of the Representatives, impracticable or inadvisable to enforce contracts for the sale of the Underwritten Securities;</w:t>
      </w:r>
    </w:p>
    <w:p>
      <w:pPr>
        <w:spacing w:after="0" w:line="50" w:lineRule="exact"/>
        <w:rPr>
          <w:rFonts w:ascii="Arial" w:cs="Arial" w:eastAsia="Arial" w:hAnsi="Arial"/>
          <w:sz w:val="18"/>
          <w:szCs w:val="18"/>
          <w:color w:val="auto"/>
        </w:rPr>
      </w:pPr>
    </w:p>
    <w:p>
      <w:pPr>
        <w:ind w:left="900" w:right="20" w:hanging="446"/>
        <w:spacing w:after="0" w:line="256" w:lineRule="auto"/>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trading in any securities of the Company has been suspended or materially limited by the Commission or the NASDAQ Global Select Market or if trading generally on the NASDAQ Global Select Market has been suspended or materially limited, or minimum or maximum prices for trading have been fixed, or maximum ranges for prices have been required by said exchange or by order of the Commission or any other governmental authority;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if a banking moratorium has been declared by either Federal or New York authorities.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If this Agreement is terminated pursuant to this Section, such termination shall be without liability of any party to any other party, except as provided in Section 4 hereof, and provided, further, that Sections 6 and 7 shall survive such termination and remain in full force and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Default by One or More of the Underwriters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one or more of the Underwriters shall fail at Closing Time or a Date of Delivery to purchase the Underwritten Securities which it or they are obligated to purchase under this Agreement (the “Defaulted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9" w:right="299" w:bottom="1440" w:gutter="0" w:footer="0" w:header="0"/>
        </w:sectPr>
      </w:pPr>
    </w:p>
    <w:bookmarkStart w:id="315" w:name="page316"/>
    <w:bookmarkEnd w:id="31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26" w:lineRule="exact"/>
        <w:rPr>
          <w:sz w:val="20"/>
          <w:szCs w:val="20"/>
          <w:color w:val="auto"/>
        </w:rPr>
      </w:pPr>
    </w:p>
    <w:p>
      <w:pPr>
        <w:ind w:left="900" w:right="100" w:hanging="446"/>
        <w:spacing w:after="0" w:line="306" w:lineRule="auto"/>
        <w:tabs>
          <w:tab w:leader="none" w:pos="9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if the number of Defaulted Securities does not exceed 10% of the aggregate principal amount of Underwritten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25" w:lineRule="exact"/>
        <w:rPr>
          <w:rFonts w:ascii="Arial" w:cs="Arial" w:eastAsia="Arial" w:hAnsi="Arial"/>
          <w:sz w:val="16"/>
          <w:szCs w:val="16"/>
          <w:color w:val="auto"/>
        </w:rPr>
      </w:pPr>
    </w:p>
    <w:p>
      <w:pPr>
        <w:ind w:left="900" w:right="200" w:hanging="446"/>
        <w:spacing w:after="0" w:line="256"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principal amount of Underwritten Securities to be purchased on such date, this Agreement or, with respect to any Date of Delivery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used in this Section only, if the Defaulted Securities include Warrants, the aggregate amount or aggregate principal amount of Securities shall mean the aggregate principal amount of any Securities plus the public offering price of any Warrants included in the relevant Securities.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Representatives or the Company shall have the right to postpone the Closing Time or the relevant Date of Delivery, as the case may be, for a period not exceeding seven days in order to effect any required changes in the Registration Statement, the Pre-pricing Prospectus or the Prospectus or in any other documents or arrangements. As used herein, the term “Underwriter” includes any person substituted for an Underwriter under this Section 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w:t>
      </w:r>
    </w:p>
    <w:p>
      <w:pPr>
        <w:spacing w:after="0" w:line="28"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transmitted by any standard form of telecommunication. Notices to the Underwriters shall be directed to the Representatives at</w:t>
      </w:r>
      <w:r>
        <w:rPr>
          <w:sz w:val="20"/>
          <w:szCs w:val="20"/>
          <w:color w:val="auto"/>
        </w:rPr>
        <w:tab/>
      </w:r>
      <w:r>
        <w:rPr>
          <w:rFonts w:ascii="Arial" w:cs="Arial" w:eastAsia="Arial" w:hAnsi="Arial"/>
          <w:sz w:val="16"/>
          <w:szCs w:val="16"/>
          <w:color w:val="auto"/>
        </w:rPr>
        <w:t>, with a copy</w:t>
      </w:r>
    </w:p>
    <w:p>
      <w:pPr>
        <w:spacing w:after="0"/>
        <w:tabs>
          <w:tab w:leader="none" w:pos="104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 and notices to the Company, the Investment Adviser and Administrator shall be directed to them care of the company at 590 Madison Avenue,</w:t>
      </w:r>
    </w:p>
    <w:p>
      <w:pPr>
        <w:spacing w:after="0" w:line="3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attention: Chief Financial Officer, with a copy to Dechert LLP, 1775 I Street, N.W., Washington, DC 20006, attention: Thomas J. Friedmann.</w:t>
      </w:r>
    </w:p>
    <w:p>
      <w:pPr>
        <w:spacing w:after="0" w:line="18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the Company, the Investment Adviser and the Administrator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the Investment Adviser and the Administrator and their respective successors, and said controlling persons and officers and directors and their heirs and legal representatives, and for the benefit of no other person, firm or corporation. No purchaser of Underwritten Securities from any Underwriter shall be deemed to be a successor by reason merely of such purchase.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9" w:right="259" w:bottom="1440" w:gutter="0" w:footer="0" w:header="0"/>
        </w:sectPr>
      </w:pPr>
    </w:p>
    <w:bookmarkStart w:id="316" w:name="page317"/>
    <w:bookmarkEnd w:id="316"/>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i w:val="1"/>
          <w:iCs w:val="1"/>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 Except as set forth below, no claim or action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both the Underwriters and the Company consent to the jurisdiction of such courts and personal service with respect thereto. Each of the Underwriters and the Company (on its behalf and, to the extent permitted by applicable law, on behalf of its stockholders and affiliates) waives all right to trial by jury in any action, proceeding or counterclaim (whether based upon contract, tort or otherwise) in any way arising out of or relating to this Agreement</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17" w:name="page318"/>
    <w:bookmarkEnd w:id="31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shall become a binding agreement between the Underwriters, the Company, the Investment Adviser and the Administrator in accordance with its terms.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DMINISTRATION</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OF 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Authorized Signatory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hereto.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9" w:right="25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9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w:t>
            </w:r>
          </w:p>
        </w:tc>
        <w:tc>
          <w:tcPr>
            <w:tcW w:w="9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 of Underwriter</w:t>
            </w:r>
          </w:p>
        </w:tc>
        <w:tc>
          <w:tcPr>
            <w:tcW w:w="55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Common Stock</w:t>
            </w:r>
          </w:p>
        </w:tc>
        <w:tc>
          <w:tcPr>
            <w:tcW w:w="9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9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w:t>
            </w:r>
          </w:p>
        </w:tc>
      </w:tr>
      <w:tr>
        <w:trPr>
          <w:trHeight w:val="356"/>
        </w:trPr>
        <w:tc>
          <w:tcPr>
            <w:tcW w:w="1320" w:type="dxa"/>
            <w:vAlign w:val="bottom"/>
          </w:tcPr>
          <w:p>
            <w:pPr>
              <w:spacing w:after="0"/>
              <w:rPr>
                <w:sz w:val="24"/>
                <w:szCs w:val="24"/>
                <w:color w:val="auto"/>
              </w:rPr>
            </w:pPr>
          </w:p>
        </w:tc>
        <w:tc>
          <w:tcPr>
            <w:tcW w:w="6540" w:type="dxa"/>
            <w:vAlign w:val="bottom"/>
            <w:gridSpan w:val="2"/>
          </w:tcPr>
          <w:p>
            <w:pPr>
              <w:ind w:left="4100"/>
              <w:spacing w:after="0"/>
              <w:rPr>
                <w:sz w:val="20"/>
                <w:szCs w:val="20"/>
                <w:color w:val="auto"/>
              </w:rPr>
            </w:pPr>
            <w:r>
              <w:rPr>
                <w:rFonts w:ascii="Arial" w:cs="Arial" w:eastAsia="Arial" w:hAnsi="Arial"/>
                <w:sz w:val="18"/>
                <w:szCs w:val="18"/>
                <w:color w:val="auto"/>
              </w:rPr>
              <w:t>Sch A-1</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19" w:name="page320"/>
    <w:bookmarkEnd w:id="319"/>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00" w:type="dxa"/>
            <w:vAlign w:val="bottom"/>
            <w:gridSpan w:val="2"/>
          </w:tcPr>
          <w:p>
            <w:pPr>
              <w:jc w:val="center"/>
              <w:ind w:left="1292"/>
              <w:spacing w:after="0"/>
              <w:rPr>
                <w:sz w:val="20"/>
                <w:szCs w:val="20"/>
                <w:color w:val="auto"/>
              </w:rPr>
            </w:pPr>
            <w:r>
              <w:rPr>
                <w:rFonts w:ascii="Arial" w:cs="Arial" w:eastAsia="Arial" w:hAnsi="Arial"/>
                <w:sz w:val="18"/>
                <w:szCs w:val="18"/>
                <w:color w:val="auto"/>
                <w:w w:val="86"/>
              </w:rPr>
              <w:t>Shares of Common Stock (Par Value $.001 Per Share)</w:t>
            </w:r>
          </w:p>
        </w:tc>
        <w:tc>
          <w:tcPr>
            <w:tcW w:w="1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20" w:type="dxa"/>
            <w:vAlign w:val="bottom"/>
          </w:tcPr>
          <w:p>
            <w:pPr>
              <w:ind w:left="1520"/>
              <w:spacing w:after="0"/>
              <w:rPr>
                <w:sz w:val="20"/>
                <w:szCs w:val="20"/>
                <w:color w:val="auto"/>
              </w:rPr>
            </w:pPr>
            <w:r>
              <w:rPr>
                <w:rFonts w:ascii="Arial" w:cs="Arial" w:eastAsia="Arial" w:hAnsi="Arial"/>
                <w:sz w:val="18"/>
                <w:szCs w:val="18"/>
                <w:color w:val="auto"/>
                <w:w w:val="95"/>
              </w:rPr>
              <w:t>Shares of Preferred Stock (Par Value $</w:t>
            </w:r>
          </w:p>
        </w:tc>
        <w:tc>
          <w:tcPr>
            <w:tcW w:w="1180" w:type="dxa"/>
            <w:vAlign w:val="bottom"/>
          </w:tcPr>
          <w:p>
            <w:pPr>
              <w:ind w:left="280"/>
              <w:spacing w:after="0"/>
              <w:rPr>
                <w:sz w:val="20"/>
                <w:szCs w:val="20"/>
                <w:color w:val="auto"/>
              </w:rPr>
            </w:pPr>
            <w:r>
              <w:rPr>
                <w:rFonts w:ascii="Arial" w:cs="Arial" w:eastAsia="Arial" w:hAnsi="Arial"/>
                <w:sz w:val="18"/>
                <w:szCs w:val="18"/>
                <w:color w:val="auto"/>
              </w:rPr>
              <w:t>Per Share)</w:t>
            </w:r>
          </w:p>
        </w:tc>
        <w:tc>
          <w:tcPr>
            <w:tcW w:w="1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20" w:type="dxa"/>
            <w:vAlign w:val="bottom"/>
          </w:tcPr>
          <w:p>
            <w:pPr>
              <w:jc w:val="center"/>
              <w:ind w:left="2452"/>
              <w:spacing w:after="0"/>
              <w:rPr>
                <w:sz w:val="20"/>
                <w:szCs w:val="20"/>
                <w:color w:val="auto"/>
              </w:rPr>
            </w:pPr>
            <w:r>
              <w:rPr>
                <w:rFonts w:ascii="Arial" w:cs="Arial" w:eastAsia="Arial" w:hAnsi="Arial"/>
                <w:sz w:val="18"/>
                <w:szCs w:val="18"/>
                <w:color w:val="auto"/>
                <w:w w:val="86"/>
              </w:rPr>
              <w:t>and</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700" w:type="dxa"/>
            <w:vAlign w:val="bottom"/>
            <w:gridSpan w:val="2"/>
          </w:tcPr>
          <w:p>
            <w:pPr>
              <w:jc w:val="center"/>
              <w:ind w:left="1272"/>
              <w:spacing w:after="0"/>
              <w:rPr>
                <w:sz w:val="20"/>
                <w:szCs w:val="20"/>
                <w:color w:val="auto"/>
              </w:rPr>
            </w:pPr>
            <w:r>
              <w:rPr>
                <w:rFonts w:ascii="Arial" w:cs="Arial" w:eastAsia="Arial" w:hAnsi="Arial"/>
                <w:sz w:val="18"/>
                <w:szCs w:val="18"/>
                <w:color w:val="auto"/>
                <w:w w:val="86"/>
              </w:rPr>
              <w:t>Warrants to Purchase Common Stock and Preferred Stock</w:t>
            </w:r>
          </w:p>
        </w:tc>
        <w:tc>
          <w:tcPr>
            <w:tcW w:w="1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78"/>
        </w:trPr>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560" w:type="dxa"/>
            <w:vAlign w:val="bottom"/>
            <w:gridSpan w:val="4"/>
          </w:tcPr>
          <w:p>
            <w:pPr>
              <w:ind w:left="20"/>
              <w:spacing w:after="0"/>
              <w:rPr>
                <w:sz w:val="20"/>
                <w:szCs w:val="20"/>
                <w:color w:val="auto"/>
              </w:rPr>
            </w:pPr>
            <w:r>
              <w:rPr>
                <w:rFonts w:ascii="Arial" w:cs="Arial" w:eastAsia="Arial" w:hAnsi="Arial"/>
                <w:sz w:val="18"/>
                <w:szCs w:val="18"/>
                <w:color w:val="auto"/>
                <w:w w:val="90"/>
              </w:rPr>
              <w:t>The public offering price per share for the Underwritten Securities, determined as provided in said Section 2, shall be $</w:t>
            </w:r>
          </w:p>
        </w:tc>
        <w:tc>
          <w:tcPr>
            <w:tcW w:w="2020" w:type="dxa"/>
            <w:vAlign w:val="bottom"/>
          </w:tcPr>
          <w:p>
            <w:pPr>
              <w:jc w:val="right"/>
              <w:ind w:right="1712"/>
              <w:spacing w:after="0"/>
              <w:rPr>
                <w:sz w:val="20"/>
                <w:szCs w:val="20"/>
                <w:color w:val="auto"/>
              </w:rPr>
            </w:pPr>
            <w:r>
              <w:rPr>
                <w:rFonts w:ascii="Arial" w:cs="Arial" w:eastAsia="Arial" w:hAnsi="Arial"/>
                <w:sz w:val="18"/>
                <w:szCs w:val="18"/>
                <w:color w:val="auto"/>
              </w:rPr>
              <w:t>.</w:t>
            </w:r>
          </w:p>
        </w:tc>
      </w:tr>
      <w:tr>
        <w:trPr>
          <w:trHeight w:val="372"/>
        </w:trPr>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7260" w:type="dxa"/>
            <w:vAlign w:val="bottom"/>
            <w:gridSpan w:val="3"/>
          </w:tcPr>
          <w:p>
            <w:pPr>
              <w:ind w:left="20"/>
              <w:spacing w:after="0"/>
              <w:rPr>
                <w:sz w:val="20"/>
                <w:szCs w:val="20"/>
                <w:color w:val="auto"/>
              </w:rPr>
            </w:pPr>
            <w:r>
              <w:rPr>
                <w:rFonts w:ascii="Arial" w:cs="Arial" w:eastAsia="Arial" w:hAnsi="Arial"/>
                <w:sz w:val="18"/>
                <w:szCs w:val="18"/>
                <w:color w:val="auto"/>
                <w:w w:val="91"/>
              </w:rPr>
              <w:t>The purchase price for the Underwritten Securities to be paid by the several Underwriters shall be $</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w w:val="91"/>
              </w:rPr>
              <w:t>, being an amount equal to the public offering</w:t>
            </w:r>
          </w:p>
        </w:tc>
      </w:tr>
      <w:tr>
        <w:trPr>
          <w:trHeight w:val="222"/>
        </w:trPr>
        <w:tc>
          <w:tcPr>
            <w:tcW w:w="2180" w:type="dxa"/>
            <w:vAlign w:val="bottom"/>
            <w:gridSpan w:val="2"/>
          </w:tcPr>
          <w:p>
            <w:pPr>
              <w:spacing w:after="0"/>
              <w:rPr>
                <w:sz w:val="20"/>
                <w:szCs w:val="20"/>
                <w:color w:val="auto"/>
              </w:rPr>
            </w:pPr>
            <w:r>
              <w:rPr>
                <w:rFonts w:ascii="Arial" w:cs="Arial" w:eastAsia="Arial" w:hAnsi="Arial"/>
                <w:sz w:val="18"/>
                <w:szCs w:val="18"/>
                <w:color w:val="auto"/>
              </w:rPr>
              <w:t>price set forth above less $</w:t>
            </w:r>
          </w:p>
        </w:tc>
        <w:tc>
          <w:tcPr>
            <w:tcW w:w="9020" w:type="dxa"/>
            <w:vAlign w:val="bottom"/>
            <w:gridSpan w:val="4"/>
          </w:tcPr>
          <w:p>
            <w:pPr>
              <w:jc w:val="right"/>
              <w:ind w:right="692"/>
              <w:spacing w:after="0"/>
              <w:rPr>
                <w:sz w:val="20"/>
                <w:szCs w:val="20"/>
                <w:color w:val="auto"/>
              </w:rPr>
            </w:pPr>
            <w:r>
              <w:rPr>
                <w:rFonts w:ascii="Arial" w:cs="Arial" w:eastAsia="Arial" w:hAnsi="Arial"/>
                <w:sz w:val="18"/>
                <w:szCs w:val="18"/>
                <w:color w:val="auto"/>
                <w:w w:val="90"/>
              </w:rPr>
              <w:t>per share; provided that the purchase price per share for any Option Securities purchased upon the exercise of the</w:t>
            </w:r>
          </w:p>
        </w:tc>
      </w:tr>
    </w:tbl>
    <w:p>
      <w:pPr>
        <w:ind w:right="180"/>
        <w:spacing w:after="0" w:line="261" w:lineRule="auto"/>
        <w:rPr>
          <w:sz w:val="20"/>
          <w:szCs w:val="20"/>
          <w:color w:val="auto"/>
        </w:rPr>
      </w:pPr>
      <w:r>
        <w:rPr>
          <w:rFonts w:ascii="Arial" w:cs="Arial" w:eastAsia="Arial" w:hAnsi="Arial"/>
          <w:sz w:val="18"/>
          <w:szCs w:val="18"/>
          <w:color w:val="auto"/>
        </w:rPr>
        <w:t>overallotment option described in Section 2(2) shall be reduced by an amount per share equal to any dividends or distributions declared by the Company and payable on the Initial Securities but not payable on the Option Securities.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Sch B-1</w:t>
      </w:r>
    </w:p>
    <w:p>
      <w:pPr>
        <w:sectPr>
          <w:pgSz w:w="11900" w:h="16838" w:orient="portrait"/>
          <w:cols w:equalWidth="0" w:num="1">
            <w:col w:w="11200"/>
          </w:cols>
          <w:pgMar w:left="240" w:top="280" w:right="45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 OF PERSONS AND ENTITIES SUBJECT TO LOCK</w:t>
      </w:r>
      <w:r>
        <w:rPr>
          <w:rFonts w:ascii="Arial" w:cs="Arial" w:eastAsia="Arial" w:hAnsi="Arial"/>
          <w:sz w:val="18"/>
          <w:szCs w:val="18"/>
          <w:color w:val="auto"/>
        </w:rPr>
        <w:t>-</w:t>
      </w:r>
      <w:r>
        <w:rPr>
          <w:rFonts w:ascii="Arial" w:cs="Arial" w:eastAsia="Arial" w:hAnsi="Arial"/>
          <w:sz w:val="14"/>
          <w:szCs w:val="14"/>
          <w:color w:val="auto"/>
        </w:rPr>
        <w:t>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Portfolio Managers of PennantPark Investment Administration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C-1</w:t>
      </w:r>
    </w:p>
    <w:p>
      <w:pPr>
        <w:sectPr>
          <w:pgSz w:w="11900" w:h="16838" w:orient="portrait"/>
          <w:cols w:equalWidth="0" w:num="1">
            <w:col w:w="9019"/>
          </w:cols>
          <w:pgMar w:left="1440" w:top="280"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t>Exhibit (h)(2)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ind w:left="4320" w:hanging="481"/>
        <w:spacing w:after="0"/>
        <w:tabs>
          <w:tab w:leader="none" w:pos="43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15" w:lineRule="exact"/>
        <w:rPr>
          <w:sz w:val="20"/>
          <w:szCs w:val="20"/>
          <w:color w:val="auto"/>
        </w:rPr>
      </w:pPr>
    </w:p>
    <w:p>
      <w:pPr>
        <w:ind w:left="5580" w:right="3600" w:hanging="1980"/>
        <w:spacing w:after="0" w:line="250" w:lineRule="auto"/>
        <w:tabs>
          <w:tab w:leader="none" w:pos="407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131"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ind w:left="4320" w:hanging="481"/>
        <w:spacing w:after="0"/>
        <w:tabs>
          <w:tab w:leader="none" w:pos="43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15" w:lineRule="exact"/>
        <w:rPr>
          <w:sz w:val="20"/>
          <w:szCs w:val="20"/>
          <w:color w:val="auto"/>
        </w:rPr>
      </w:pPr>
    </w:p>
    <w:p>
      <w:pPr>
        <w:ind w:left="5580" w:right="3600" w:hanging="1980"/>
        <w:spacing w:after="0" w:line="250" w:lineRule="auto"/>
        <w:tabs>
          <w:tab w:leader="none" w:pos="40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PennantPark Investment Corporation, a Maryland corporation (the “Company”), confirms its agreement with [ ] (“ [ ]”) and each of the other Underwriters named in Schedule A hereto (collectively, the “Underwriters,” which term shall also include any underwriter substituted as hereinafter</w:t>
      </w:r>
    </w:p>
    <w:p>
      <w:pPr>
        <w:ind w:right="100"/>
        <w:spacing w:after="0" w:line="254" w:lineRule="auto"/>
        <w:rPr>
          <w:sz w:val="20"/>
          <w:szCs w:val="20"/>
          <w:color w:val="auto"/>
        </w:rPr>
      </w:pPr>
      <w:r>
        <w:rPr>
          <w:rFonts w:ascii="Arial" w:cs="Arial" w:eastAsia="Arial" w:hAnsi="Arial"/>
          <w:sz w:val="18"/>
          <w:szCs w:val="18"/>
          <w:color w:val="auto"/>
        </w:rPr>
        <w:t>provided in Section 10 hereof), for whom [ ] are acting as representatives (in such capacity, the “Representatives”), with respect to the issue and sale by the Company and the purchase by the Underwriters, acting severally and not jointly, of $ • aggregate principal amount of senior debt securities (the “Senior Securities”) or subordinated debt securities (the “Subordinated Securities”), or both, and/or Warrants (the “Debt Warrants”) to purchase Senior Securities or Subordinated Securities, or both, of the Company set forth in said Schedule 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Securities][Subordinated Securities] will be issued under an indenture dated as of • , as supplemented by a Supplemental Indenture dated as of</w:t>
      </w:r>
    </w:p>
    <w:p>
      <w:pPr>
        <w:spacing w:after="0" w:line="50" w:lineRule="exact"/>
        <w:rPr>
          <w:sz w:val="20"/>
          <w:szCs w:val="20"/>
          <w:color w:val="auto"/>
        </w:rPr>
      </w:pPr>
    </w:p>
    <w:p>
      <w:pPr>
        <w:ind w:firstLine="8"/>
        <w:spacing w:after="0" w:line="286" w:lineRule="auto"/>
        <w:tabs>
          <w:tab w:leader="none" w:pos="10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(collectively, the “Indenture”), between the Company and [Name of Trustee for Indenture], as trustee (the “Trustee”). The Debt Warrants will be issued under one or more warrant agreements (the warrant agreement relating to any issue of Debt Warrants to be sold pursuant to this Agreement is referred to herein as the “Warrant Agreement”), between the Company and the Warrant Agent identified in such Warrant Agreement (the “Warrant Agent”). The Senior Securities, Subordinated Securities or Debt Warrants or any combination thereof are hereinafter referred to as the “Underwritten Securities” and “Warrant Securities” shall mean the Senior Securities or Subordinated Securities issuable upon exercise of Debt Warrants. The Senior Securities, Subordinated Securities and the Debt Warrants may be offered either together or separately. Each issue of Senior Securities, Subordinated Securities and Debt Warrants may vary, as applicable, as to aggregate principal amount, maturity date, interest rate or formula and timing of payments thereof, redemption provisions, conversion provisions and sinking fund requirements, if any, and any other variable terms which the Indenture or any Warrant Agreement, as the case may be, contemplates may be set forth in the Senior Securities, Subordinated Securities and Debt Warrants as issued from time to time. Securities issued in book-entry form will be issued to Cede &amp; Co. as nominee of the Depository Trust Company (“DTC”) pursuant to a blanket letter of representations, to be dated on or prior to the Closing Time (the “DTC Agreement”), between the Company and DTC.</w:t>
      </w:r>
    </w:p>
    <w:p>
      <w:pPr>
        <w:spacing w:after="0" w:line="12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understands that the Underwriters propose to make a public offering of the Underwritten Securities as soon as the Representatives deem advisable after this Agreement has been executed and delivered.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323" w:name="page324"/>
    <w:bookmarkEnd w:id="32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filed with the Securities and Exchange Commission (the “Commission”) a shelf registration statement on Form N-2 (File No. 333-</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150033) containing a base prospectus dated (the “Base Prospectus”) to be used in connection with the public offering and sale of the Underwritten Securities and certain of the Company’s equity securities and warrants to purchase equity securities under the Securities Act of 1933, as amended (the “Securities Act”), which registration statement has been declared effective by the Commission, and the Indenture has been qualified under the Trust Indenture Act of 1939 (the “1939 Act”). The Company has also filed with the Commission pursuant to Rule 497 a preliminary prospectus supplement to the Base Prospectus dated , (the “Pre-pricing Prospectus Supplement” and together with the Base Prospectus, the “Pre-pricing Prospectus”). Within two (2) days after execution and delivery of this Agreement, the Company will prepare and file a final prospectus supplement to the Base Prospectus in accordance with the provisions of Rule 497 under the Securities Act (the “Prospectus Supplement” and together with the Base Prospectus, the “Prospectus”). Such registration statement, as amended, including all exhibits and schedules thereto, at the time it became effective, including any information deemed to be a part of the registration statement at the time of its effectiveness pursuant to Rule 430A and Rule 497 under the Securities Act, is hereinafter referred to as the “Registration Statement.”</w:t>
      </w:r>
    </w:p>
    <w:p>
      <w:pPr>
        <w:spacing w:after="0" w:line="120"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The Company has entered into an investment management agreement, dated as of April 17, 2007 (the “Investment Management Agreement”), with PennantPark Investment Advisers, LLC, a Delaware limited liability company registered as an investment adviser (the “Investment Adviser”), under the Investment Advisers Act of 1940, as amended, and the rules and regulations thereunder (collectively, the “Advisers Act”).</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entered into an investment administration agreement, dated as of April 17, 2007 (the “Administration Agreement”), with PennantPark Investment Administration, LLC, a Delaware limited liability Company (the “Administrator”).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the Investment Adviser and the Administrator, jointly and severally, represent and warrant to each Underwriter as of the date hereof, as of the Closing Time referred to in Section 2(2) hereof, and agrees with each Underwriter:</w:t>
      </w:r>
    </w:p>
    <w:p>
      <w:pPr>
        <w:spacing w:after="0" w:line="51" w:lineRule="exact"/>
        <w:rPr>
          <w:sz w:val="20"/>
          <w:szCs w:val="20"/>
          <w:color w:val="auto"/>
        </w:rPr>
      </w:pPr>
    </w:p>
    <w:p>
      <w:pPr>
        <w:ind w:left="900" w:hanging="446"/>
        <w:spacing w:after="0"/>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Compliance with Registration Requirements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60" w:firstLine="1"/>
        <w:spacing w:after="0" w:line="254" w:lineRule="auto"/>
        <w:tabs>
          <w:tab w:leader="none" w:pos="113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Company has filed with the Commission pursuant to Section 54(a) of the Investment Company Act of 1940, as amended, and the rules and regulations thereunder (collectively, the “Investment Company Act”), a completed and executed Form N-54A, pursuant to which the Company has elected to be subject to the provisions of Sections 55 through 65 of the Investment Company Act (the “BDC Election”); the Company has not filed with the Commission any notice of withdrawal of the BDC Election; the BDC Election remains in full force and effect, and, to the Company’s knowledge, no order of suspension or revocation of such election under the Investment Company Act has been issued or proceedings therefore initiated or threatened by the Commission.</w:t>
      </w:r>
    </w:p>
    <w:p>
      <w:pPr>
        <w:spacing w:after="0" w:line="63" w:lineRule="exact"/>
        <w:rPr>
          <w:rFonts w:ascii="Arial" w:cs="Arial" w:eastAsia="Arial" w:hAnsi="Arial"/>
          <w:sz w:val="18"/>
          <w:szCs w:val="18"/>
          <w:color w:val="auto"/>
        </w:rPr>
      </w:pPr>
    </w:p>
    <w:p>
      <w:pPr>
        <w:ind w:left="920" w:right="180" w:firstLine="1"/>
        <w:spacing w:after="0" w:line="306" w:lineRule="auto"/>
        <w:tabs>
          <w:tab w:leader="none" w:pos="1178" w:val="left"/>
        </w:tabs>
        <w:numPr>
          <w:ilvl w:val="1"/>
          <w:numId w:val="316"/>
        </w:numPr>
        <w:rPr>
          <w:rFonts w:ascii="Arial" w:cs="Arial" w:eastAsia="Arial" w:hAnsi="Arial"/>
          <w:sz w:val="16"/>
          <w:szCs w:val="16"/>
          <w:color w:val="auto"/>
        </w:rPr>
      </w:pPr>
      <w:r>
        <w:rPr>
          <w:rFonts w:ascii="Arial" w:cs="Arial" w:eastAsia="Arial" w:hAnsi="Arial"/>
          <w:sz w:val="16"/>
          <w:szCs w:val="16"/>
          <w:color w:val="auto"/>
        </w:rPr>
        <w:t>The Company is eligible to use Form N-2.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by the Commission.</w:t>
      </w:r>
    </w:p>
    <w:p>
      <w:pPr>
        <w:spacing w:after="0" w:line="25" w:lineRule="exact"/>
        <w:rPr>
          <w:rFonts w:ascii="Arial" w:cs="Arial" w:eastAsia="Arial" w:hAnsi="Arial"/>
          <w:sz w:val="16"/>
          <w:szCs w:val="16"/>
          <w:color w:val="auto"/>
        </w:rPr>
      </w:pPr>
    </w:p>
    <w:p>
      <w:pPr>
        <w:ind w:left="920" w:right="160" w:firstLine="1"/>
        <w:spacing w:after="0" w:line="259" w:lineRule="auto"/>
        <w:tabs>
          <w:tab w:leader="none" w:pos="122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Registration Statement complies in all material respects with the requirements of the Securities Act and the 1940 Act and does not contain an untrue statement of a material fact or omit to state a material fact required to be stated therein or necessary to make the statements therein not misleading.</w:t>
      </w:r>
    </w:p>
    <w:p>
      <w:pPr>
        <w:spacing w:after="0" w:line="59" w:lineRule="exact"/>
        <w:rPr>
          <w:sz w:val="20"/>
          <w:szCs w:val="20"/>
          <w:color w:val="auto"/>
        </w:rPr>
      </w:pPr>
    </w:p>
    <w:p>
      <w:pPr>
        <w:ind w:left="920" w:right="80" w:firstLine="1"/>
        <w:spacing w:after="0" w:line="268" w:lineRule="auto"/>
        <w:tabs>
          <w:tab w:leader="none" w:pos="122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 of the Applicable Time, as defined below, the Prospectus and the Pre-pricing Prospectus, or any amendment thereto, complied when so filed in all material respects with the Securities Act and the 1940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9" w:right="259" w:bottom="1440" w:gutter="0" w:footer="0" w:header="0"/>
        </w:sectPr>
      </w:pPr>
    </w:p>
    <w:bookmarkStart w:id="324" w:name="page325"/>
    <w:bookmarkEnd w:id="324"/>
    <w:p>
      <w:pPr>
        <w:ind w:left="46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except for any corrections to the Pre-pricing Prospectus that were made in the Prospectus or any amendment thereto. The Prospectus and any amendment thereto does not include an untrue statement of a material fact or omit to state a material fact necessary in order to make the statements therein, in the light of the circumstances under which they were made, not misleading.</w:t>
      </w:r>
    </w:p>
    <w:p>
      <w:pPr>
        <w:sectPr>
          <w:pgSz w:w="11900" w:h="16838" w:orient="portrait"/>
          <w:cols w:equalWidth="0" w:num="1">
            <w:col w:w="10966"/>
          </w:cols>
          <w:pgMar w:left="694" w:top="280" w:right="239" w:bottom="1440" w:gutter="0" w:footer="0" w:header="0"/>
        </w:sectPr>
      </w:pPr>
    </w:p>
    <w:p>
      <w:pPr>
        <w:spacing w:after="0" w:line="5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As used in this subsection and elsewhere in this Agreement, “Applicable Time” means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[a.m.][p.m.] (Eastern time) 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or such other</w:t>
      </w:r>
    </w:p>
    <w:p>
      <w:pPr>
        <w:spacing w:after="0" w:line="49" w:lineRule="exact"/>
        <w:rPr>
          <w:sz w:val="20"/>
          <w:szCs w:val="20"/>
          <w:color w:val="auto"/>
        </w:rPr>
      </w:pPr>
    </w:p>
    <w:p>
      <w:pPr>
        <w:sectPr>
          <w:pgSz w:w="11900" w:h="16838" w:orient="portrait"/>
          <w:cols w:equalWidth="0" w:num="3">
            <w:col w:w="6546" w:space="580"/>
            <w:col w:w="2100" w:space="580"/>
            <w:col w:w="1160"/>
          </w:cols>
          <w:pgMar w:left="694" w:top="280" w:right="239" w:bottom="1440" w:gutter="0" w:footer="0" w:header="0"/>
          <w:type w:val="continuous"/>
        </w:sectPr>
      </w:pPr>
    </w:p>
    <w:p>
      <w:pPr>
        <w:ind w:left="466"/>
        <w:spacing w:after="0"/>
        <w:rPr>
          <w:sz w:val="20"/>
          <w:szCs w:val="20"/>
          <w:color w:val="auto"/>
        </w:rPr>
      </w:pPr>
      <w:r>
        <w:rPr>
          <w:rFonts w:ascii="Arial" w:cs="Arial" w:eastAsia="Arial" w:hAnsi="Arial"/>
          <w:sz w:val="15"/>
          <w:szCs w:val="15"/>
          <w:color w:val="auto"/>
        </w:rPr>
        <w:t>time as agreed by the Company and the Representatives.</w:t>
      </w:r>
    </w:p>
    <w:p>
      <w:pPr>
        <w:sectPr>
          <w:pgSz w:w="11900" w:h="16838" w:orient="portrait"/>
          <w:cols w:equalWidth="0" w:num="1">
            <w:col w:w="10966"/>
          </w:cols>
          <w:pgMar w:left="694" w:top="280" w:right="239" w:bottom="1440" w:gutter="0" w:footer="0" w:header="0"/>
          <w:type w:val="continuous"/>
        </w:sectPr>
      </w:pPr>
    </w:p>
    <w:p>
      <w:pPr>
        <w:spacing w:after="0" w:line="118" w:lineRule="exact"/>
        <w:rPr>
          <w:sz w:val="20"/>
          <w:szCs w:val="20"/>
          <w:color w:val="auto"/>
        </w:rPr>
      </w:pPr>
    </w:p>
    <w:p>
      <w:pPr>
        <w:ind w:left="466" w:right="160" w:firstLine="1"/>
        <w:spacing w:after="0" w:line="268" w:lineRule="auto"/>
        <w:tabs>
          <w:tab w:leader="none" w:pos="76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Company and its officers and directors, in their capacities as such, are in compliance in all material respects with the applicable provisions of the Sarbanes-Oxley Act of 2002 and the rules and regulations promulgated thereunder.</w:t>
      </w:r>
    </w:p>
    <w:p>
      <w:pPr>
        <w:spacing w:after="0" w:line="51" w:lineRule="exact"/>
        <w:rPr>
          <w:sz w:val="20"/>
          <w:szCs w:val="20"/>
          <w:color w:val="auto"/>
        </w:rPr>
      </w:pPr>
    </w:p>
    <w:p>
      <w:pPr>
        <w:ind w:left="466"/>
        <w:spacing w:after="0" w:line="255"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Prospectus, Pre-pricing Prospectus or any amendments thereto made in reliance upon and in conformity with written information furnished to the Company by any Underwriter through the Representatives expressly for use in the Registration Statement (or any amendment thereto), the part of the Registration Statement that constitutes the Statement of Eligibility and Qualification under the 1939 Act (Form T-1) of the Trustee under the Indenture, the Prospectus, the Pre-pricing Prospectus or any amendment or supplement thereto.</w:t>
      </w:r>
    </w:p>
    <w:p>
      <w:pPr>
        <w:spacing w:after="0" w:line="62" w:lineRule="exact"/>
        <w:rPr>
          <w:sz w:val="20"/>
          <w:szCs w:val="20"/>
          <w:color w:val="auto"/>
        </w:rPr>
      </w:pPr>
    </w:p>
    <w:p>
      <w:pPr>
        <w:ind w:left="446" w:hanging="446"/>
        <w:spacing w:after="0"/>
        <w:tabs>
          <w:tab w:leader="none" w:pos="446"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w:t>
      </w:r>
    </w:p>
    <w:p>
      <w:pPr>
        <w:spacing w:after="0" w:line="90" w:lineRule="exact"/>
        <w:rPr>
          <w:sz w:val="20"/>
          <w:szCs w:val="20"/>
          <w:color w:val="auto"/>
        </w:rPr>
      </w:pPr>
    </w:p>
    <w:p>
      <w:pPr>
        <w:ind w:left="466" w:right="120"/>
        <w:spacing w:after="0" w:line="332" w:lineRule="auto"/>
        <w:rPr>
          <w:sz w:val="20"/>
          <w:szCs w:val="20"/>
          <w:color w:val="auto"/>
        </w:rPr>
      </w:pPr>
      <w:r>
        <w:rPr>
          <w:rFonts w:ascii="Arial" w:cs="Arial" w:eastAsia="Arial" w:hAnsi="Arial"/>
          <w:sz w:val="16"/>
          <w:szCs w:val="16"/>
          <w:color w:val="auto"/>
        </w:rPr>
        <w:t>The accountants who certified the financial statements included in the Registration Statement are independent public accountants as required by the Securities Act, the Securities Act Regulations and the Securities Exchange Act of 1934, as amended (the “Securities Exchange Act”).</w:t>
      </w:r>
    </w:p>
    <w:p>
      <w:pPr>
        <w:spacing w:after="0" w:line="4" w:lineRule="exact"/>
        <w:rPr>
          <w:sz w:val="20"/>
          <w:szCs w:val="20"/>
          <w:color w:val="auto"/>
        </w:rPr>
      </w:pPr>
    </w:p>
    <w:p>
      <w:pPr>
        <w:ind w:left="446" w:hanging="446"/>
        <w:spacing w:after="0"/>
        <w:tabs>
          <w:tab w:leader="none" w:pos="446"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91" w:lineRule="auto"/>
        <w:rPr>
          <w:sz w:val="20"/>
          <w:szCs w:val="20"/>
          <w:color w:val="auto"/>
        </w:rPr>
      </w:pPr>
      <w:r>
        <w:rPr>
          <w:rFonts w:ascii="Arial" w:cs="Arial" w:eastAsia="Arial" w:hAnsi="Arial"/>
          <w:sz w:val="16"/>
          <w:szCs w:val="16"/>
          <w:color w:val="auto"/>
        </w:rPr>
        <w:t>The financial statements of the Company, together with related notes, as set forth in the Registration Statement present fairly in all material respects the financial position and the results of operations of the Company at the indicated dates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in all material respects of results for such periods have been made; and the selected financial information included in the Prospectus presents fairly in all material respects the information shown therein and has been compiled on a basis consistent with the financial statements presented therein.</w:t>
      </w:r>
    </w:p>
    <w:p>
      <w:pPr>
        <w:spacing w:after="0" w:line="39" w:lineRule="exact"/>
        <w:rPr>
          <w:sz w:val="20"/>
          <w:szCs w:val="20"/>
          <w:color w:val="auto"/>
        </w:rPr>
      </w:pPr>
    </w:p>
    <w:p>
      <w:pPr>
        <w:ind w:left="446" w:hanging="446"/>
        <w:spacing w:after="0"/>
        <w:tabs>
          <w:tab w:leader="none" w:pos="446"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left="466" w:right="80"/>
        <w:spacing w:after="0" w:line="290" w:lineRule="auto"/>
        <w:rPr>
          <w:sz w:val="20"/>
          <w:szCs w:val="20"/>
          <w:color w:val="auto"/>
        </w:rPr>
      </w:pPr>
      <w:r>
        <w:rPr>
          <w:rFonts w:ascii="Arial" w:cs="Arial" w:eastAsia="Arial" w:hAnsi="Arial"/>
          <w:sz w:val="16"/>
          <w:szCs w:val="16"/>
          <w:color w:val="auto"/>
        </w:rPr>
        <w:t>Since the respective dates as of which information is given in the Prospectus, the Pre-pricing Prospectus and any amendments thereto, except as otherwise stated therein, (i) there has been no material adverse change in the financial condition, earnings, business or operations of the Company and its Subsidiaries considered as one enterprise, whether or not arising in the ordinary course of business (a “Material Adverse Effect”), (ii) neither the Company nor any of its Subsidiaries has incurred any material liability or obligation, indirect, direct or contingent, not in the ordinary course of business nor entered into any material transaction or agreement no in the ordinary course of business; and (iii) except as disclosed in the Pre-pricing Prospectus and the Prospectus, as the case may be, there has been no dividend or distribution of any kind declared, paid or made by the Company or repurchase or redemption by the Company of any class of capital stock.</w:t>
      </w:r>
    </w:p>
    <w:p>
      <w:pPr>
        <w:spacing w:after="0" w:line="37" w:lineRule="exact"/>
        <w:rPr>
          <w:sz w:val="20"/>
          <w:szCs w:val="20"/>
          <w:color w:val="auto"/>
        </w:rPr>
      </w:pPr>
    </w:p>
    <w:p>
      <w:pPr>
        <w:ind w:left="446" w:hanging="446"/>
        <w:spacing w:after="0"/>
        <w:tabs>
          <w:tab w:leader="none" w:pos="446"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w:t>
      </w:r>
    </w:p>
    <w:p>
      <w:pPr>
        <w:spacing w:after="0" w:line="90" w:lineRule="exact"/>
        <w:rPr>
          <w:sz w:val="20"/>
          <w:szCs w:val="20"/>
          <w:color w:val="auto"/>
        </w:rPr>
      </w:pPr>
    </w:p>
    <w:p>
      <w:pPr>
        <w:ind w:left="466" w:right="380"/>
        <w:spacing w:after="0" w:line="268" w:lineRule="auto"/>
        <w:rPr>
          <w:sz w:val="20"/>
          <w:szCs w:val="20"/>
          <w:color w:val="auto"/>
        </w:rPr>
      </w:pPr>
      <w:r>
        <w:rPr>
          <w:rFonts w:ascii="Arial" w:cs="Arial" w:eastAsia="Arial" w:hAnsi="Arial"/>
          <w:sz w:val="18"/>
          <w:szCs w:val="18"/>
          <w:color w:val="auto"/>
        </w:rPr>
        <w:t>The Company has been duly organized and is validly existing as a corporation in good standing under the laws of the State of Maryland and has corporate power and authority to own, lease and operate its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type w:val="continuous"/>
        </w:sectPr>
      </w:pPr>
    </w:p>
    <w:bookmarkStart w:id="325" w:name="page326"/>
    <w:bookmarkEnd w:id="325"/>
    <w:p>
      <w:pPr>
        <w:ind w:left="466"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except where the failure so to qualify or to be in good standing would not reasonably be expected to result in a Material Adverse Effect.</w:t>
      </w:r>
    </w:p>
    <w:p>
      <w:pPr>
        <w:spacing w:after="0" w:line="26" w:lineRule="exact"/>
        <w:rPr>
          <w:sz w:val="20"/>
          <w:szCs w:val="20"/>
          <w:color w:val="auto"/>
        </w:rPr>
      </w:pPr>
    </w:p>
    <w:p>
      <w:pPr>
        <w:ind w:left="446" w:hanging="446"/>
        <w:spacing w:after="0"/>
        <w:tabs>
          <w:tab w:leader="none" w:pos="446"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6" w:hanging="219"/>
        <w:spacing w:after="0"/>
        <w:tabs>
          <w:tab w:leader="none" w:pos="68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Company’s only subsidiaries are [insert subsidiaries] (each, a “Subsidiary” and collectively, the “Subsidiaries”).</w:t>
      </w:r>
    </w:p>
    <w:p>
      <w:pPr>
        <w:spacing w:after="0" w:line="90" w:lineRule="exact"/>
        <w:rPr>
          <w:rFonts w:ascii="Arial" w:cs="Arial" w:eastAsia="Arial" w:hAnsi="Arial"/>
          <w:sz w:val="18"/>
          <w:szCs w:val="18"/>
          <w:color w:val="auto"/>
        </w:rPr>
      </w:pPr>
    </w:p>
    <w:p>
      <w:pPr>
        <w:ind w:left="466" w:right="20" w:firstLine="1"/>
        <w:spacing w:after="0" w:line="294" w:lineRule="auto"/>
        <w:tabs>
          <w:tab w:leader="none" w:pos="725" w:val="left"/>
        </w:tabs>
        <w:numPr>
          <w:ilvl w:val="1"/>
          <w:numId w:val="323"/>
        </w:numPr>
        <w:rPr>
          <w:rFonts w:ascii="Arial" w:cs="Arial" w:eastAsia="Arial" w:hAnsi="Arial"/>
          <w:sz w:val="16"/>
          <w:szCs w:val="16"/>
          <w:color w:val="auto"/>
        </w:rPr>
      </w:pPr>
      <w:r>
        <w:rPr>
          <w:rFonts w:ascii="Arial" w:cs="Arial" w:eastAsia="Arial" w:hAnsi="Arial"/>
          <w:sz w:val="16"/>
          <w:szCs w:val="16"/>
          <w:color w:val="auto"/>
        </w:rPr>
        <w:t>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Pre-pricing Prospectus and the Prospectus, as the case may be, and is duly qualified as a foreign corporation, limited liability company or limited partnership to transact business and is in good standing in each jurisdiction in which such qualification is required, except where the failure to be so qualified or to be in good standing would not reasonably be expected to result in a Material Adverse Effect.</w:t>
      </w:r>
    </w:p>
    <w:p>
      <w:pPr>
        <w:spacing w:after="0" w:line="34" w:lineRule="exact"/>
        <w:rPr>
          <w:rFonts w:ascii="Arial" w:cs="Arial" w:eastAsia="Arial" w:hAnsi="Arial"/>
          <w:sz w:val="16"/>
          <w:szCs w:val="16"/>
          <w:color w:val="auto"/>
        </w:rPr>
      </w:pPr>
    </w:p>
    <w:p>
      <w:pPr>
        <w:ind w:left="466" w:right="20" w:firstLine="1"/>
        <w:spacing w:after="0" w:line="298" w:lineRule="auto"/>
        <w:tabs>
          <w:tab w:leader="none" w:pos="773" w:val="left"/>
        </w:tabs>
        <w:numPr>
          <w:ilvl w:val="1"/>
          <w:numId w:val="323"/>
        </w:numPr>
        <w:rPr>
          <w:rFonts w:ascii="Arial" w:cs="Arial" w:eastAsia="Arial" w:hAnsi="Arial"/>
          <w:sz w:val="16"/>
          <w:szCs w:val="16"/>
          <w:color w:val="auto"/>
        </w:rPr>
      </w:pPr>
      <w:r>
        <w:rPr>
          <w:rFonts w:ascii="Arial" w:cs="Arial" w:eastAsia="Arial" w:hAnsi="Arial"/>
          <w:sz w:val="16"/>
          <w:szCs w:val="16"/>
          <w:color w:val="auto"/>
        </w:rPr>
        <w:t>Except as otherwise disclosed in the Pre-pricing Prospectus and the Prospectus, as the case may be, all of the issued and outstanding capital stock of each such Subsidiary has been duly authorized and validly issued, is fully paid and non-assessable and is owned directly or indirectly by the Company free and clear of any security interest, mortgage, pledge, lien encumbrance, claim or equity; none of the outstanding shares of capital stock of any of the Subsidiaries was issued in violation of the preemptive or other similar rights of any securityholder of such Subsidiary.</w:t>
      </w:r>
    </w:p>
    <w:p>
      <w:pPr>
        <w:spacing w:after="0" w:line="31" w:lineRule="exact"/>
        <w:rPr>
          <w:rFonts w:ascii="Arial" w:cs="Arial" w:eastAsia="Arial" w:hAnsi="Arial"/>
          <w:sz w:val="16"/>
          <w:szCs w:val="16"/>
          <w:color w:val="auto"/>
        </w:rPr>
      </w:pPr>
    </w:p>
    <w:p>
      <w:pPr>
        <w:ind w:left="766" w:hanging="299"/>
        <w:spacing w:after="0"/>
        <w:tabs>
          <w:tab w:leader="none" w:pos="766" w:val="left"/>
        </w:tabs>
        <w:numPr>
          <w:ilvl w:val="1"/>
          <w:numId w:val="323"/>
        </w:numPr>
        <w:rPr>
          <w:rFonts w:ascii="Arial" w:cs="Arial" w:eastAsia="Arial" w:hAnsi="Arial"/>
          <w:sz w:val="15"/>
          <w:szCs w:val="15"/>
          <w:color w:val="auto"/>
        </w:rPr>
      </w:pPr>
      <w:r>
        <w:rPr>
          <w:rFonts w:ascii="Arial" w:cs="Arial" w:eastAsia="Arial" w:hAnsi="Arial"/>
          <w:sz w:val="15"/>
          <w:szCs w:val="15"/>
          <w:color w:val="auto"/>
        </w:rPr>
        <w:t>Except as (a) otherwise disclosed in the Pre-pricing Prospectus and the Prospectus, as the case may be, and (b) portfolio investments made after</w:t>
      </w:r>
    </w:p>
    <w:p>
      <w:pPr>
        <w:spacing w:after="0" w:line="49" w:lineRule="exact"/>
        <w:rPr>
          <w:rFonts w:ascii="Arial" w:cs="Arial" w:eastAsia="Arial" w:hAnsi="Arial"/>
          <w:sz w:val="15"/>
          <w:szCs w:val="15"/>
          <w:color w:val="auto"/>
        </w:rPr>
      </w:pPr>
    </w:p>
    <w:p>
      <w:pPr>
        <w:ind w:left="466" w:right="180" w:firstLine="528"/>
        <w:spacing w:after="0" w:line="261" w:lineRule="auto"/>
        <w:tabs>
          <w:tab w:leader="none" w:pos="1081" w:val="left"/>
        </w:tabs>
        <w:numPr>
          <w:ilvl w:val="2"/>
          <w:numId w:val="323"/>
        </w:numPr>
        <w:rPr>
          <w:rFonts w:ascii="Arial" w:cs="Arial" w:eastAsia="Arial" w:hAnsi="Arial"/>
          <w:sz w:val="18"/>
          <w:szCs w:val="18"/>
          <w:color w:val="auto"/>
        </w:rPr>
      </w:pPr>
      <w:r>
        <w:rPr>
          <w:rFonts w:ascii="Arial" w:cs="Arial" w:eastAsia="Arial" w:hAnsi="Arial"/>
          <w:sz w:val="18"/>
          <w:szCs w:val="18"/>
          <w:color w:val="auto"/>
        </w:rPr>
        <w:t>the Company does not own, directly or indirectly, any shares of stock or any other equity or debt securities of any corporation or have any equity or debt interest in any firm, partnership, joint venture, association or other entity.</w:t>
      </w:r>
    </w:p>
    <w:p>
      <w:pPr>
        <w:spacing w:after="0" w:line="56" w:lineRule="exact"/>
        <w:rPr>
          <w:rFonts w:ascii="Arial" w:cs="Arial" w:eastAsia="Arial" w:hAnsi="Arial"/>
          <w:sz w:val="18"/>
          <w:szCs w:val="18"/>
          <w:color w:val="auto"/>
        </w:rPr>
      </w:pPr>
    </w:p>
    <w:p>
      <w:pPr>
        <w:ind w:left="446" w:hanging="446"/>
        <w:spacing w:after="0"/>
        <w:tabs>
          <w:tab w:leader="none" w:pos="446"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90" w:lineRule="exact"/>
        <w:rPr>
          <w:sz w:val="20"/>
          <w:szCs w:val="20"/>
          <w:color w:val="auto"/>
        </w:rPr>
      </w:pPr>
    </w:p>
    <w:p>
      <w:pPr>
        <w:ind w:left="466"/>
        <w:spacing w:after="0" w:line="255" w:lineRule="auto"/>
        <w:rPr>
          <w:sz w:val="20"/>
          <w:szCs w:val="20"/>
          <w:color w:val="auto"/>
        </w:rPr>
      </w:pPr>
      <w:r>
        <w:rPr>
          <w:rFonts w:ascii="Arial" w:cs="Arial" w:eastAsia="Arial" w:hAnsi="Arial"/>
          <w:sz w:val="18"/>
          <w:szCs w:val="18"/>
          <w:color w:val="auto"/>
        </w:rPr>
        <w:t>The authorized, issued and outstanding capital stock of the Company is as set forth in the Pre-pricing Prospectus and the Prospectus in the column entitled “Actual” under the caption “Capitalization” (except for subsequent issuances, if any, pursuant to this Agreement or pursuant to the Company’s Dividend Reinvestment Plan.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w:t>
      </w:r>
    </w:p>
    <w:p>
      <w:pPr>
        <w:spacing w:after="0" w:line="62" w:lineRule="exact"/>
        <w:rPr>
          <w:sz w:val="20"/>
          <w:szCs w:val="20"/>
          <w:color w:val="auto"/>
        </w:rPr>
      </w:pPr>
    </w:p>
    <w:p>
      <w:pPr>
        <w:ind w:left="446" w:hanging="446"/>
        <w:spacing w:after="0"/>
        <w:tabs>
          <w:tab w:leader="none" w:pos="446"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6" w:hanging="219"/>
        <w:spacing w:after="0"/>
        <w:tabs>
          <w:tab w:leader="none" w:pos="68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466" w:right="300" w:firstLine="1"/>
        <w:spacing w:after="0" w:line="283" w:lineRule="auto"/>
        <w:tabs>
          <w:tab w:leader="none" w:pos="72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The Investment Management Agreement and the Administration Agreement have each been duly authorized, executed and delivered by the Company, and assuming due authorization, execution and delivery by the Investment Adviser and Administrator, respectively, each are valid and binding obligations of the Company, enforceable against the Company in accordance with their terms, except as the enforcement thereof may be limited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w:t>
      </w:r>
    </w:p>
    <w:p>
      <w:pPr>
        <w:spacing w:after="0" w:line="1" w:lineRule="exact"/>
        <w:rPr>
          <w:rFonts w:ascii="Arial" w:cs="Arial" w:eastAsia="Arial" w:hAnsi="Arial"/>
          <w:sz w:val="16"/>
          <w:szCs w:val="16"/>
          <w:color w:val="auto"/>
        </w:rPr>
      </w:pPr>
    </w:p>
    <w:p>
      <w:pPr>
        <w:ind w:left="766" w:hanging="299"/>
        <w:spacing w:after="0"/>
        <w:tabs>
          <w:tab w:leader="none" w:pos="76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principles of public policy.</w:t>
      </w:r>
    </w:p>
    <w:p>
      <w:pPr>
        <w:spacing w:after="0" w:line="15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326" w:name="page327"/>
    <w:bookmarkEnd w:id="326"/>
    <w:p>
      <w:pPr>
        <w:ind w:left="466" w:right="140" w:firstLine="1"/>
        <w:spacing w:after="0" w:line="302" w:lineRule="auto"/>
        <w:tabs>
          <w:tab w:leader="none" w:pos="773" w:val="left"/>
        </w:tabs>
        <w:numPr>
          <w:ilvl w:val="1"/>
          <w:numId w:val="3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Indenture has been duly authorized, executed and delivered by the Company and when executed and delivered by the Trustee, will constitute a valid and binding obligation of the Company, enforceable against the Company in accordance with its terms, except as the enforcement thereof may be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w:t>
      </w:r>
    </w:p>
    <w:p>
      <w:pPr>
        <w:spacing w:after="0" w:line="1" w:lineRule="exact"/>
        <w:rPr>
          <w:rFonts w:ascii="Arial" w:cs="Arial" w:eastAsia="Arial" w:hAnsi="Arial"/>
          <w:sz w:val="15"/>
          <w:szCs w:val="15"/>
          <w:color w:val="auto"/>
        </w:rPr>
      </w:pPr>
    </w:p>
    <w:p>
      <w:pPr>
        <w:ind w:left="766" w:hanging="299"/>
        <w:spacing w:after="0"/>
        <w:tabs>
          <w:tab w:leader="none" w:pos="7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any principles of public policy.]</w:t>
      </w:r>
    </w:p>
    <w:p>
      <w:pPr>
        <w:spacing w:after="0" w:line="83" w:lineRule="exact"/>
        <w:rPr>
          <w:rFonts w:ascii="Arial" w:cs="Arial" w:eastAsia="Arial" w:hAnsi="Arial"/>
          <w:sz w:val="18"/>
          <w:szCs w:val="18"/>
          <w:color w:val="auto"/>
        </w:rPr>
      </w:pPr>
    </w:p>
    <w:p>
      <w:pPr>
        <w:ind w:left="466" w:right="40" w:firstLine="1"/>
        <w:spacing w:after="0" w:line="291" w:lineRule="auto"/>
        <w:tabs>
          <w:tab w:leader="none" w:pos="76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Warrant Agreement will have been duly authorized, executed and delivered by the Company prior to the issuance of any applicable Debt Warrants, and when executed and delivered by the Warrant Agent, will constitute a valid and binding obligation of the Company, enforceable against the Company in accordance with its terms, except as the enforcement thereof may be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39" w:lineRule="exact"/>
        <w:rPr>
          <w:rFonts w:ascii="Arial" w:cs="Arial" w:eastAsia="Arial" w:hAnsi="Arial"/>
          <w:sz w:val="16"/>
          <w:szCs w:val="16"/>
          <w:color w:val="auto"/>
        </w:rPr>
      </w:pPr>
    </w:p>
    <w:p>
      <w:pPr>
        <w:ind w:left="446" w:hanging="446"/>
        <w:spacing w:after="0"/>
        <w:tabs>
          <w:tab w:leader="none" w:pos="446"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Authorization and Description of Underwritten 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firstLine="1"/>
        <w:spacing w:after="0" w:line="289" w:lineRule="auto"/>
        <w:tabs>
          <w:tab w:leader="none" w:pos="676" w:val="left"/>
        </w:tabs>
        <w:numPr>
          <w:ilvl w:val="1"/>
          <w:numId w:val="327"/>
        </w:numPr>
        <w:rPr>
          <w:rFonts w:ascii="Arial" w:cs="Arial" w:eastAsia="Arial" w:hAnsi="Arial"/>
          <w:sz w:val="16"/>
          <w:szCs w:val="16"/>
          <w:color w:val="auto"/>
        </w:rPr>
      </w:pPr>
      <w:r>
        <w:rPr>
          <w:rFonts w:ascii="Arial" w:cs="Arial" w:eastAsia="Arial" w:hAnsi="Arial"/>
          <w:sz w:val="16"/>
          <w:szCs w:val="16"/>
          <w:color w:val="auto"/>
        </w:rPr>
        <w:t>The Underwritten Securities being sold pursuant to this Agreement [and the Warrant Securities issuable upon exercise of the Debt Warrants] have been duly authorized by the Company and, when issued and delivered by the Company pursuant to the provisions of this Agreement [the Indenture and the Warrant Agreement, as the case may be], relating thereto, against payment of the consideration therefor, will be fully paid, non-assessable and legally binding obligations on the Company enforceable in accordance with their terms, except as the enforcement thereof may be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 [and will be entitled to the benefits of the Indenture or Warrant Agreement, or both, as the case may be, relating thereto].</w:t>
      </w:r>
    </w:p>
    <w:p>
      <w:pPr>
        <w:spacing w:after="0" w:line="37" w:lineRule="exact"/>
        <w:rPr>
          <w:rFonts w:ascii="Arial" w:cs="Arial" w:eastAsia="Arial" w:hAnsi="Arial"/>
          <w:sz w:val="16"/>
          <w:szCs w:val="16"/>
          <w:color w:val="auto"/>
        </w:rPr>
      </w:pPr>
    </w:p>
    <w:p>
      <w:pPr>
        <w:ind w:left="466" w:firstLine="1"/>
        <w:spacing w:after="0" w:line="268" w:lineRule="auto"/>
        <w:tabs>
          <w:tab w:leader="none" w:pos="72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Underwritten Securities, [the Indenture and the Warrant Agreement], if any, conform in all material respects to the statements relating thereto contained in the Prospectus.</w:t>
      </w:r>
    </w:p>
    <w:p>
      <w:pPr>
        <w:spacing w:after="0" w:line="50" w:lineRule="exact"/>
        <w:rPr>
          <w:rFonts w:ascii="Arial" w:cs="Arial" w:eastAsia="Arial" w:hAnsi="Arial"/>
          <w:sz w:val="18"/>
          <w:szCs w:val="18"/>
          <w:color w:val="auto"/>
        </w:rPr>
      </w:pPr>
    </w:p>
    <w:p>
      <w:pPr>
        <w:ind w:left="466" w:right="60" w:firstLine="1"/>
        <w:spacing w:after="0" w:line="255" w:lineRule="auto"/>
        <w:tabs>
          <w:tab w:leader="none" w:pos="77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[If applicable, upon issuance and delivery of the Underwritten Securities in accordance with this Agreement and the Indenture, the Underwritten Securities will be convertible at the option of the holder thereof into shares of Common Stock, par value $.001 per share, of the Company (the “Common Stock”), and such shares of Common Stock issuable upon conversion have been duly authorized and reserved for issuance upon such conversion by all necessary corporate action and, when issued and delivered in accordance with the provisions of this Agreement relating thereto, will be validly issued, fully paid and non-assessable.]</w:t>
      </w:r>
    </w:p>
    <w:p>
      <w:pPr>
        <w:spacing w:after="0" w:line="62" w:lineRule="exact"/>
        <w:rPr>
          <w:sz w:val="20"/>
          <w:szCs w:val="20"/>
          <w:color w:val="auto"/>
        </w:rPr>
      </w:pPr>
    </w:p>
    <w:p>
      <w:pPr>
        <w:ind w:left="446" w:hanging="446"/>
        <w:spacing w:after="0"/>
        <w:tabs>
          <w:tab w:leader="none" w:pos="446" w:val="left"/>
        </w:tabs>
        <w:numPr>
          <w:ilvl w:val="0"/>
          <w:numId w:val="328"/>
        </w:numPr>
        <w:rPr>
          <w:rFonts w:ascii="Arial" w:cs="Arial" w:eastAsia="Arial" w:hAnsi="Arial"/>
          <w:sz w:val="18"/>
          <w:szCs w:val="18"/>
          <w:color w:val="auto"/>
        </w:rPr>
      </w:pPr>
      <w:r>
        <w:rPr>
          <w:rFonts w:ascii="Arial" w:cs="Arial" w:eastAsia="Arial" w:hAnsi="Arial"/>
          <w:sz w:val="18"/>
          <w:szCs w:val="18"/>
          <w:i w:val="1"/>
          <w:iCs w:val="1"/>
          <w:color w:val="auto"/>
        </w:rPr>
        <w:t>No Defaults or Violations.</w:t>
      </w:r>
    </w:p>
    <w:p>
      <w:pPr>
        <w:spacing w:after="0" w:line="90" w:lineRule="exact"/>
        <w:rPr>
          <w:rFonts w:ascii="Arial" w:cs="Arial" w:eastAsia="Arial" w:hAnsi="Arial"/>
          <w:sz w:val="18"/>
          <w:szCs w:val="18"/>
          <w:color w:val="auto"/>
        </w:rPr>
      </w:pPr>
    </w:p>
    <w:p>
      <w:pPr>
        <w:ind w:left="686" w:hanging="219"/>
        <w:spacing w:after="0"/>
        <w:tabs>
          <w:tab w:leader="none" w:pos="68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in violation of its charter, by-laws or other organizational documents.</w:t>
      </w:r>
    </w:p>
    <w:p>
      <w:pPr>
        <w:spacing w:after="0" w:line="90" w:lineRule="exact"/>
        <w:rPr>
          <w:rFonts w:ascii="Arial" w:cs="Arial" w:eastAsia="Arial" w:hAnsi="Arial"/>
          <w:sz w:val="18"/>
          <w:szCs w:val="18"/>
          <w:color w:val="auto"/>
        </w:rPr>
      </w:pPr>
    </w:p>
    <w:p>
      <w:pPr>
        <w:jc w:val="both"/>
        <w:ind w:left="466" w:right="60" w:firstLine="1"/>
        <w:spacing w:after="0" w:line="298" w:lineRule="auto"/>
        <w:tabs>
          <w:tab w:leader="none" w:pos="72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in default in the performance or observance of any of (A) the terms of any agreement filed as an exhibit to the Registration Statement, (B) any federal or state statute, law, rule, regulation, or any judgment, order or decree of any federal or state court, regulatory body, administrative agency or governmental body having jurisdiction over the Company, its Subsidiaries or any of their respective properties, as applicable, except any such default or observance which would not result in a Material Adverse Effect.</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327" w:name="page328"/>
    <w:bookmarkEnd w:id="327"/>
    <w:p>
      <w:pPr>
        <w:ind w:left="446" w:hanging="446"/>
        <w:spacing w:after="0"/>
        <w:tabs>
          <w:tab w:leader="none" w:pos="446" w:val="left"/>
        </w:tabs>
        <w:numPr>
          <w:ilvl w:val="0"/>
          <w:numId w:val="3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Absence of Proceedings</w:t>
      </w:r>
      <w:r>
        <w:rPr>
          <w:rFonts w:ascii="Arial" w:cs="Arial" w:eastAsia="Arial" w:hAnsi="Arial"/>
          <w:sz w:val="18"/>
          <w:szCs w:val="18"/>
          <w:color w:val="auto"/>
        </w:rPr>
        <w:t>.</w:t>
      </w:r>
    </w:p>
    <w:p>
      <w:pPr>
        <w:spacing w:after="0" w:line="90"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Other than as disclosed in the Prospectus and Pre-pricing Prospectus, there are no actions, suits or proceedings or, to the knowledge of the Company, inquiries or investigations, before or brought by any court or governmental agency or body, domestic or foreign, now pending, or, to the knowledge of the Company, threatened, against or affecting the Company or any of the Subsidiaries, which are required to be disclosed in the Prospectus and the Pre-pricing Prospectus, or which would, individually or in the aggregate result in a Material Adverse Effect.</w:t>
      </w:r>
    </w:p>
    <w:p>
      <w:pPr>
        <w:spacing w:after="0" w:line="32" w:lineRule="exact"/>
        <w:rPr>
          <w:sz w:val="20"/>
          <w:szCs w:val="20"/>
          <w:color w:val="auto"/>
        </w:rPr>
      </w:pPr>
    </w:p>
    <w:p>
      <w:pPr>
        <w:ind w:left="446" w:hanging="446"/>
        <w:spacing w:after="0"/>
        <w:tabs>
          <w:tab w:leader="none" w:pos="446"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Possession of Intellectual Property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firstLine="1"/>
        <w:spacing w:after="0" w:line="291" w:lineRule="auto"/>
        <w:tabs>
          <w:tab w:leader="none" w:pos="67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or proposed to be operated by them immediately following the offering of the Underwritten Securities as described in the Prospectus, except where the failure to own or possess or otherwise be able to acquire such rights in a timely manner would not otherwise reasonably be expected to result in a Material Adverse Effect.</w:t>
      </w:r>
    </w:p>
    <w:p>
      <w:pPr>
        <w:spacing w:after="0" w:line="39" w:lineRule="exact"/>
        <w:rPr>
          <w:rFonts w:ascii="Arial" w:cs="Arial" w:eastAsia="Arial" w:hAnsi="Arial"/>
          <w:sz w:val="16"/>
          <w:szCs w:val="16"/>
          <w:color w:val="auto"/>
        </w:rPr>
      </w:pPr>
    </w:p>
    <w:p>
      <w:pPr>
        <w:ind w:left="466" w:right="20" w:firstLine="1"/>
        <w:spacing w:after="0" w:line="255" w:lineRule="auto"/>
        <w:tabs>
          <w:tab w:leader="none" w:pos="72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received any notice of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61" w:lineRule="exact"/>
        <w:rPr>
          <w:rFonts w:ascii="Arial" w:cs="Arial" w:eastAsia="Arial" w:hAnsi="Arial"/>
          <w:sz w:val="18"/>
          <w:szCs w:val="18"/>
          <w:color w:val="auto"/>
        </w:rPr>
      </w:pPr>
    </w:p>
    <w:p>
      <w:pPr>
        <w:ind w:left="446" w:hanging="446"/>
        <w:spacing w:after="0"/>
        <w:tabs>
          <w:tab w:leader="none" w:pos="446"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91" w:lineRule="auto"/>
        <w:rPr>
          <w:sz w:val="20"/>
          <w:szCs w:val="20"/>
          <w:color w:val="auto"/>
        </w:rPr>
      </w:pPr>
      <w:r>
        <w:rPr>
          <w:rFonts w:ascii="Arial" w:cs="Arial" w:eastAsia="Arial" w:hAnsi="Arial"/>
          <w:sz w:val="16"/>
          <w:szCs w:val="16"/>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Underwritten Securities hereunder or the consummation of the transactions contemplated by this Agreement, [the Indenture, or the Warrant Agreement, as applicable,] except (i) such as have been already obtained under the Securities Act, the Securities Act or the 1940 Act and (ii) such as may be required by the various state Blue Sky or securities laws, the rules and regulations of the Financial Industry Regulatory Authority (“FINRA”) or the securities laws of any jurisdiction outside of the United States in connection with the offer and sale of the Underwritten Securities.</w:t>
      </w:r>
    </w:p>
    <w:p>
      <w:pPr>
        <w:spacing w:after="0" w:line="39" w:lineRule="exact"/>
        <w:rPr>
          <w:sz w:val="20"/>
          <w:szCs w:val="20"/>
          <w:color w:val="auto"/>
        </w:rPr>
      </w:pPr>
    </w:p>
    <w:p>
      <w:pPr>
        <w:ind w:left="446" w:hanging="446"/>
        <w:spacing w:after="0"/>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w:t>
      </w:r>
    </w:p>
    <w:p>
      <w:pPr>
        <w:spacing w:after="0" w:line="90" w:lineRule="exact"/>
        <w:rPr>
          <w:sz w:val="20"/>
          <w:szCs w:val="20"/>
          <w:color w:val="auto"/>
        </w:rPr>
      </w:pPr>
    </w:p>
    <w:p>
      <w:pPr>
        <w:ind w:left="466" w:right="140"/>
        <w:spacing w:after="0" w:line="256" w:lineRule="auto"/>
        <w:rPr>
          <w:sz w:val="20"/>
          <w:szCs w:val="20"/>
          <w:color w:val="auto"/>
        </w:rPr>
      </w:pPr>
      <w:r>
        <w:rPr>
          <w:rFonts w:ascii="Arial" w:cs="Arial" w:eastAsia="Arial" w:hAnsi="Arial"/>
          <w:sz w:val="18"/>
          <w:szCs w:val="18"/>
          <w:color w:val="auto"/>
        </w:rPr>
        <w:t>Neither the Company nor to its knowledge any affiliate of the Company has taken, nor will the Company or any affiliate take, directly or indirectly, any action which is designed to or which has constituted or which would be expected to cause or result in stabilization or manipulation of the price of any security of the Company to facilitate the sale or resale of the Underwritten Securities in violation of any law, statute, regulation or rule applicable to the Company or its affiliates.</w:t>
      </w:r>
    </w:p>
    <w:p>
      <w:pPr>
        <w:spacing w:after="0" w:line="62" w:lineRule="exact"/>
        <w:rPr>
          <w:sz w:val="20"/>
          <w:szCs w:val="20"/>
          <w:color w:val="auto"/>
        </w:rPr>
      </w:pPr>
    </w:p>
    <w:p>
      <w:pPr>
        <w:ind w:left="446" w:hanging="446"/>
        <w:spacing w:after="0"/>
        <w:tabs>
          <w:tab w:leader="none" w:pos="446"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ind w:left="466" w:right="40"/>
        <w:spacing w:after="0" w:line="268" w:lineRule="auto"/>
        <w:rPr>
          <w:sz w:val="20"/>
          <w:szCs w:val="20"/>
          <w:color w:val="auto"/>
        </w:rPr>
      </w:pPr>
      <w:r>
        <w:rPr>
          <w:rFonts w:ascii="Arial" w:cs="Arial" w:eastAsia="Arial" w:hAnsi="Arial"/>
          <w:sz w:val="18"/>
          <w:szCs w:val="18"/>
          <w:color w:val="auto"/>
        </w:rPr>
        <w:t>The Company owns, or has obtained valid and enforceable licenses for, or other rights to use, the inventions, patent applications, patents, trademarks (both registered and unregistered), tradenames,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9" w:right="239" w:bottom="1440" w:gutter="0" w:footer="0" w:header="0"/>
        </w:sectPr>
      </w:pPr>
    </w:p>
    <w:bookmarkStart w:id="328" w:name="page329"/>
    <w:bookmarkEnd w:id="328"/>
    <w:p>
      <w:pPr>
        <w:ind w:left="466"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4" w:lineRule="exact"/>
        <w:rPr>
          <w:sz w:val="20"/>
          <w:szCs w:val="20"/>
          <w:color w:val="auto"/>
        </w:rPr>
      </w:pPr>
    </w:p>
    <w:p>
      <w:pPr>
        <w:ind w:left="446" w:hanging="446"/>
        <w:spacing w:after="0"/>
        <w:tabs>
          <w:tab w:leader="none" w:pos="446"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w:t>
      </w:r>
    </w:p>
    <w:p>
      <w:pPr>
        <w:spacing w:after="0" w:line="90" w:lineRule="exact"/>
        <w:rPr>
          <w:sz w:val="20"/>
          <w:szCs w:val="20"/>
          <w:color w:val="auto"/>
        </w:rPr>
      </w:pPr>
    </w:p>
    <w:p>
      <w:pPr>
        <w:jc w:val="both"/>
        <w:ind w:left="466" w:right="60"/>
        <w:spacing w:after="0" w:line="357" w:lineRule="auto"/>
        <w:rPr>
          <w:sz w:val="20"/>
          <w:szCs w:val="20"/>
          <w:color w:val="auto"/>
        </w:rPr>
      </w:pPr>
      <w:r>
        <w:rPr>
          <w:rFonts w:ascii="Arial" w:cs="Arial" w:eastAsia="Arial" w:hAnsi="Arial"/>
          <w:sz w:val="15"/>
          <w:szCs w:val="15"/>
          <w:color w:val="auto"/>
        </w:rPr>
        <w:t>The Company is not and, after giving effect to the offering and sale of the Underwritten Securities, will not be a “registered management investment company” or an entity “controlled” by a “registered management investment company,” as such terms are used under the Investment Company Act.</w:t>
      </w:r>
    </w:p>
    <w:p>
      <w:pPr>
        <w:ind w:left="446" w:hanging="446"/>
        <w:spacing w:after="0"/>
        <w:tabs>
          <w:tab w:leader="none" w:pos="446"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90" w:lineRule="exact"/>
        <w:rPr>
          <w:sz w:val="20"/>
          <w:szCs w:val="20"/>
          <w:color w:val="auto"/>
        </w:rPr>
      </w:pPr>
    </w:p>
    <w:p>
      <w:pPr>
        <w:ind w:left="466" w:right="580"/>
        <w:spacing w:after="0" w:line="332" w:lineRule="auto"/>
        <w:rPr>
          <w:sz w:val="20"/>
          <w:szCs w:val="20"/>
          <w:color w:val="auto"/>
        </w:rPr>
      </w:pPr>
      <w:r>
        <w:rPr>
          <w:rFonts w:ascii="Arial" w:cs="Arial" w:eastAsia="Arial" w:hAnsi="Arial"/>
          <w:sz w:val="16"/>
          <w:szCs w:val="16"/>
          <w:color w:val="auto"/>
        </w:rPr>
        <w:t>There are no persons with registration rights or other similar rights to have any securities registered pursuant to the Registration Statement or otherwise registered by the Company under the Securities Act other than as set forth in the Prospectus.</w:t>
      </w:r>
    </w:p>
    <w:p>
      <w:pPr>
        <w:spacing w:after="0" w:line="4" w:lineRule="exact"/>
        <w:rPr>
          <w:sz w:val="20"/>
          <w:szCs w:val="20"/>
          <w:color w:val="auto"/>
        </w:rPr>
      </w:pPr>
    </w:p>
    <w:p>
      <w:pPr>
        <w:ind w:left="446" w:hanging="446"/>
        <w:spacing w:after="0"/>
        <w:tabs>
          <w:tab w:leader="none" w:pos="446"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t>Investment Management Agreement</w:t>
      </w:r>
      <w:r>
        <w:rPr>
          <w:rFonts w:ascii="Arial" w:cs="Arial" w:eastAsia="Arial" w:hAnsi="Arial"/>
          <w:sz w:val="18"/>
          <w:szCs w:val="18"/>
          <w:color w:val="auto"/>
        </w:rPr>
        <w:t>.</w:t>
      </w:r>
    </w:p>
    <w:p>
      <w:pPr>
        <w:spacing w:after="0" w:line="90"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The terms of the Investment Management Agreement, including compensation terms, comply in all material respects with all applicable provisions of the 1940 Act and the Advisers Act.</w:t>
      </w:r>
    </w:p>
    <w:p>
      <w:pPr>
        <w:spacing w:after="0" w:line="51" w:lineRule="exact"/>
        <w:rPr>
          <w:sz w:val="20"/>
          <w:szCs w:val="20"/>
          <w:color w:val="auto"/>
        </w:rPr>
      </w:pPr>
    </w:p>
    <w:p>
      <w:pPr>
        <w:ind w:left="446" w:hanging="446"/>
        <w:spacing w:after="0"/>
        <w:tabs>
          <w:tab w:leader="none" w:pos="446"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Interested Persons</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56" w:lineRule="auto"/>
        <w:rPr>
          <w:sz w:val="20"/>
          <w:szCs w:val="20"/>
          <w:color w:val="auto"/>
        </w:rPr>
      </w:pPr>
      <w:r>
        <w:rPr>
          <w:rFonts w:ascii="Arial" w:cs="Arial" w:eastAsia="Arial" w:hAnsi="Arial"/>
          <w:sz w:val="18"/>
          <w:szCs w:val="18"/>
          <w:color w:val="auto"/>
        </w:rPr>
        <w:t>Except as disclosed in the Prospectus and the Pre-pricing Prospectus, (i) no person is serving or acting as an officer, director or investment adviser of the Company, except in accordance with the provisions of the 1940 Act and the Advisers Act, and (ii) to the knowledge of the Company, no director of the Company is an “interested person” (as defined in the 1940 Act) of the Company or an “affiliated person” (as defined in the 1940 Act) of any of the Underwriters.</w:t>
      </w:r>
    </w:p>
    <w:p>
      <w:pPr>
        <w:spacing w:after="0" w:line="62" w:lineRule="exact"/>
        <w:rPr>
          <w:sz w:val="20"/>
          <w:szCs w:val="20"/>
          <w:color w:val="auto"/>
        </w:rPr>
      </w:pPr>
    </w:p>
    <w:p>
      <w:pPr>
        <w:ind w:left="446" w:hanging="446"/>
        <w:spacing w:after="0"/>
        <w:tabs>
          <w:tab w:leader="none" w:pos="446"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color w:val="auto"/>
        </w:rPr>
        <w:t>The Company has established and maintained a system of internal accounting controls sufficient to provide reasonable assurances that</w:t>
      </w:r>
    </w:p>
    <w:p>
      <w:pPr>
        <w:spacing w:after="0" w:line="38" w:lineRule="exact"/>
        <w:rPr>
          <w:sz w:val="20"/>
          <w:szCs w:val="20"/>
          <w:color w:val="auto"/>
        </w:rPr>
      </w:pPr>
    </w:p>
    <w:p>
      <w:pPr>
        <w:ind w:left="466" w:right="240" w:firstLine="1"/>
        <w:spacing w:after="0" w:line="292" w:lineRule="auto"/>
        <w:tabs>
          <w:tab w:leader="none" w:pos="676"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authorization, (ii) transactions are recorded as necessary to permit preparation of financial statements in conformity with GAAP and to maintain accountability for assets, (iii) access to assets is permitted only in accordance with management’s authorization and (iv) the recorded accountability for inventory assets is compared with the existing inventory assets at reasonable intervals and appropriate action is taken with respect to any differences, except, in each of the foregoing cases, where the failure to establish and maintain such controls would not result in a Material Adverse Effect.</w:t>
      </w:r>
    </w:p>
    <w:p>
      <w:pPr>
        <w:spacing w:after="0" w:line="35" w:lineRule="exact"/>
        <w:rPr>
          <w:rFonts w:ascii="Arial" w:cs="Arial" w:eastAsia="Arial" w:hAnsi="Arial"/>
          <w:sz w:val="16"/>
          <w:szCs w:val="16"/>
          <w:color w:val="auto"/>
        </w:rPr>
      </w:pPr>
    </w:p>
    <w:p>
      <w:pPr>
        <w:ind w:left="446" w:hanging="446"/>
        <w:spacing w:after="0"/>
        <w:tabs>
          <w:tab w:leader="none" w:pos="446" w:val="left"/>
        </w:tabs>
        <w:numPr>
          <w:ilvl w:val="0"/>
          <w:numId w:val="339"/>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w:t>
      </w:r>
    </w:p>
    <w:p>
      <w:pPr>
        <w:spacing w:after="0" w:line="90" w:lineRule="exact"/>
        <w:rPr>
          <w:sz w:val="20"/>
          <w:szCs w:val="20"/>
          <w:color w:val="auto"/>
        </w:rPr>
      </w:pPr>
    </w:p>
    <w:p>
      <w:pPr>
        <w:jc w:val="both"/>
        <w:ind w:left="466"/>
        <w:spacing w:after="0" w:line="318" w:lineRule="auto"/>
        <w:rPr>
          <w:sz w:val="20"/>
          <w:szCs w:val="20"/>
          <w:color w:val="auto"/>
        </w:rPr>
      </w:pPr>
      <w:r>
        <w:rPr>
          <w:rFonts w:ascii="Arial" w:cs="Arial" w:eastAsia="Arial" w:hAnsi="Arial"/>
          <w:sz w:val="15"/>
          <w:szCs w:val="15"/>
          <w:color w:val="auto"/>
        </w:rPr>
        <w:t>The Company has established and employs disclosure controls and procedures that are designed to ensure that information required to be disclosed by the Company in the reports that it files or submits under the Securities Exchange Act is (i) recorded, processed, summarized and reported, within the time periods specified in the Commission’s rules and forms and (ii) accumulated and communicated to the Company’s management, including its principal executive officer or officers and principal financial officer or officers, as appropriate to allow timely decisions regarding disclosure, except, in each of the foregoing cases, where failure to establish and employ such controls and procedures would not result in a Material Adverse Effect.</w:t>
      </w:r>
    </w:p>
    <w:p>
      <w:pPr>
        <w:spacing w:after="0" w:line="8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6"/>
          </w:cols>
          <w:pgMar w:left="694" w:top="279" w:right="259" w:bottom="1440" w:gutter="0" w:footer="0" w:header="0"/>
        </w:sectPr>
      </w:pPr>
    </w:p>
    <w:bookmarkStart w:id="329" w:name="page330"/>
    <w:bookmarkEnd w:id="329"/>
    <w:p>
      <w:pPr>
        <w:ind w:left="900" w:hanging="446"/>
        <w:spacing w:after="0"/>
        <w:tabs>
          <w:tab w:leader="none" w:pos="900" w:val="left"/>
        </w:tabs>
        <w:numPr>
          <w:ilvl w:val="0"/>
          <w:numId w:val="3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Returns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80" w:firstLine="1"/>
        <w:spacing w:after="0" w:line="306" w:lineRule="auto"/>
        <w:tabs>
          <w:tab w:leader="none" w:pos="113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Company and the Subsidiaries have filed all federal, state, local and foreign tax returns that are required to have been filed by them pursuant to applicable foreign, federal, state, local or other law or have duly requested extensions thereof, except insofar as the failure to file such returns or request such extensions would not reasonably be expected to result in a Material Adverse Effect.</w:t>
      </w:r>
    </w:p>
    <w:p>
      <w:pPr>
        <w:spacing w:after="0" w:line="25" w:lineRule="exact"/>
        <w:rPr>
          <w:rFonts w:ascii="Arial" w:cs="Arial" w:eastAsia="Arial" w:hAnsi="Arial"/>
          <w:sz w:val="16"/>
          <w:szCs w:val="16"/>
          <w:color w:val="auto"/>
        </w:rPr>
      </w:pPr>
    </w:p>
    <w:p>
      <w:pPr>
        <w:ind w:left="920" w:right="200" w:firstLine="1"/>
        <w:spacing w:after="0" w:line="306" w:lineRule="auto"/>
        <w:tabs>
          <w:tab w:leader="none" w:pos="1178"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Company and the Subsidiaries have paid all taxes shown as due pursuant to such returns or pursuant to any assessment received by the Company and the Subsidiaries, except for such taxes or assessments, if any, as are being contested in good faith and as to which adequate reserves have been provided or where the failure to pay would not reasonably be expected to result in a Material Adverse Effect.</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40"/>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335" w:lineRule="auto"/>
        <w:rPr>
          <w:sz w:val="20"/>
          <w:szCs w:val="20"/>
          <w:color w:val="auto"/>
        </w:rPr>
      </w:pPr>
      <w:r>
        <w:rPr>
          <w:rFonts w:ascii="Arial" w:cs="Arial" w:eastAsia="Arial" w:hAnsi="Arial"/>
          <w:sz w:val="15"/>
          <w:szCs w:val="15"/>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7" w:lineRule="exact"/>
        <w:rPr>
          <w:sz w:val="20"/>
          <w:szCs w:val="20"/>
          <w:color w:val="auto"/>
        </w:rPr>
      </w:pPr>
    </w:p>
    <w:p>
      <w:pPr>
        <w:ind w:left="900" w:hanging="446"/>
        <w:spacing w:after="0"/>
        <w:tabs>
          <w:tab w:leader="none" w:pos="900" w:val="left"/>
        </w:tabs>
        <w:numPr>
          <w:ilvl w:val="1"/>
          <w:numId w:val="341"/>
        </w:numPr>
        <w:rPr>
          <w:rFonts w:ascii="Arial" w:cs="Arial" w:eastAsia="Arial" w:hAnsi="Arial"/>
          <w:sz w:val="18"/>
          <w:szCs w:val="18"/>
          <w:color w:val="auto"/>
        </w:rPr>
      </w:pPr>
      <w:r>
        <w:rPr>
          <w:rFonts w:ascii="Arial" w:cs="Arial" w:eastAsia="Arial" w:hAnsi="Arial"/>
          <w:sz w:val="18"/>
          <w:szCs w:val="18"/>
          <w:i w:val="1"/>
          <w:iCs w:val="1"/>
          <w:color w:val="auto"/>
        </w:rPr>
        <w:t>Transactions with Insiders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380" w:firstLine="1"/>
        <w:spacing w:after="0" w:line="259" w:lineRule="auto"/>
        <w:tabs>
          <w:tab w:leader="none" w:pos="1130" w:val="left"/>
        </w:tabs>
        <w:numPr>
          <w:ilvl w:val="2"/>
          <w:numId w:val="341"/>
        </w:numPr>
        <w:rPr>
          <w:rFonts w:ascii="Arial" w:cs="Arial" w:eastAsia="Arial" w:hAnsi="Arial"/>
          <w:sz w:val="18"/>
          <w:szCs w:val="18"/>
          <w:color w:val="auto"/>
        </w:rPr>
      </w:pPr>
      <w:r>
        <w:rPr>
          <w:rFonts w:ascii="Arial" w:cs="Arial" w:eastAsia="Arial" w:hAnsi="Arial"/>
          <w:sz w:val="18"/>
          <w:szCs w:val="18"/>
          <w:color w:val="auto"/>
        </w:rPr>
        <w:t>The Company has not, directly or indirectly, extended credit, arranged to extend credit, or renewed any extension of credit, in the form of a personal loan, to or for any director or executive officer of the Company, or to or for any family member or affiliate of any director or executive officer of the Company.</w:t>
      </w:r>
    </w:p>
    <w:p>
      <w:pPr>
        <w:spacing w:after="0" w:line="59" w:lineRule="exact"/>
        <w:rPr>
          <w:rFonts w:ascii="Arial" w:cs="Arial" w:eastAsia="Arial" w:hAnsi="Arial"/>
          <w:sz w:val="18"/>
          <w:szCs w:val="18"/>
          <w:color w:val="auto"/>
        </w:rPr>
      </w:pPr>
    </w:p>
    <w:p>
      <w:pPr>
        <w:ind w:left="920" w:firstLine="1"/>
        <w:spacing w:after="0" w:line="259" w:lineRule="auto"/>
        <w:tabs>
          <w:tab w:leader="none" w:pos="1178" w:val="left"/>
        </w:tabs>
        <w:numPr>
          <w:ilvl w:val="2"/>
          <w:numId w:val="341"/>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employee or agent of the Company has made any payment of funds of the Company or received or retained any funds in violation of any law, rule or regulation, which payment, receipt or retention of funds is of a character required to be disclosed in the Prospectus.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341"/>
        </w:numPr>
        <w:rPr>
          <w:rFonts w:ascii="Arial" w:cs="Arial" w:eastAsia="Arial" w:hAnsi="Arial"/>
          <w:sz w:val="18"/>
          <w:szCs w:val="18"/>
          <w:color w:val="auto"/>
        </w:rPr>
      </w:pPr>
      <w:r>
        <w:rPr>
          <w:rFonts w:ascii="Arial" w:cs="Arial" w:eastAsia="Arial" w:hAnsi="Arial"/>
          <w:sz w:val="18"/>
          <w:szCs w:val="18"/>
          <w:i w:val="1"/>
          <w:iCs w:val="1"/>
          <w:color w:val="auto"/>
        </w:rPr>
        <w:t>Foreign Corrupt Practices Act and OFAC.</w:t>
      </w:r>
    </w:p>
    <w:p>
      <w:pPr>
        <w:spacing w:after="0" w:line="90" w:lineRule="exact"/>
        <w:rPr>
          <w:rFonts w:ascii="Arial" w:cs="Arial" w:eastAsia="Arial" w:hAnsi="Arial"/>
          <w:sz w:val="18"/>
          <w:szCs w:val="18"/>
          <w:color w:val="auto"/>
        </w:rPr>
      </w:pPr>
    </w:p>
    <w:p>
      <w:pPr>
        <w:ind w:left="920" w:right="120" w:firstLine="1"/>
        <w:spacing w:after="0" w:line="259" w:lineRule="auto"/>
        <w:tabs>
          <w:tab w:leader="none" w:pos="1130" w:val="left"/>
        </w:tabs>
        <w:numPr>
          <w:ilvl w:val="2"/>
          <w:numId w:val="341"/>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employee or affiliate of the Company is aware of or has taken any action, directly or indirectly, that would result in a violation by such entities or persons of the Foreign Corrupt Practices Act of 1977, as amended, and the rules and regulations thereunder.</w:t>
      </w:r>
    </w:p>
    <w:p>
      <w:pPr>
        <w:spacing w:after="0" w:line="59" w:lineRule="exact"/>
        <w:rPr>
          <w:rFonts w:ascii="Arial" w:cs="Arial" w:eastAsia="Arial" w:hAnsi="Arial"/>
          <w:sz w:val="18"/>
          <w:szCs w:val="18"/>
          <w:color w:val="auto"/>
        </w:rPr>
      </w:pPr>
    </w:p>
    <w:p>
      <w:pPr>
        <w:ind w:left="920" w:right="480" w:firstLine="1"/>
        <w:spacing w:after="0" w:line="332" w:lineRule="auto"/>
        <w:tabs>
          <w:tab w:leader="none" w:pos="1178" w:val="left"/>
        </w:tabs>
        <w:numPr>
          <w:ilvl w:val="2"/>
          <w:numId w:val="341"/>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or affiliate of the Company is currently subject to any U.S. sanctions administered by the Office of Foreign Assets Control of the U.S. Treasury Department (“OFAC”).</w:t>
      </w:r>
    </w:p>
    <w:p>
      <w:pPr>
        <w:spacing w:after="0" w:line="4" w:lineRule="exact"/>
        <w:rPr>
          <w:rFonts w:ascii="Arial" w:cs="Arial" w:eastAsia="Arial" w:hAnsi="Arial"/>
          <w:sz w:val="16"/>
          <w:szCs w:val="16"/>
          <w:color w:val="auto"/>
        </w:rPr>
      </w:pPr>
    </w:p>
    <w:p>
      <w:pPr>
        <w:jc w:val="both"/>
        <w:ind w:left="920" w:right="220" w:firstLine="1"/>
        <w:spacing w:after="0" w:line="332" w:lineRule="auto"/>
        <w:tabs>
          <w:tab w:leader="none" w:pos="1227" w:val="left"/>
        </w:tabs>
        <w:numPr>
          <w:ilvl w:val="2"/>
          <w:numId w:val="341"/>
        </w:numPr>
        <w:rPr>
          <w:rFonts w:ascii="Arial" w:cs="Arial" w:eastAsia="Arial" w:hAnsi="Arial"/>
          <w:sz w:val="16"/>
          <w:szCs w:val="16"/>
          <w:color w:val="auto"/>
        </w:rPr>
      </w:pPr>
      <w:r>
        <w:rPr>
          <w:rFonts w:ascii="Arial" w:cs="Arial" w:eastAsia="Arial" w:hAnsi="Arial"/>
          <w:sz w:val="16"/>
          <w:szCs w:val="16"/>
          <w:color w:val="auto"/>
        </w:rPr>
        <w:t>The Company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34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Investment Adviser and the Administrator</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Investment Adviser and the Administrator, jointly and severally, represent to each Underwriter as of the date hereof, as of the Applicable Time, as of the Closing Time referred to in Section 2(2) hereof, and agrees with each Underwriter as follows:</w:t>
      </w:r>
    </w:p>
    <w:p>
      <w:pPr>
        <w:spacing w:after="0" w:line="51" w:lineRule="exact"/>
        <w:rPr>
          <w:sz w:val="20"/>
          <w:szCs w:val="20"/>
          <w:color w:val="auto"/>
        </w:rPr>
      </w:pPr>
    </w:p>
    <w:p>
      <w:pPr>
        <w:ind w:left="900" w:hanging="446"/>
        <w:spacing w:after="0"/>
        <w:tabs>
          <w:tab w:leader="none" w:pos="900" w:val="left"/>
        </w:tabs>
        <w:numPr>
          <w:ilvl w:val="0"/>
          <w:numId w:val="343"/>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Since the respective dates as of which information is in the Prospectus and Pre-pricing Prospectus, except as otherwise stated therein, there has been no material adverse change in the condition, financial or otherwise, or in the earnings, business affairs, business prospects or regulatory status of the Investment Adviser or the Administrator, whether or not arising in the ordinary course of business, that would reasonably be expected to result in a Material Adverse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30" w:name="page331"/>
    <w:bookmarkEnd w:id="330"/>
    <w:p>
      <w:pPr>
        <w:ind w:left="446" w:hanging="446"/>
        <w:spacing w:after="0"/>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Standing</w:t>
      </w:r>
      <w:r>
        <w:rPr>
          <w:rFonts w:ascii="Arial" w:cs="Arial" w:eastAsia="Arial" w:hAnsi="Arial"/>
          <w:sz w:val="18"/>
          <w:szCs w:val="18"/>
          <w:color w:val="auto"/>
        </w:rPr>
        <w:t>.</w:t>
      </w:r>
    </w:p>
    <w:p>
      <w:pPr>
        <w:spacing w:after="0" w:line="90"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Each of the Investment Adviser and the Administrator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Prospectus and to enter into and perform its obligations under this Agreement; the Investment Adviser has limited liability company power and authority to execute and deliver and perform its obligations under the Investment Management Agreement; the Administrator has limited liability company power and authority to enter into and perform its obligations under the Administration Agreement; and each of the Investment Adviser and the Administrator is duly qualified to transact business as a foreign entity and is in good standing in each other jurisdiction in which such qualification is required, whether by reason of ownership or leasing of its property or the conduct of business, except where the failure to qualify or be in good standing would not otherwise reasonably be expected to result in a Material Adverse Effect.</w:t>
      </w:r>
    </w:p>
    <w:p>
      <w:pPr>
        <w:spacing w:after="0" w:line="37" w:lineRule="exact"/>
        <w:rPr>
          <w:sz w:val="20"/>
          <w:szCs w:val="20"/>
          <w:color w:val="auto"/>
        </w:rPr>
      </w:pPr>
    </w:p>
    <w:p>
      <w:pPr>
        <w:ind w:left="446" w:hanging="446"/>
        <w:spacing w:after="0"/>
        <w:tabs>
          <w:tab w:leader="none" w:pos="446" w:val="left"/>
        </w:tabs>
        <w:numPr>
          <w:ilvl w:val="0"/>
          <w:numId w:val="345"/>
        </w:numPr>
        <w:rPr>
          <w:rFonts w:ascii="Arial" w:cs="Arial" w:eastAsia="Arial" w:hAnsi="Arial"/>
          <w:sz w:val="18"/>
          <w:szCs w:val="18"/>
          <w:color w:val="auto"/>
        </w:rPr>
      </w:pPr>
      <w:r>
        <w:rPr>
          <w:rFonts w:ascii="Arial" w:cs="Arial" w:eastAsia="Arial" w:hAnsi="Arial"/>
          <w:sz w:val="18"/>
          <w:szCs w:val="18"/>
          <w:i w:val="1"/>
          <w:iCs w:val="1"/>
          <w:color w:val="auto"/>
        </w:rPr>
        <w:t>Registration Under Advisers Act</w:t>
      </w:r>
      <w:r>
        <w:rPr>
          <w:rFonts w:ascii="Arial" w:cs="Arial" w:eastAsia="Arial" w:hAnsi="Arial"/>
          <w:sz w:val="18"/>
          <w:szCs w:val="18"/>
          <w:color w:val="auto"/>
        </w:rPr>
        <w:t>.</w:t>
      </w:r>
    </w:p>
    <w:p>
      <w:pPr>
        <w:spacing w:after="0" w:line="90" w:lineRule="exact"/>
        <w:rPr>
          <w:sz w:val="20"/>
          <w:szCs w:val="20"/>
          <w:color w:val="auto"/>
        </w:rPr>
      </w:pPr>
    </w:p>
    <w:p>
      <w:pPr>
        <w:ind w:left="466" w:right="500"/>
        <w:spacing w:after="0" w:line="357" w:lineRule="auto"/>
        <w:rPr>
          <w:sz w:val="20"/>
          <w:szCs w:val="20"/>
          <w:color w:val="auto"/>
        </w:rPr>
      </w:pPr>
      <w:r>
        <w:rPr>
          <w:rFonts w:ascii="Arial" w:cs="Arial" w:eastAsia="Arial" w:hAnsi="Arial"/>
          <w:sz w:val="15"/>
          <w:szCs w:val="15"/>
          <w:color w:val="auto"/>
        </w:rPr>
        <w:t>The Investment Adviser is duly registered with the Commission as an investment adviser under the Advisers Act and is not prohibited by the Advisers Act or the 1940 Act from acting under the Investment Management Agreement for the Company as contemplated by the Prospectus.</w:t>
      </w:r>
    </w:p>
    <w:p>
      <w:pPr>
        <w:ind w:left="446" w:hanging="446"/>
        <w:spacing w:after="0"/>
        <w:tabs>
          <w:tab w:leader="none" w:pos="446"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Absence of Proceedings</w:t>
      </w:r>
      <w:r>
        <w:rPr>
          <w:rFonts w:ascii="Arial" w:cs="Arial" w:eastAsia="Arial" w:hAnsi="Arial"/>
          <w:sz w:val="18"/>
          <w:szCs w:val="18"/>
          <w:color w:val="auto"/>
        </w:rPr>
        <w:t>.</w:t>
      </w:r>
    </w:p>
    <w:p>
      <w:pPr>
        <w:spacing w:after="0" w:line="90" w:lineRule="exact"/>
        <w:rPr>
          <w:sz w:val="20"/>
          <w:szCs w:val="20"/>
          <w:color w:val="auto"/>
        </w:rPr>
      </w:pPr>
    </w:p>
    <w:p>
      <w:pPr>
        <w:ind w:left="466" w:right="20"/>
        <w:spacing w:after="0" w:line="254" w:lineRule="auto"/>
        <w:rPr>
          <w:sz w:val="20"/>
          <w:szCs w:val="20"/>
          <w:color w:val="auto"/>
        </w:rPr>
      </w:pPr>
      <w:r>
        <w:rPr>
          <w:rFonts w:ascii="Arial" w:cs="Arial" w:eastAsia="Arial" w:hAnsi="Arial"/>
          <w:sz w:val="18"/>
          <w:szCs w:val="18"/>
          <w:color w:val="auto"/>
        </w:rPr>
        <w:t>There is no action, suit or proceeding, or to the knowledge of the Investment Adviser or the Administrator, inquiry or investigation before or brought by any court or governmental agency or body, domestic or foreign, now pending against or affecting either the Investment Adviser or the Administrator, which is required to be disclosed in the Prospectus or Pre-pricing Prospectus (other than as disclosed therein), or which would reasonably be expected to result in a Material Adverse Effect, or which would reasonably be expected to materially and adversely affect the consummation of the transactions contemplated in this Agreement, [the Indenture,] the Investment Management Agreement or the Administration Agreement.</w:t>
      </w:r>
    </w:p>
    <w:p>
      <w:pPr>
        <w:spacing w:after="0" w:line="63" w:lineRule="exact"/>
        <w:rPr>
          <w:sz w:val="20"/>
          <w:szCs w:val="20"/>
          <w:color w:val="auto"/>
        </w:rPr>
      </w:pPr>
    </w:p>
    <w:p>
      <w:pPr>
        <w:ind w:left="446" w:hanging="446"/>
        <w:spacing w:after="0"/>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sz w:val="20"/>
          <w:szCs w:val="20"/>
          <w:color w:val="auto"/>
        </w:rPr>
      </w:pPr>
    </w:p>
    <w:p>
      <w:pPr>
        <w:ind w:left="466" w:right="120"/>
        <w:spacing w:after="0" w:line="290" w:lineRule="auto"/>
        <w:rPr>
          <w:sz w:val="20"/>
          <w:szCs w:val="20"/>
          <w:color w:val="auto"/>
        </w:rPr>
      </w:pPr>
      <w:r>
        <w:rPr>
          <w:rFonts w:ascii="Arial" w:cs="Arial" w:eastAsia="Arial" w:hAnsi="Arial"/>
          <w:sz w:val="16"/>
          <w:szCs w:val="16"/>
          <w:color w:val="auto"/>
        </w:rPr>
        <w:t>This Agreement, the Investment Management Agreement and the Administration Agreement have been duly authorized, executed and delivered by the Investment Adviser and the Administrator, as applicable. This Agreement, the Investment Management Agreement and the Administration Agreement are valid and binding obligations of the Investment Adviser or the Administrator, as applicable, enforceable against them in accordance with their terms, except as the enforcement thereof may be subject to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37" w:lineRule="exact"/>
        <w:rPr>
          <w:sz w:val="20"/>
          <w:szCs w:val="20"/>
          <w:color w:val="auto"/>
        </w:rPr>
      </w:pPr>
    </w:p>
    <w:p>
      <w:pPr>
        <w:ind w:left="446" w:hanging="446"/>
        <w:spacing w:after="0"/>
        <w:tabs>
          <w:tab w:leader="none" w:pos="446"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Absence of Defaults and Conflicts</w:t>
      </w:r>
      <w:r>
        <w:rPr>
          <w:rFonts w:ascii="Arial" w:cs="Arial" w:eastAsia="Arial" w:hAnsi="Arial"/>
          <w:sz w:val="18"/>
          <w:szCs w:val="18"/>
          <w:color w:val="auto"/>
        </w:rPr>
        <w:t>.</w:t>
      </w:r>
    </w:p>
    <w:p>
      <w:pPr>
        <w:spacing w:after="0" w:line="90" w:lineRule="exact"/>
        <w:rPr>
          <w:sz w:val="20"/>
          <w:szCs w:val="20"/>
          <w:color w:val="auto"/>
        </w:rPr>
      </w:pPr>
    </w:p>
    <w:p>
      <w:pPr>
        <w:ind w:left="466" w:right="660"/>
        <w:spacing w:after="0" w:line="268" w:lineRule="auto"/>
        <w:rPr>
          <w:sz w:val="20"/>
          <w:szCs w:val="20"/>
          <w:color w:val="auto"/>
        </w:rPr>
      </w:pPr>
      <w:r>
        <w:rPr>
          <w:rFonts w:ascii="Arial" w:cs="Arial" w:eastAsia="Arial" w:hAnsi="Arial"/>
          <w:sz w:val="18"/>
          <w:szCs w:val="18"/>
          <w:color w:val="auto"/>
        </w:rPr>
        <w:t>Neither the Investment Adviser nor the Administrator is in violation of its limited liability company operating agreement or in default in the performance or observance of any obligation, agreement, covenant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6"/>
          </w:cols>
          <w:pgMar w:left="694" w:top="280" w:right="259" w:bottom="1440" w:gutter="0" w:footer="0" w:header="0"/>
        </w:sectPr>
      </w:pPr>
    </w:p>
    <w:bookmarkStart w:id="331" w:name="page332"/>
    <w:bookmarkEnd w:id="331"/>
    <w:p>
      <w:pPr>
        <w:ind w:left="46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condition contained in any contract, loan or credit agreement, lease or other instrument to which the Investment Adviser or the Administrator is a party or by which it or any of them may be bound, or to which any of the property or assets of the Investment Adviser or the Administrator is subject (collectively, the “Adviser/Administrator Agreements and Instruments”), or in violation of any law, statute, rule, regulation, judgment, order or decree except for such violations or defaults that would not reasonably be expected to result in a Material Adverse Effect; and the execution, delivery and performance of this Agreement, the Investment Management Agreement and the Administration Agreement and the consummation of the transactions contemplated herein and therein and in the Prospectus and Pre-pricing Prospectus do not and will not, whether with or without the giving of notice or passage of time or both, conflict with or constitute a breach of, or default under, the Adviser/Administrator Agreements and Instruments except for such violations or defaults that would not reasonably be expected to result in a Material Adverse Effect, nor will such action result in any violation of the provisions of the limited liability company operating agreement of the Investment Adviser or Administrator, respectively.</w:t>
      </w:r>
    </w:p>
    <w:p>
      <w:pPr>
        <w:spacing w:after="0" w:line="255" w:lineRule="exact"/>
        <w:rPr>
          <w:sz w:val="20"/>
          <w:szCs w:val="20"/>
          <w:color w:val="auto"/>
        </w:rPr>
      </w:pPr>
    </w:p>
    <w:p>
      <w:pPr>
        <w:ind w:left="446" w:hanging="446"/>
        <w:spacing w:after="0"/>
        <w:tabs>
          <w:tab w:leader="none" w:pos="446"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Description of Investment Adviser and Administrator</w:t>
      </w:r>
      <w:r>
        <w:rPr>
          <w:rFonts w:ascii="Arial" w:cs="Arial" w:eastAsia="Arial" w:hAnsi="Arial"/>
          <w:sz w:val="18"/>
          <w:szCs w:val="18"/>
          <w:color w:val="auto"/>
        </w:rPr>
        <w:t>.</w:t>
      </w:r>
    </w:p>
    <w:p>
      <w:pPr>
        <w:spacing w:after="0" w:line="90" w:lineRule="exact"/>
        <w:rPr>
          <w:sz w:val="20"/>
          <w:szCs w:val="20"/>
          <w:color w:val="auto"/>
        </w:rPr>
      </w:pPr>
    </w:p>
    <w:p>
      <w:pPr>
        <w:jc w:val="both"/>
        <w:ind w:left="466" w:right="260"/>
        <w:spacing w:after="0" w:line="259" w:lineRule="auto"/>
        <w:rPr>
          <w:sz w:val="20"/>
          <w:szCs w:val="20"/>
          <w:color w:val="auto"/>
        </w:rPr>
      </w:pPr>
      <w:r>
        <w:rPr>
          <w:rFonts w:ascii="Arial" w:cs="Arial" w:eastAsia="Arial" w:hAnsi="Arial"/>
          <w:sz w:val="18"/>
          <w:szCs w:val="18"/>
          <w:color w:val="auto"/>
        </w:rPr>
        <w:t>The description of the Investment Adviser and the Administrator contained in the Pre-pricing Prospectus and the Prospectus does not contain any untrue statement of a material fact or omit to state a material fact necessary to make the statements therein, in light of the circumstances in which they were made, not misleading.</w:t>
      </w:r>
    </w:p>
    <w:p>
      <w:pPr>
        <w:spacing w:after="0" w:line="59" w:lineRule="exact"/>
        <w:rPr>
          <w:sz w:val="20"/>
          <w:szCs w:val="20"/>
          <w:color w:val="auto"/>
        </w:rPr>
      </w:pPr>
    </w:p>
    <w:p>
      <w:pPr>
        <w:ind w:left="446" w:hanging="446"/>
        <w:spacing w:after="0"/>
        <w:tabs>
          <w:tab w:leader="none" w:pos="446"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jc w:val="both"/>
        <w:ind w:left="466" w:right="140"/>
        <w:spacing w:after="0" w:line="256" w:lineRule="auto"/>
        <w:rPr>
          <w:sz w:val="20"/>
          <w:szCs w:val="20"/>
          <w:color w:val="auto"/>
        </w:rPr>
      </w:pPr>
      <w:r>
        <w:rPr>
          <w:rFonts w:ascii="Arial" w:cs="Arial" w:eastAsia="Arial" w:hAnsi="Arial"/>
          <w:sz w:val="18"/>
          <w:szCs w:val="18"/>
          <w:color w:val="auto"/>
        </w:rPr>
        <w:t>The Investment Adviser and the Administrator each owns, or has obtained valid and enforceable licenses for, or other rights to use, the inventions, patent applications, patents, trademarks (both registered and unregistered), tradenames, 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62" w:lineRule="exact"/>
        <w:rPr>
          <w:sz w:val="20"/>
          <w:szCs w:val="20"/>
          <w:color w:val="auto"/>
        </w:rPr>
      </w:pPr>
    </w:p>
    <w:p>
      <w:pPr>
        <w:ind w:left="446" w:hanging="446"/>
        <w:spacing w:after="0"/>
        <w:tabs>
          <w:tab w:leader="none" w:pos="446"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w:t>
      </w:r>
    </w:p>
    <w:p>
      <w:pPr>
        <w:spacing w:after="0" w:line="90" w:lineRule="exact"/>
        <w:rPr>
          <w:sz w:val="20"/>
          <w:szCs w:val="20"/>
          <w:color w:val="auto"/>
        </w:rPr>
      </w:pPr>
    </w:p>
    <w:p>
      <w:pPr>
        <w:ind w:left="466" w:right="340"/>
        <w:spacing w:after="0" w:line="294" w:lineRule="auto"/>
        <w:rPr>
          <w:sz w:val="20"/>
          <w:szCs w:val="20"/>
          <w:color w:val="auto"/>
        </w:rPr>
      </w:pPr>
      <w:r>
        <w:rPr>
          <w:rFonts w:ascii="Arial" w:cs="Arial" w:eastAsia="Arial" w:hAnsi="Arial"/>
          <w:sz w:val="16"/>
          <w:szCs w:val="16"/>
          <w:color w:val="auto"/>
        </w:rPr>
        <w:t>The Investment Adviser has used its commercially reasonable efforts to establish and maintain a system of internal controls sufficient to provide reasonable assurance that (i) transactions effectuated by it under the Investment Management Agreement are executed in accordance with its management’s general or specific authorization and (ii) access to the Company’s assets that are in its possession or control is permitted only in accordance with its management’s general or specific authorization, except, in each of the foregoing cases, where the failure to establish and maintain such controls would not result in a Material Adverse Effect.</w:t>
      </w:r>
    </w:p>
    <w:p>
      <w:pPr>
        <w:spacing w:after="0" w:line="35" w:lineRule="exact"/>
        <w:rPr>
          <w:sz w:val="20"/>
          <w:szCs w:val="20"/>
          <w:color w:val="auto"/>
        </w:rPr>
      </w:pPr>
    </w:p>
    <w:p>
      <w:pPr>
        <w:ind w:left="446" w:hanging="446"/>
        <w:spacing w:after="0"/>
        <w:tabs>
          <w:tab w:leader="none" w:pos="446" w:val="left"/>
        </w:tabs>
        <w:numPr>
          <w:ilvl w:val="0"/>
          <w:numId w:val="352"/>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6" w:right="60"/>
        <w:spacing w:after="0" w:line="291" w:lineRule="auto"/>
        <w:rPr>
          <w:sz w:val="20"/>
          <w:szCs w:val="20"/>
          <w:color w:val="auto"/>
        </w:rPr>
      </w:pPr>
      <w:r>
        <w:rPr>
          <w:rFonts w:ascii="Arial" w:cs="Arial" w:eastAsia="Arial" w:hAnsi="Arial"/>
          <w:sz w:val="16"/>
          <w:szCs w:val="16"/>
          <w:color w:val="auto"/>
        </w:rPr>
        <w:t>The Administrator has used its commercially reasonable efforts to operate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GAAP and to maintain financial statements in conformity with GAAP and to maintain accountability for the Company’s assets and (ii) the recorded accountability for such assets is compared with existing assets at reasonable intervals and appropriate action is taken with respect to any differences, except, in each of the foregoing cases, where the failure to operate such controls would not result in a Material Adverse Effect.</w:t>
      </w:r>
    </w:p>
    <w:p>
      <w:pPr>
        <w:spacing w:after="0" w:line="10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6"/>
          </w:cols>
          <w:pgMar w:left="694" w:top="280" w:right="259" w:bottom="1440" w:gutter="0" w:footer="0" w:header="0"/>
        </w:sectPr>
      </w:pPr>
    </w:p>
    <w:bookmarkStart w:id="332" w:name="page333"/>
    <w:bookmarkEnd w:id="332"/>
    <w:p>
      <w:pPr>
        <w:ind w:left="900" w:hanging="446"/>
        <w:spacing w:after="0"/>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Officer’s Certificates</w:t>
      </w:r>
      <w:r>
        <w:rPr>
          <w:rFonts w:ascii="Arial" w:cs="Arial" w:eastAsia="Arial" w:hAnsi="Arial"/>
          <w:sz w:val="18"/>
          <w:szCs w:val="18"/>
          <w:color w:val="auto"/>
        </w:rPr>
        <w:t>.</w:t>
      </w:r>
    </w:p>
    <w:p>
      <w:pPr>
        <w:spacing w:after="0" w:line="9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Any certificate signed by any officer of the Company and any of the Subsidiaries delivered to the Representatives or to counsel for the Underwriters shall be deemed a representation and warranty by the Company and such Subsidiary, as applicable, to each Underwriter as to the matters covered thereby.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Sale and Delivery to Underwriters; Closing</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Underwritten Securities</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set forth in Schedule B, the aggregate principal amount of Underwritten Securities set forth in Schedule A opposite the name of such Underwriter, plus any additional aggregate principal amount of Underwritten Securities which such Underwriter may become obligated to purchase pursuant to the provisions of Section 10 hereof.</w:t>
      </w:r>
    </w:p>
    <w:p>
      <w:pPr>
        <w:spacing w:after="0" w:line="143" w:lineRule="exact"/>
        <w:rPr>
          <w:sz w:val="20"/>
          <w:szCs w:val="20"/>
          <w:color w:val="auto"/>
        </w:rPr>
      </w:pPr>
    </w:p>
    <w:p>
      <w:pPr>
        <w:ind w:left="180" w:hanging="172"/>
        <w:spacing w:after="0"/>
        <w:tabs>
          <w:tab w:leader="none" w:pos="180"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 of the purchase price for and delivery of the Underwritten Securities shall be made at the offices of or at such other place as shall be agreed upon by the Representatives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4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Payment shall be made to the Company by wire transfer of immediately available funds to a bank account designated by the Company, against delivery to the Representatives through the facilities of The Depository Trust Company (“DTC”) for the respective accounts of the Underwriters of certificates for the Underwritten Securities to be purchased by them. It is understood that each Underwriter has authorized the Representatives, for its account, to accept delivery of, receipt for, and make payment of the purchase price for, the Underwritten Securities which it has agreed to purchase. The Representatives, individually and not as Representatives of the Underwriters, may (but shall not be obligated to) make payment of the purchase price for the Underwritten Securities to be purchased by any Underwriter whose funds have not been received by the Closing Time, but such payment shall not relieve such Underwriter from its obligations hereunder.</w:t>
      </w:r>
    </w:p>
    <w:p>
      <w:pPr>
        <w:spacing w:after="0" w:line="105" w:lineRule="exact"/>
        <w:rPr>
          <w:sz w:val="20"/>
          <w:szCs w:val="20"/>
          <w:color w:val="auto"/>
        </w:rPr>
      </w:pPr>
    </w:p>
    <w:p>
      <w:pPr>
        <w:ind w:right="440" w:firstLine="8"/>
        <w:spacing w:after="0" w:line="259" w:lineRule="auto"/>
        <w:tabs>
          <w:tab w:leader="none" w:pos="176"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certificates or receipts for the Underwritten Securities shall be transferred electronically at the Closing Time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denominations and registered in such names as the Representatives may request; provided that any such request must be received in writing at least one full business day before the Closing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the Investment Adviser and the Administrator, jointly and severally, covenant with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Underwriter as follows:</w:t>
      </w:r>
    </w:p>
    <w:p>
      <w:pPr>
        <w:spacing w:after="0" w:line="165" w:lineRule="exact"/>
        <w:rPr>
          <w:sz w:val="20"/>
          <w:szCs w:val="20"/>
          <w:color w:val="auto"/>
        </w:rPr>
      </w:pPr>
    </w:p>
    <w:p>
      <w:pPr>
        <w:ind w:left="180" w:hanging="172"/>
        <w:spacing w:after="0"/>
        <w:tabs>
          <w:tab w:leader="none" w:pos="180" w:val="left"/>
        </w:tabs>
        <w:numPr>
          <w:ilvl w:val="0"/>
          <w:numId w:val="357"/>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to advise the Underwriters, promptly after the Company receives notice thereof, of the time when any amendment to the Registration Statement relating to or affecting the Underwritten Securities has been filed or becomes effective or any amendment or supplement to the Prospectus relating to or affecting the Underwritten Securities has been filed;</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to advise the Underwriters, promptly after the Company receives notice thereof, of the issuance by the Commission of any stop order suspending the effectiveness of the Registration Statement, of the suspension of the qualification of the Underwritten Securities for offering or sale in any jurisdiction, of the initiation or threatening of any proceeding for any such purpose, or of any request by the Commission for the amending or supplementing of the Registration Statement, Pre-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9" w:right="279" w:bottom="1440" w:gutter="0" w:footer="0" w:header="0"/>
        </w:sectPr>
      </w:pPr>
    </w:p>
    <w:bookmarkStart w:id="333" w:name="page334"/>
    <w:bookmarkEnd w:id="333"/>
    <w:p>
      <w:pPr>
        <w:ind w:left="912"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pricing Prospectus or Prospectus relating to or affecting the Underwritten Securities or for additional information regarding such Registration Statement, Pre-pricing Prospectus or Prospectus, and, in the event of the issuance of any stop order suspending the effectiveness of the Registration Statement, promptly to use its best efforts to obtain the withdrawal of such order;</w:t>
      </w:r>
    </w:p>
    <w:p>
      <w:pPr>
        <w:spacing w:after="0" w:line="140" w:lineRule="exact"/>
        <w:rPr>
          <w:sz w:val="20"/>
          <w:szCs w:val="20"/>
          <w:color w:val="auto"/>
        </w:rPr>
      </w:pPr>
    </w:p>
    <w:p>
      <w:pPr>
        <w:ind w:left="172" w:hanging="172"/>
        <w:spacing w:after="0"/>
        <w:tabs>
          <w:tab w:leader="none" w:pos="172"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w:t>
      </w:r>
    </w:p>
    <w:p>
      <w:pPr>
        <w:spacing w:after="0" w:line="171" w:lineRule="exact"/>
        <w:rPr>
          <w:sz w:val="20"/>
          <w:szCs w:val="20"/>
          <w:color w:val="auto"/>
        </w:rPr>
      </w:pPr>
    </w:p>
    <w:p>
      <w:pPr>
        <w:ind w:left="452"/>
        <w:spacing w:after="0" w:line="302" w:lineRule="auto"/>
        <w:rPr>
          <w:sz w:val="20"/>
          <w:szCs w:val="20"/>
          <w:color w:val="auto"/>
        </w:rPr>
      </w:pPr>
      <w:r>
        <w:rPr>
          <w:rFonts w:ascii="Arial" w:cs="Arial" w:eastAsia="Arial" w:hAnsi="Arial"/>
          <w:sz w:val="15"/>
          <w:szCs w:val="15"/>
          <w:color w:val="auto"/>
        </w:rPr>
        <w:t xml:space="preserve">to promptly from time to time to take such action as the Underwriters may reasonably request (i) to qualify the Underwritten Securities for offering and sale under the securities laws of such jurisdictions as the Underwriters may reasonably request and (ii) to comply with such laws so as to permit the continuance of sales and dealings in such jurisdictions for as long as may be necessary to complete the distribution of the Underwritten Securities,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in connection therewith the Company shall not be required to (A) qualify to do business, (B) be subject to taxation, (C) qualify as a foreign corporation,</w:t>
      </w:r>
    </w:p>
    <w:p>
      <w:pPr>
        <w:spacing w:after="0" w:line="3" w:lineRule="exact"/>
        <w:rPr>
          <w:sz w:val="20"/>
          <w:szCs w:val="20"/>
          <w:color w:val="auto"/>
        </w:rPr>
      </w:pPr>
    </w:p>
    <w:p>
      <w:pPr>
        <w:ind w:left="752" w:hanging="296"/>
        <w:spacing w:after="0"/>
        <w:tabs>
          <w:tab w:leader="none" w:pos="752" w:val="left"/>
        </w:tabs>
        <w:numPr>
          <w:ilvl w:val="2"/>
          <w:numId w:val="359"/>
        </w:numPr>
        <w:rPr>
          <w:rFonts w:ascii="Arial" w:cs="Arial" w:eastAsia="Arial" w:hAnsi="Arial"/>
          <w:sz w:val="18"/>
          <w:szCs w:val="18"/>
          <w:color w:val="auto"/>
        </w:rPr>
      </w:pPr>
      <w:r>
        <w:rPr>
          <w:rFonts w:ascii="Arial" w:cs="Arial" w:eastAsia="Arial" w:hAnsi="Arial"/>
          <w:sz w:val="18"/>
          <w:szCs w:val="18"/>
          <w:color w:val="auto"/>
        </w:rPr>
        <w:t>be subject to the jurisdiction of courts, or (E) file a general consent to service of process, in any jurisdiction;</w:t>
      </w:r>
    </w:p>
    <w:p>
      <w:pPr>
        <w:spacing w:after="0" w:line="164" w:lineRule="exact"/>
        <w:rPr>
          <w:rFonts w:ascii="Arial" w:cs="Arial" w:eastAsia="Arial" w:hAnsi="Arial"/>
          <w:sz w:val="18"/>
          <w:szCs w:val="18"/>
          <w:color w:val="auto"/>
        </w:rPr>
      </w:pPr>
    </w:p>
    <w:p>
      <w:pPr>
        <w:ind w:left="172" w:hanging="172"/>
        <w:spacing w:after="0"/>
        <w:tabs>
          <w:tab w:leader="none" w:pos="172"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Filing and Provision of Copies of Registration Statement, Pre-pricing Prospectus and Prospectus</w:t>
      </w:r>
    </w:p>
    <w:p>
      <w:pPr>
        <w:spacing w:after="0" w:line="211" w:lineRule="exact"/>
        <w:rPr>
          <w:rFonts w:ascii="Arial" w:cs="Arial" w:eastAsia="Arial" w:hAnsi="Arial"/>
          <w:sz w:val="18"/>
          <w:szCs w:val="18"/>
          <w:color w:val="auto"/>
        </w:rPr>
      </w:pPr>
    </w:p>
    <w:p>
      <w:pPr>
        <w:ind w:left="892" w:hanging="446"/>
        <w:spacing w:after="0"/>
        <w:tabs>
          <w:tab w:leader="none" w:pos="892"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to furnish to the Underwriters, without charge, signed copies of the Registration Statement (including exhibits thereto), and to furnish the</w:t>
      </w:r>
    </w:p>
    <w:p>
      <w:pPr>
        <w:spacing w:after="0" w:line="38" w:lineRule="exact"/>
        <w:rPr>
          <w:sz w:val="20"/>
          <w:szCs w:val="20"/>
          <w:color w:val="auto"/>
        </w:rPr>
      </w:pPr>
    </w:p>
    <w:p>
      <w:pPr>
        <w:ind w:left="892" w:right="40"/>
        <w:spacing w:after="0" w:line="254" w:lineRule="auto"/>
        <w:rPr>
          <w:sz w:val="20"/>
          <w:szCs w:val="20"/>
          <w:color w:val="auto"/>
        </w:rPr>
      </w:pPr>
      <w:r>
        <w:rPr>
          <w:rFonts w:ascii="Arial" w:cs="Arial" w:eastAsia="Arial" w:hAnsi="Arial"/>
          <w:sz w:val="18"/>
          <w:szCs w:val="18"/>
          <w:color w:val="auto"/>
        </w:rPr>
        <w:t>Underwriters, without charge, prior to [ ] a.m., [ ] time, on the Business Day next succeeding the date of this Agreement and as soon as practicable as many copies of the Pre-pricing Prospectus and Prospectus relating to or affecting the Underwritten Securities and any supplements and amendments thereto or to the Registration Statement relating to or affecting the Underwritten Securities prior to such proposed filing or use, as the Underwriters may reasonably request;</w:t>
      </w:r>
    </w:p>
    <w:p>
      <w:pPr>
        <w:spacing w:after="0" w:line="63" w:lineRule="exact"/>
        <w:rPr>
          <w:sz w:val="20"/>
          <w:szCs w:val="20"/>
          <w:color w:val="auto"/>
        </w:rPr>
      </w:pPr>
    </w:p>
    <w:p>
      <w:pPr>
        <w:ind w:left="892" w:right="140" w:hanging="446"/>
        <w:spacing w:after="0" w:line="306" w:lineRule="auto"/>
        <w:tabs>
          <w:tab w:leader="none" w:pos="892" w:val="left"/>
        </w:tabs>
        <w:numPr>
          <w:ilvl w:val="1"/>
          <w:numId w:val="361"/>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relating to or affecting the Underwritten Securities or the Prospectus relating to or affecting the Underwritten Securities, to furnish the Underwriters with a copy of each such proposed amendment or supplement, and to file with the Commission within the applicable period specified in Rule 497 under the Securities Act any prospectus required to be filed pursuant to such rule;</w:t>
      </w:r>
    </w:p>
    <w:p>
      <w:pPr>
        <w:spacing w:after="0" w:line="25" w:lineRule="exact"/>
        <w:rPr>
          <w:rFonts w:ascii="Arial" w:cs="Arial" w:eastAsia="Arial" w:hAnsi="Arial"/>
          <w:sz w:val="16"/>
          <w:szCs w:val="16"/>
          <w:color w:val="auto"/>
        </w:rPr>
      </w:pPr>
    </w:p>
    <w:p>
      <w:pPr>
        <w:ind w:left="892" w:hanging="446"/>
        <w:spacing w:after="0" w:line="287" w:lineRule="auto"/>
        <w:tabs>
          <w:tab w:leader="none" w:pos="892" w:val="left"/>
        </w:tabs>
        <w:numPr>
          <w:ilvl w:val="1"/>
          <w:numId w:val="361"/>
        </w:numPr>
        <w:rPr>
          <w:rFonts w:ascii="Arial" w:cs="Arial" w:eastAsia="Arial" w:hAnsi="Arial"/>
          <w:sz w:val="16"/>
          <w:szCs w:val="16"/>
          <w:color w:val="auto"/>
        </w:rPr>
      </w:pPr>
      <w:r>
        <w:rPr>
          <w:rFonts w:ascii="Arial" w:cs="Arial" w:eastAsia="Arial" w:hAnsi="Arial"/>
          <w:sz w:val="16"/>
          <w:szCs w:val="16"/>
          <w:color w:val="auto"/>
        </w:rPr>
        <w:t>if, during any time when the Prospectus is required by law to be delivered in connection with sales by the Underwriters or a dealer, any event shall have occurred as a result of which the Prospectus relating to or affecting the Underwritten Securities as then amended or supplemented would include an untrue statement of a material fact or omit to state any material fact necessary in order to make the statements therein, in the light of the circumstances under which they were made when such Prospectus is delivered to a purchaser, not misleading, or, if for any other reason it shall be necessary during such period to amend or supplement the Prospectus relating to or affecting the Underwritten Securities in order to comply with the Securities Act, to notify the Underwriters, and upon the Underwriters’ written request to prepare and furnish without charge to the Underwriters and to the dealers (whose names and addresses the Underwriters will furnish in writing to the Company) to which Underwritten Securities may have been sold by the Underwriters and to any other dealers upon request, as many written and electronic copies as the Underwriters may from time to time reasonably request of an amended Prospectus relating to or affecting the Underwritten Securities or a supplement to the Prospectus relating to or affecting the Underwritten Securities which will correct such statement or omission or effect such compliance;</w:t>
      </w:r>
    </w:p>
    <w:p>
      <w:pPr>
        <w:spacing w:after="0" w:line="122" w:lineRule="exact"/>
        <w:rPr>
          <w:rFonts w:ascii="Arial" w:cs="Arial" w:eastAsia="Arial" w:hAnsi="Arial"/>
          <w:sz w:val="16"/>
          <w:szCs w:val="16"/>
          <w:color w:val="auto"/>
        </w:rPr>
      </w:pPr>
    </w:p>
    <w:p>
      <w:pPr>
        <w:ind w:left="172" w:hanging="172"/>
        <w:spacing w:after="0"/>
        <w:tabs>
          <w:tab w:leader="none" w:pos="172"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Rule 158</w:t>
      </w:r>
    </w:p>
    <w:p>
      <w:pPr>
        <w:spacing w:after="0" w:line="171" w:lineRule="exact"/>
        <w:rPr>
          <w:sz w:val="20"/>
          <w:szCs w:val="20"/>
          <w:color w:val="auto"/>
        </w:rPr>
      </w:pPr>
    </w:p>
    <w:p>
      <w:pPr>
        <w:ind w:left="452" w:right="220"/>
        <w:spacing w:after="0" w:line="335" w:lineRule="auto"/>
        <w:rPr>
          <w:sz w:val="20"/>
          <w:szCs w:val="20"/>
          <w:color w:val="auto"/>
        </w:rPr>
      </w:pPr>
      <w:r>
        <w:rPr>
          <w:rFonts w:ascii="Arial" w:cs="Arial" w:eastAsia="Arial" w:hAnsi="Arial"/>
          <w:sz w:val="15"/>
          <w:szCs w:val="15"/>
          <w:color w:val="auto"/>
        </w:rPr>
        <w:t>to make generally available to the Company’s securityholders as soon as practicable an earnings statement of the Company (which need not be audited) complying with Section 11(a) of the Securities Act and the rules and regulations of the Commission thereunder (including, at the option of the Company, Rule 158); (h) to use its best efforts to maintain the Company’s qualification as a “regulated investment company” under Subchapter M of the Code; and</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9" w:right="239" w:bottom="1440" w:gutter="0" w:footer="0" w:header="0"/>
        </w:sectPr>
      </w:pPr>
    </w:p>
    <w:bookmarkStart w:id="334" w:name="page335"/>
    <w:bookmarkEnd w:id="334"/>
    <w:p>
      <w:pPr>
        <w:ind w:left="180" w:hanging="172"/>
        <w:spacing w:after="0"/>
        <w:tabs>
          <w:tab w:leader="none" w:pos="18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DTC.</w:t>
      </w:r>
    </w:p>
    <w:p>
      <w:pPr>
        <w:spacing w:after="0" w:line="171"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to cooperate with the Representatives and use commercially reasonable efforts to permit the Underwritten Securities to be eligible for clearance and settlement through the facilities of DTC;</w:t>
      </w:r>
    </w:p>
    <w:p>
      <w:pPr>
        <w:spacing w:after="0" w:line="132" w:lineRule="exact"/>
        <w:rPr>
          <w:sz w:val="20"/>
          <w:szCs w:val="20"/>
          <w:color w:val="auto"/>
        </w:rPr>
      </w:pPr>
    </w:p>
    <w:p>
      <w:pPr>
        <w:ind w:left="180" w:hanging="172"/>
        <w:spacing w:after="0"/>
        <w:tabs>
          <w:tab w:leader="none" w:pos="1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Reservation of Shares of Common Stock</w:t>
      </w:r>
      <w:r>
        <w:rPr>
          <w:rFonts w:ascii="Arial" w:cs="Arial" w:eastAsia="Arial" w:hAnsi="Arial"/>
          <w:sz w:val="18"/>
          <w:szCs w:val="18"/>
          <w:color w:val="auto"/>
        </w:rPr>
        <w:t>.</w:t>
      </w:r>
    </w:p>
    <w:p>
      <w:pPr>
        <w:spacing w:after="0" w:line="171" w:lineRule="exact"/>
        <w:rPr>
          <w:sz w:val="20"/>
          <w:szCs w:val="20"/>
          <w:color w:val="auto"/>
        </w:rPr>
      </w:pPr>
    </w:p>
    <w:p>
      <w:pPr>
        <w:ind w:left="460" w:right="700"/>
        <w:spacing w:after="0" w:line="332" w:lineRule="auto"/>
        <w:rPr>
          <w:sz w:val="20"/>
          <w:szCs w:val="20"/>
          <w:color w:val="auto"/>
        </w:rPr>
      </w:pPr>
      <w:r>
        <w:rPr>
          <w:rFonts w:ascii="Arial" w:cs="Arial" w:eastAsia="Arial" w:hAnsi="Arial"/>
          <w:sz w:val="16"/>
          <w:szCs w:val="16"/>
          <w:color w:val="auto"/>
        </w:rPr>
        <w:t>if applicable, to at all times reserve and keep available, free of preemptive rights, enough shares of Common Stock for the purpose of enabling the Company to satisfy any obligations to issue shares of Common Stock upon conversion of the Underwritten Securities; ]</w:t>
      </w:r>
    </w:p>
    <w:p>
      <w:pPr>
        <w:spacing w:after="0" w:line="85" w:lineRule="exact"/>
        <w:rPr>
          <w:sz w:val="20"/>
          <w:szCs w:val="20"/>
          <w:color w:val="auto"/>
        </w:rPr>
      </w:pPr>
    </w:p>
    <w:p>
      <w:pPr>
        <w:ind w:left="180" w:hanging="172"/>
        <w:spacing w:after="0"/>
        <w:tabs>
          <w:tab w:leader="none" w:pos="18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7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to use the net proceeds received by it from the sale of the Underwritten Securities materially in the manner specified in Pre-pricing Prospectus and the Prospectus under “Use of Proceeds”;</w:t>
      </w:r>
    </w:p>
    <w:p>
      <w:pPr>
        <w:spacing w:after="0" w:line="132" w:lineRule="exact"/>
        <w:rPr>
          <w:sz w:val="20"/>
          <w:szCs w:val="20"/>
          <w:color w:val="auto"/>
        </w:rPr>
      </w:pPr>
    </w:p>
    <w:p>
      <w:pPr>
        <w:ind w:left="180" w:hanging="172"/>
        <w:spacing w:after="0"/>
        <w:tabs>
          <w:tab w:leader="none" w:pos="180"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use commercially reasonable efforts to effect and maintain the quotation of the Company’s common stock on the NASDAQ Global Select Market;</w:t>
      </w:r>
    </w:p>
    <w:p>
      <w:pPr>
        <w:spacing w:after="0" w:line="194" w:lineRule="exact"/>
        <w:rPr>
          <w:sz w:val="20"/>
          <w:szCs w:val="20"/>
          <w:color w:val="auto"/>
        </w:rPr>
      </w:pPr>
    </w:p>
    <w:p>
      <w:pPr>
        <w:ind w:left="180" w:hanging="172"/>
        <w:spacing w:after="0"/>
        <w:tabs>
          <w:tab w:leader="none" w:pos="18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Restriction on Sale of Underwritten Securities</w:t>
      </w:r>
      <w:r>
        <w:rPr>
          <w:rFonts w:ascii="Arial" w:cs="Arial" w:eastAsia="Arial" w:hAnsi="Arial"/>
          <w:sz w:val="18"/>
          <w:szCs w:val="18"/>
          <w:color w:val="auto"/>
        </w:rPr>
        <w:t>.</w:t>
      </w:r>
    </w:p>
    <w:p>
      <w:pPr>
        <w:spacing w:after="0" w:line="171"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to not, directly or indirectly, sell, offer to sell, enter into any agreement to sell, or otherwise dispose of, any equity or equity related securities of the Company or securities convertible into such securities, other than the Underwritten Securities and the Common Stock issued in connection with the reinvestment of dividends or distributions, for a period of 90 days from the date of this Agreement without the prior consent of the Representatives; and</w:t>
      </w:r>
    </w:p>
    <w:p>
      <w:pPr>
        <w:spacing w:after="0" w:line="107" w:lineRule="exact"/>
        <w:rPr>
          <w:sz w:val="20"/>
          <w:szCs w:val="20"/>
          <w:color w:val="auto"/>
        </w:rPr>
      </w:pPr>
    </w:p>
    <w:p>
      <w:pPr>
        <w:ind w:left="280" w:hanging="272"/>
        <w:spacing w:after="0"/>
        <w:tabs>
          <w:tab w:leader="none" w:pos="28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17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to use commercially reasonable efforts to maintain a system of internal accounting controls sufficient to provide reasonable assurances that (i) material information relating to the Company and the assets managed by the Investment Adviser is promptly made known to the officers responsible for establishing and maintaining the system of internal accounting controls and (ii) any significant deficiencies or weaknesses in the design or operation of internal accounting controls which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 of Expenses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pay all expenses incident to the performance of its obligations under this Agreement, including:</w:t>
      </w:r>
    </w:p>
    <w:p>
      <w:pPr>
        <w:spacing w:after="0" w:line="171" w:lineRule="exact"/>
        <w:rPr>
          <w:sz w:val="20"/>
          <w:szCs w:val="20"/>
          <w:color w:val="auto"/>
        </w:rPr>
      </w:pPr>
    </w:p>
    <w:p>
      <w:pPr>
        <w:ind w:left="700" w:hanging="236"/>
        <w:spacing w:after="0"/>
        <w:tabs>
          <w:tab w:leader="none" w:pos="7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of each amendment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64"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delivery to the Underwriters of this Agreement, the Indenture, the Warrant Agreement, if applicable, any Agreement among Underwriters and such other documents as may be required in connection with the offering, purchase, sale, issuance or delivery of the Underwritten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35" w:name="page336"/>
    <w:bookmarkEnd w:id="335"/>
    <w:p>
      <w:pPr>
        <w:ind w:right="180" w:firstLine="464"/>
        <w:spacing w:after="0" w:line="259" w:lineRule="auto"/>
        <w:tabs>
          <w:tab w:leader="none" w:pos="695" w:val="left"/>
        </w:tabs>
        <w:numPr>
          <w:ilvl w:val="0"/>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preparation, issuance and delivery of the certificates for the Underwritten Securities and any Warrant Securities issuable upon exercise of the Debt Warrants to the Underwriters, including any stock or other transfer taxes and any stamp or other duties payable upon the sale, issuance or delivery of the Underwritten Securities and any Warrant Securities to the Underwriters;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fees and disbursements of the Company’s, the Investment Adviser’s and the Administrator’s counsel, accountants and other advisers;</w:t>
      </w:r>
    </w:p>
    <w:p>
      <w:pPr>
        <w:spacing w:after="0" w:line="194" w:lineRule="exact"/>
        <w:rPr>
          <w:rFonts w:ascii="Arial" w:cs="Arial" w:eastAsia="Arial" w:hAnsi="Arial"/>
          <w:sz w:val="16"/>
          <w:szCs w:val="16"/>
          <w:color w:val="auto"/>
        </w:rPr>
      </w:pPr>
    </w:p>
    <w:p>
      <w:pPr>
        <w:jc w:val="both"/>
        <w:ind w:right="80" w:firstLine="464"/>
        <w:spacing w:after="0" w:line="256" w:lineRule="auto"/>
        <w:tabs>
          <w:tab w:leader="none" w:pos="69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up to $10,000 for (A) the qualification of the Underwritten Securities and any Warrant Securities issuable upon exercise of the Debt Warrants under securities laws in accordance with the provisions of Section 3(2) hereof, (B) in connection with the preparation of any blue sky surveys and any supplements thereto and (C) the filing fees incident to, and the reasonable fees and disbursements of counsel to the Underwriters in connection with, the review by the FINRA of the terms of the sale of the Underwritten Securities</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the printing and delivery to the Underwriters of copies of the Pre-pricing Prospectus and of the Prospectus and any amendments or supplements thereto;</w:t>
      </w:r>
    </w:p>
    <w:p>
      <w:pPr>
        <w:spacing w:after="0" w:line="205" w:lineRule="exact"/>
        <w:rPr>
          <w:rFonts w:ascii="Arial" w:cs="Arial" w:eastAsia="Arial" w:hAnsi="Arial"/>
          <w:sz w:val="15"/>
          <w:szCs w:val="15"/>
          <w:color w:val="auto"/>
        </w:rPr>
      </w:pPr>
    </w:p>
    <w:p>
      <w:pPr>
        <w:ind w:left="720" w:hanging="256"/>
        <w:spacing w:after="0"/>
        <w:tabs>
          <w:tab w:leader="none" w:pos="7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fees and expenses of any transfer agent or registrar for the Underwritten Securities;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fees and expenses incurred in connection with the inclusion of the Underwritten Securities or any Warrant Securities, if applicable, in the NASDAQ Global Select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obligations of the several Underwriters hereunder are subject to the accuracy of the representations and warranties of the Company, the Investment Adviser and the Administrator contained in Section 1 hereof or in certificates of any officer of the Company, the Investment Adviser or the Administrator, to the performance by the Company, the Investment Adviser and the Administrator of their respective covenants and other obligations hereunder, and to the following further conditions:</w:t>
      </w:r>
    </w:p>
    <w:p>
      <w:pPr>
        <w:spacing w:after="0" w:line="62" w:lineRule="exact"/>
        <w:rPr>
          <w:sz w:val="20"/>
          <w:szCs w:val="20"/>
          <w:color w:val="auto"/>
        </w:rPr>
      </w:pPr>
    </w:p>
    <w:p>
      <w:pPr>
        <w:ind w:left="900" w:hanging="446"/>
        <w:spacing w:after="0"/>
        <w:tabs>
          <w:tab w:leader="none" w:pos="90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w:t>
      </w:r>
    </w:p>
    <w:p>
      <w:pPr>
        <w:spacing w:after="0" w:line="90"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The Registration Statement has become effective and at Closing Time no stop order suspending the effectiveness of the Registration Statement shall have been issued under the Securities Act or proceedings therefor initiated or threatened by the Commission.</w:t>
      </w:r>
    </w:p>
    <w:p>
      <w:pPr>
        <w:spacing w:after="0" w:line="4" w:lineRule="exact"/>
        <w:rPr>
          <w:sz w:val="20"/>
          <w:szCs w:val="20"/>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Closing Time, the Representatives shall have received the signed favorable opinion, dated as of Closing Time, of Dechert LLP, counsel for the</w:t>
      </w:r>
    </w:p>
    <w:p>
      <w:pPr>
        <w:spacing w:after="0" w:line="38"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Company, and , special Maryland counsel for the Company, together with reproduced copies of such letter for each of the other Underwriters, substantially in the form set forth in Exhibits A and B hereto. Such counsel may state that, insofar as such opinion involves factual matters, they have relied upon certificates of officers of the Company and/or any of the Subsidiaries and certificates of public officials.</w:t>
      </w:r>
    </w:p>
    <w:p>
      <w:pPr>
        <w:spacing w:after="0" w:line="28" w:lineRule="exact"/>
        <w:rPr>
          <w:sz w:val="20"/>
          <w:szCs w:val="20"/>
          <w:color w:val="auto"/>
        </w:rPr>
      </w:pPr>
    </w:p>
    <w:p>
      <w:pPr>
        <w:ind w:left="900" w:hanging="446"/>
        <w:spacing w:after="0"/>
        <w:tabs>
          <w:tab w:leader="none" w:pos="90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At Closing Time, the Representatives shall have received the signed favorable opinion, dated as of Closing Time, of , counsel for the Underwriters, together with signed or reproduced copies of such letter for each of the other Underwriters, substantially in the form set forth in Exhibit C hereto. Such counsel may also state that, insofar as such opinion involves factual matters, they have relied, to the extent they deem proper, upon certificates of officers of the Company and/or any of the Subsidiaries and certificates of public officials.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336" w:name="page337"/>
    <w:bookmarkEnd w:id="336"/>
    <w:p>
      <w:pPr>
        <w:ind w:left="446" w:hanging="446"/>
        <w:spacing w:after="0"/>
        <w:tabs>
          <w:tab w:leader="none" w:pos="446"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Material Adverse Effect; Officers’ Certificates</w:t>
      </w:r>
      <w:r>
        <w:rPr>
          <w:rFonts w:ascii="Arial" w:cs="Arial" w:eastAsia="Arial" w:hAnsi="Arial"/>
          <w:sz w:val="18"/>
          <w:szCs w:val="18"/>
          <w:color w:val="auto"/>
        </w:rPr>
        <w:t>.</w:t>
      </w:r>
    </w:p>
    <w:p>
      <w:pPr>
        <w:spacing w:after="0" w:line="90" w:lineRule="exact"/>
        <w:rPr>
          <w:sz w:val="20"/>
          <w:szCs w:val="20"/>
          <w:color w:val="auto"/>
        </w:rPr>
      </w:pPr>
    </w:p>
    <w:p>
      <w:pPr>
        <w:ind w:left="466" w:right="60"/>
        <w:spacing w:after="0" w:line="290" w:lineRule="auto"/>
        <w:rPr>
          <w:sz w:val="20"/>
          <w:szCs w:val="20"/>
          <w:color w:val="auto"/>
        </w:rPr>
      </w:pPr>
      <w:r>
        <w:rPr>
          <w:rFonts w:ascii="Arial" w:cs="Arial" w:eastAsia="Arial" w:hAnsi="Arial"/>
          <w:sz w:val="16"/>
          <w:szCs w:val="16"/>
          <w:color w:val="auto"/>
        </w:rPr>
        <w:t>At Closing Time, there shall not have been, since the date hereof or since the respective dates as of which information is given in the Prospectus or the Pre-pricing Prospectus, any Material Adverse Effect, and the Representatives shall have received a certificate of the president of the Company and of the chief financial or chief accounting officer of the Company, dated as of Closing Time, to the effect that (A) there has been no Material Adverse Effect, (B) the representations and warranties in Section 1 hereof are true and correct with the same force and effect as though expressly made at and as of Closing Time, (C) the Company has complied with all agreements and satisfied all conditions on its part to be performed or satisfied at or prior to Closing Time and (D) no stop order suspending the effectiveness of the Registration Statement has been issued and no proceedings for that purpose have been instituted or are pending or, to their knowledge, contemplated by the Commission.</w:t>
      </w:r>
    </w:p>
    <w:p>
      <w:pPr>
        <w:spacing w:after="0" w:line="37" w:lineRule="exact"/>
        <w:rPr>
          <w:sz w:val="20"/>
          <w:szCs w:val="20"/>
          <w:color w:val="auto"/>
        </w:rPr>
      </w:pPr>
    </w:p>
    <w:p>
      <w:pPr>
        <w:ind w:left="446" w:hanging="446"/>
        <w:spacing w:after="0"/>
        <w:tabs>
          <w:tab w:leader="none" w:pos="446"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w:t>
      </w:r>
    </w:p>
    <w:p>
      <w:pPr>
        <w:spacing w:after="0" w:line="90" w:lineRule="exact"/>
        <w:rPr>
          <w:sz w:val="20"/>
          <w:szCs w:val="20"/>
          <w:color w:val="auto"/>
        </w:rPr>
      </w:pPr>
    </w:p>
    <w:p>
      <w:pPr>
        <w:ind w:left="466" w:right="60"/>
        <w:spacing w:after="0" w:line="298" w:lineRule="auto"/>
        <w:rPr>
          <w:sz w:val="20"/>
          <w:szCs w:val="20"/>
          <w:color w:val="auto"/>
        </w:rPr>
      </w:pPr>
      <w:r>
        <w:rPr>
          <w:rFonts w:ascii="Arial" w:cs="Arial" w:eastAsia="Arial" w:hAnsi="Arial"/>
          <w:sz w:val="16"/>
          <w:szCs w:val="16"/>
          <w:color w:val="auto"/>
        </w:rPr>
        <w:t>At the time of the execution of this Agreement, the Representatives shall have received from KPMG LLP a signed letter, in form and substance reasonably satisfactory to the Representatives, together with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32" w:lineRule="exact"/>
        <w:rPr>
          <w:sz w:val="20"/>
          <w:szCs w:val="20"/>
          <w:color w:val="auto"/>
        </w:rPr>
      </w:pPr>
    </w:p>
    <w:p>
      <w:pPr>
        <w:ind w:left="446" w:hanging="446"/>
        <w:spacing w:after="0"/>
        <w:tabs>
          <w:tab w:leader="none" w:pos="446"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w:t>
      </w:r>
    </w:p>
    <w:p>
      <w:pPr>
        <w:spacing w:after="0" w:line="90" w:lineRule="exact"/>
        <w:rPr>
          <w:sz w:val="20"/>
          <w:szCs w:val="20"/>
          <w:color w:val="auto"/>
        </w:rPr>
      </w:pPr>
    </w:p>
    <w:p>
      <w:pPr>
        <w:ind w:left="466"/>
        <w:spacing w:after="0" w:line="259" w:lineRule="auto"/>
        <w:rPr>
          <w:sz w:val="20"/>
          <w:szCs w:val="20"/>
          <w:color w:val="auto"/>
        </w:rPr>
      </w:pPr>
      <w:r>
        <w:rPr>
          <w:rFonts w:ascii="Arial" w:cs="Arial" w:eastAsia="Arial" w:hAnsi="Arial"/>
          <w:sz w:val="18"/>
          <w:szCs w:val="18"/>
          <w:color w:val="auto"/>
        </w:rPr>
        <w:t>At Closing Time, the Representatives shall have received from KPMG LLP a signed letter, dated as of Closing Time, to the effect that they reaffirm the statements made in the letter furnished pursuant to subsection (e) of this Section, except that the specified date referred to shall be a date not more than three business days prior to Closing Time.</w:t>
      </w:r>
    </w:p>
    <w:p>
      <w:pPr>
        <w:spacing w:after="0" w:line="59" w:lineRule="exact"/>
        <w:rPr>
          <w:sz w:val="20"/>
          <w:szCs w:val="20"/>
          <w:color w:val="auto"/>
        </w:rPr>
      </w:pPr>
    </w:p>
    <w:p>
      <w:pPr>
        <w:ind w:left="446" w:hanging="446"/>
        <w:spacing w:after="0"/>
        <w:tabs>
          <w:tab w:leader="none" w:pos="446" w:val="left"/>
        </w:tabs>
        <w:numPr>
          <w:ilvl w:val="0"/>
          <w:numId w:val="379"/>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w:t>
      </w:r>
    </w:p>
    <w:p>
      <w:pPr>
        <w:spacing w:after="0" w:line="90" w:lineRule="exact"/>
        <w:rPr>
          <w:sz w:val="20"/>
          <w:szCs w:val="20"/>
          <w:color w:val="auto"/>
        </w:rPr>
      </w:pPr>
    </w:p>
    <w:p>
      <w:pPr>
        <w:ind w:left="466" w:right="40"/>
        <w:spacing w:after="0" w:line="268" w:lineRule="auto"/>
        <w:rPr>
          <w:sz w:val="20"/>
          <w:szCs w:val="20"/>
          <w:color w:val="auto"/>
        </w:rPr>
      </w:pPr>
      <w:r>
        <w:rPr>
          <w:rFonts w:ascii="Arial" w:cs="Arial" w:eastAsia="Arial" w:hAnsi="Arial"/>
          <w:sz w:val="18"/>
          <w:szCs w:val="18"/>
          <w:color w:val="auto"/>
        </w:rPr>
        <w:t>At Closing Time, the [if applicable, describe Securities] shall have been approved for inclusion in [describe applicable stock exchange or quotation service], subject only to official notice of issuance.</w:t>
      </w:r>
    </w:p>
    <w:p>
      <w:pPr>
        <w:spacing w:after="0" w:line="51" w:lineRule="exact"/>
        <w:rPr>
          <w:sz w:val="20"/>
          <w:szCs w:val="20"/>
          <w:color w:val="auto"/>
        </w:rPr>
      </w:pPr>
    </w:p>
    <w:p>
      <w:pPr>
        <w:ind w:left="446" w:hanging="446"/>
        <w:spacing w:after="0"/>
        <w:tabs>
          <w:tab w:leader="none" w:pos="446"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FINRA has not raised any objection with respect to the fairness and reasonableness of the underwriting terms and arrangements.</w:t>
      </w:r>
    </w:p>
    <w:p>
      <w:pPr>
        <w:spacing w:after="0" w:line="90" w:lineRule="exact"/>
        <w:rPr>
          <w:sz w:val="20"/>
          <w:szCs w:val="20"/>
          <w:color w:val="auto"/>
        </w:rPr>
      </w:pPr>
    </w:p>
    <w:p>
      <w:pPr>
        <w:ind w:left="446" w:hanging="446"/>
        <w:spacing w:after="0"/>
        <w:tabs>
          <w:tab w:leader="none" w:pos="44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At or prior to the Closing Time, the Company and the Trustee shall have executed and delivered the Indenture. ]</w:t>
      </w:r>
    </w:p>
    <w:p>
      <w:pPr>
        <w:spacing w:after="0" w:line="90" w:lineRule="exact"/>
        <w:rPr>
          <w:sz w:val="20"/>
          <w:szCs w:val="20"/>
          <w:color w:val="auto"/>
        </w:rPr>
      </w:pPr>
    </w:p>
    <w:p>
      <w:pPr>
        <w:ind w:left="446" w:hanging="446"/>
        <w:spacing w:after="0"/>
        <w:tabs>
          <w:tab w:leader="none" w:pos="446"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w:t>
      </w:r>
    </w:p>
    <w:p>
      <w:pPr>
        <w:spacing w:after="0" w:line="90" w:lineRule="exact"/>
        <w:rPr>
          <w:sz w:val="20"/>
          <w:szCs w:val="20"/>
          <w:color w:val="auto"/>
        </w:rPr>
      </w:pPr>
    </w:p>
    <w:p>
      <w:pPr>
        <w:ind w:left="466" w:right="100"/>
        <w:spacing w:after="0" w:line="335" w:lineRule="auto"/>
        <w:rPr>
          <w:sz w:val="20"/>
          <w:szCs w:val="20"/>
          <w:color w:val="auto"/>
        </w:rPr>
      </w:pPr>
      <w:r>
        <w:rPr>
          <w:rFonts w:ascii="Arial" w:cs="Arial" w:eastAsia="Arial" w:hAnsi="Arial"/>
          <w:sz w:val="15"/>
          <w:szCs w:val="15"/>
          <w:color w:val="auto"/>
        </w:rPr>
        <w:t>At the date of this Agreement, the Representatives shall have received an agreement substantially in the form of Exhibit C hereto signed by the persons listed on Schedule C hereto. Notwithstanding the foregoing or any lock-up agreement delivered in connection with this Section 5(j) to the contrary, the Investment Adviser may pledge shares of Common Stock of the Company that it owns in one or more bona fide lending transactions.</w:t>
      </w:r>
    </w:p>
    <w:p>
      <w:pPr>
        <w:spacing w:after="0" w:line="7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6"/>
          </w:cols>
          <w:pgMar w:left="694" w:top="280" w:right="359" w:bottom="1440" w:gutter="0" w:footer="0" w:header="0"/>
        </w:sectPr>
      </w:pPr>
    </w:p>
    <w:bookmarkStart w:id="337" w:name="page338"/>
    <w:bookmarkEnd w:id="337"/>
    <w:p>
      <w:pPr>
        <w:ind w:left="900" w:hanging="446"/>
        <w:spacing w:after="0"/>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[Ratings</w:t>
      </w:r>
      <w:r>
        <w:rPr>
          <w:rFonts w:ascii="Arial" w:cs="Arial" w:eastAsia="Arial" w:hAnsi="Arial"/>
          <w:sz w:val="18"/>
          <w:szCs w:val="18"/>
          <w:color w:val="auto"/>
        </w:rPr>
        <w:t>.</w:t>
      </w:r>
    </w:p>
    <w:p>
      <w:pPr>
        <w:spacing w:after="0" w:line="90"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On the Closing Date, the Underwritten Securities shall be rated at least by Moody’s Investors Service, Inc. and by Standard &amp; Poor’s and since the date of this Agreement, there shall not have occurred a downgrading in the rating assigned to the Underwritten Securities by any “nationally recognized statistical rating agency,” as that term is defined by the Commission for purposes of Rule 436(g)(2) under the 1933 Act, and no such organization shall have publicly announced it has under surveillance or review its rating of the Underwritten Securities.]</w:t>
      </w:r>
    </w:p>
    <w:p>
      <w:pPr>
        <w:spacing w:after="0" w:line="32" w:lineRule="exact"/>
        <w:rPr>
          <w:sz w:val="20"/>
          <w:szCs w:val="20"/>
          <w:color w:val="auto"/>
        </w:rPr>
      </w:pPr>
    </w:p>
    <w:p>
      <w:pPr>
        <w:ind w:left="900" w:hanging="446"/>
        <w:spacing w:after="0"/>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At Closing Time, counsel for the Underwriters shall have been furnished with such documents as they may reasonably require for the purpose of enabling them to pass upon the issuance and sale of the Underwritten Securities as herein contemplated.</w:t>
      </w:r>
    </w:p>
    <w:p>
      <w:pPr>
        <w:spacing w:after="0" w:line="51" w:lineRule="exact"/>
        <w:rPr>
          <w:sz w:val="20"/>
          <w:szCs w:val="20"/>
          <w:color w:val="auto"/>
        </w:rPr>
      </w:pPr>
    </w:p>
    <w:p>
      <w:pPr>
        <w:ind w:left="900" w:hanging="446"/>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90" w:lineRule="exact"/>
        <w:rPr>
          <w:sz w:val="20"/>
          <w:szCs w:val="20"/>
          <w:color w:val="auto"/>
        </w:rPr>
      </w:pPr>
    </w:p>
    <w:p>
      <w:pPr>
        <w:jc w:val="both"/>
        <w:ind w:left="920" w:right="40"/>
        <w:spacing w:after="0" w:line="306" w:lineRule="auto"/>
        <w:rPr>
          <w:sz w:val="20"/>
          <w:szCs w:val="20"/>
          <w:color w:val="auto"/>
        </w:rPr>
      </w:pPr>
      <w:r>
        <w:rPr>
          <w:rFonts w:ascii="Arial" w:cs="Arial" w:eastAsia="Arial" w:hAnsi="Arial"/>
          <w:sz w:val="16"/>
          <w:szCs w:val="16"/>
          <w:color w:val="auto"/>
        </w:rPr>
        <w:t>If any condition specified in this Section shall not have been fulfilled when and as required to be fulfilled, this Agreement, may be terminated by the Representatives by notice to the Company at any time at or prior to Closing Time, and such termination shall be without liability of any party to any other party except as provided in Section 4 and except that Sections 6 and 7 shall survive any such termination and remain in full force and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w:t>
      </w:r>
      <w:r>
        <w:rPr>
          <w:rFonts w:ascii="Arial" w:cs="Arial" w:eastAsia="Arial" w:hAnsi="Arial"/>
          <w:sz w:val="18"/>
          <w:szCs w:val="18"/>
          <w:color w:val="auto"/>
        </w:rPr>
        <w:t>.</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Investment Adviser and Administrator agrees, jointly and severally, to indemnify and hold harmless each Underwriter, its affiliates, as such term is defined in Rule 501(b) under the Securities Act, its selling agents and each person, if any, who controls any Underwriter within the meaning of Section 15 of the Securities Act or Section 20 of the Securities Exchange Act as follows:</w:t>
      </w:r>
    </w:p>
    <w:p>
      <w:pPr>
        <w:spacing w:after="0" w:line="59" w:lineRule="exact"/>
        <w:rPr>
          <w:sz w:val="20"/>
          <w:szCs w:val="20"/>
          <w:color w:val="auto"/>
        </w:rPr>
      </w:pPr>
    </w:p>
    <w:p>
      <w:pPr>
        <w:ind w:left="900" w:right="20" w:hanging="446"/>
        <w:spacing w:after="0" w:line="294" w:lineRule="auto"/>
        <w:tabs>
          <w:tab w:leader="none" w:pos="9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Pre-pricing Prospectus or the Prospectus, or the omission or alleged omission therefrom of a material fact necessary in order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and</w:t>
      </w:r>
    </w:p>
    <w:p>
      <w:pPr>
        <w:spacing w:after="0" w:line="62"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against any and all expense whatsoever (including the fees and disbursements of counsel chosen by the Representatives), as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9" w:right="259" w:bottom="1440" w:gutter="0" w:footer="0" w:header="0"/>
        </w:sectPr>
      </w:pPr>
    </w:p>
    <w:bookmarkStart w:id="338" w:name="page339"/>
    <w:bookmarkEnd w:id="338"/>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no case shall the Company, the Investment Adviser or the Administrator be liable under this indemnity agreement with respect to any claim made against any Underwriter or any other indemnified party specified in this Section 6 unless the Company, the Investment Adviser and the Administrator, as applicable, shall be notified in writing of the nature of the claim within a reasonable time after the assertion thereof, but failure so to notify the Company, the Investment Adviser and the Administrator shall not relieve them from any liability to the extent each is not materially prejudiced as a result thereof and which they may have otherwise than on account of this indemnity agreement. Each of the Company, the Investment Adviser and the Administrator shall be entitled to participate at its own expense in the defense, or if it so elects within a reasonable time after receipt of such notice, to assume the defense for any suit brought to enforce any such claim, but if the Company, the Investment Adviser or the Administrator elects to assume such defense, such defense shall be conducted by counsel chosen by it and satisfactory to the Underwriter or Underwriters or controlling person or persons, defendant or defendant in any suit so brought. In the event that the Company, the Investment Adviser or the Administrator elects to assume the defense of any such suit and retains such counsel, the Underwriter or Underwriters or controlling person or persons, defendant or defendant in the suit shall bear the fees and expenses of any additional counsel thereafter retained by them. In the event that the parties to any such action (including impleaded parties) include the Company, the Investment Adviser or Administrator and one or more Underwriter or Underwriters and any such Underwriter shall have been advised by counsel chosen by it and satisfactory to the Company, the Investment Adviser or the Administrator that there may be one or more legal defenses available to it which are different from or additional to those available to the Company, the Investment Adviser and the Administrator, the Company, the Investment Adviser or the Administrator, as applicable, shall not have the right to assume the defense of such action on behalf of such Underwriter and shall reimburse such Underwriter and any person controlling such Underwriter as aforesaid for the reasonable fees and expenses of any counsel retained by them, it being understood that the Company, the Investment Adviser and the Administrator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Representatives. Notwithstanding anything to the contrary herein, neither the assumption of the defense of any claim nor the payment of any fees or expenses related thereto shall be deemed to be an admission by the indemnifying party that it has the obligation to indemnify any person pursuant to this Agreement.</w:t>
      </w:r>
    </w:p>
    <w:p>
      <w:pPr>
        <w:spacing w:after="0" w:line="128" w:lineRule="exact"/>
        <w:rPr>
          <w:sz w:val="20"/>
          <w:szCs w:val="20"/>
          <w:color w:val="auto"/>
        </w:rPr>
      </w:pPr>
    </w:p>
    <w:p>
      <w:pPr>
        <w:ind w:left="180" w:hanging="172"/>
        <w:spacing w:after="0"/>
        <w:tabs>
          <w:tab w:leader="none" w:pos="180"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Indemnification of Company, Directors, Officers, Investment Adviser and Administrator.</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Underwriter severally agrees that it shall indemnify and hold harmless the Company, the Investment Adviser, the Administrator and each of their officers, directors and each person, if any, who controls the Company within the meaning of Section 15 of the Securities Act or Section 20 of the Securities Exchange Act to the same extent as the foregoing indemnity from the Company, the Investment Adviser and Administrator, as applicable, but only with respect to statements or omissions made in the Pre-pricing Prospectus or the Prospectus (or any amendment or supplement thereto) or the Registration Statement (or any amendment thereto) in reliance upon and in conformity with written information furnished to the Company by or on behalf of such Underwriter through the Representatives expressly for use in the Pre-pricing Prospectus or the Prospectus (or any amendment or supplement thereto). In case any action shall be brought against the Company, the Investment Adviser, the Administrator or any person so indemnified based on the Pre-pricing Prospectus or the Prospectus (or any amendment or supplement thereto) and in respect of which indemnity may be sought against any Underwriter, such Underwriter shall have the right and duties given to the Company, the Investment Adviser and the Administrator, and the Company, the Investment Adviser, the Administrator and each person so indemnified shall have the right and duties given to the Underwriters, by the provisions of Section 6(1).</w:t>
      </w:r>
    </w:p>
    <w:p>
      <w:pPr>
        <w:spacing w:after="0" w:line="123" w:lineRule="exact"/>
        <w:rPr>
          <w:sz w:val="20"/>
          <w:szCs w:val="20"/>
          <w:color w:val="auto"/>
        </w:rPr>
      </w:pPr>
    </w:p>
    <w:p>
      <w:pPr>
        <w:ind w:left="180" w:hanging="172"/>
        <w:spacing w:after="0"/>
        <w:tabs>
          <w:tab w:leader="none" w:pos="18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Settlement of Claims.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339" w:name="page340"/>
    <w:bookmarkEnd w:id="3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8"/>
          <w:szCs w:val="18"/>
          <w:i w:val="1"/>
          <w:iCs w:val="1"/>
          <w:color w:val="auto"/>
        </w:rPr>
        <w:t>Contribution</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the indemnification provisions provided in Section 6 above should under applicable law be unenforceable in respect of any losses, liabilities, claims, damages or expenses (or actions in respect thereof) referred to therein, then each indemnifying party shall contribute to the amount paid or payable by such indemnified party as a result of such losses, liabilities, claims, damages or expenses (or actions in respect thereof) in such proportion as is appropriate to reflect the relative benefit received by the Company, the Investment Adviser, the Administrator and the Underwriters from the offering of the Underwritten Securities and also the relative fault of the Company, the Investment Adviser, the Administrator and the Underwriters in connection with the statements or omissions which resulted in such losses, liabilities, claims, damages or expenses (or actions in respect thereof), as well as any other relevant equitable considerations.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relative benefits received by the Company, the Investment Adviser, the Administrator and the Underwriters shall be deemed to be in the same proportion as the total net proceeds from the offering (before deducting expenses) received by the Company, the Investment Adviser and the Administrator and the total underwriting discounts and commissions received by the Underwriters, in each case as set forth in the Prospectus, bear to the aggregate public offering price of the Underwritten Securities.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relative fault shall be determined by reference to, among other things, whether the indemnified party failed to give the notice required under Section 6 above including the consequences of such failure, and whether the untrue or alleged untrue statement of a material fact or the omission or alleged omission to state a material fact relates to information supplied by the Company, the Investment Adviser, the Administrator or the Underwriters and the parties’ relative intent, knowledge, access to information and opportunity to correct or prevent such statement or omission of the Company, the Investment Adviser, the Administrator and the Underwriters, directly or through the Representatives of the Underwriters. The Company, the Investment Adviser, the Administrator and the Underwriters agree that it would not be just and equitable if contribution pursuant to this Section 7 were determined by per capita allocation (even if the Underwriters were treated as one entity for such purpose) or by any other method of allocation which does not take account of the equitable considerations referred to above in this Section 7. The amount paid or payable by an indemnified party as a result of the losses, liabilities, claims, damages or expenses (or actions in respect thereof) referred to above in this Section 7 shall be deemed to include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Underwritten Securities underwritten by it and offered to the public exceeds the amount of any damages which such Underwriter has otherwise been required to pay by reason of such untrue or alleged untrue statement or omission or alleged omission.</w:t>
      </w:r>
    </w:p>
    <w:p>
      <w:pPr>
        <w:spacing w:after="0" w:line="12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Termination; General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Representatives may terminate this Agreement, by notice to the Company, at any time at or prior to Closing Time if:</w:t>
      </w:r>
    </w:p>
    <w:p>
      <w:pPr>
        <w:spacing w:after="0" w:line="90" w:lineRule="exact"/>
        <w:rPr>
          <w:sz w:val="20"/>
          <w:szCs w:val="20"/>
          <w:color w:val="auto"/>
        </w:rPr>
      </w:pPr>
    </w:p>
    <w:p>
      <w:pPr>
        <w:ind w:left="900" w:right="200" w:hanging="446"/>
        <w:spacing w:after="0" w:line="256" w:lineRule="auto"/>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there has been, since the time of execution of this Agreement or since the respective dates as of which information is given in the prospectus in the form first used to confirm sales of the Underwritten Securities, any material adverse change in the financial condition, capitalization or regulatory status of the Company and the Subsidiaries considered as one enterprise or the Investment Adviser, whether or not arising in the ordinary course of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40" w:name="page341"/>
    <w:bookmarkEnd w:id="340"/>
    <w:p>
      <w:pPr>
        <w:ind w:left="900" w:right="60" w:hanging="446"/>
        <w:spacing w:after="0" w:line="268" w:lineRule="auto"/>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has occurred any outbreak of hostilities or escalation thereof or other calamity, the effect of which is such as to make it, in the judgment of the Representatives, impracticable or inadvisable to enforce contracts for the sale of the Underwritten Securities;</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trading in any securities of the Company has been suspended or materially limited by the Commission or the NASDAQ Global Select Market or if trading generally on the NASDAQ Global Select Market has been suspended or materially limited, or minimum or maximum prices for trading have been fixed, or maximum ranges for prices have been required by said exchange or by order of the Commission or any other governmental authority;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if a banking moratorium has been declared by either Federal or New York authorities.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Liabilities.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this Agreement is terminated pursuant to this Section, such termination shall be without liability of any party to any other party, except as provided in Section 4 hereof, and provided, further, that Sections 6 and 7 shall survive such termination and remain in full force and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Default by One or More of the Underwriters</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one or more of the Underwriters shall fail at Closing Time to purchase the Underwritten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32" w:lineRule="exact"/>
        <w:rPr>
          <w:sz w:val="20"/>
          <w:szCs w:val="20"/>
          <w:color w:val="auto"/>
        </w:rPr>
      </w:pPr>
    </w:p>
    <w:p>
      <w:pPr>
        <w:ind w:left="900" w:right="120" w:hanging="446"/>
        <w:spacing w:after="0" w:line="335" w:lineRule="auto"/>
        <w:tabs>
          <w:tab w:leader="none" w:pos="900" w:val="left"/>
        </w:tabs>
        <w:numPr>
          <w:ilvl w:val="0"/>
          <w:numId w:val="394"/>
        </w:numPr>
        <w:rPr>
          <w:rFonts w:ascii="Arial" w:cs="Arial" w:eastAsia="Arial" w:hAnsi="Arial"/>
          <w:sz w:val="15"/>
          <w:szCs w:val="15"/>
          <w:color w:val="auto"/>
        </w:rPr>
      </w:pPr>
      <w:r>
        <w:rPr>
          <w:rFonts w:ascii="Arial" w:cs="Arial" w:eastAsia="Arial" w:hAnsi="Arial"/>
          <w:sz w:val="15"/>
          <w:szCs w:val="15"/>
          <w:color w:val="auto"/>
        </w:rPr>
        <w:t>if the aggregate principal amount of Defaulted Securities does not exceed 10% of the aggregate principal amount of Underwritten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7" w:lineRule="exact"/>
        <w:rPr>
          <w:rFonts w:ascii="Arial" w:cs="Arial" w:eastAsia="Arial" w:hAnsi="Arial"/>
          <w:sz w:val="15"/>
          <w:szCs w:val="15"/>
          <w:color w:val="auto"/>
        </w:rPr>
      </w:pPr>
    </w:p>
    <w:p>
      <w:pPr>
        <w:ind w:left="900" w:right="20" w:hanging="446"/>
        <w:spacing w:after="0" w:line="332" w:lineRule="auto"/>
        <w:tabs>
          <w:tab w:leader="none" w:pos="90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if the aggregate principal amount of Defaulted Securities exceeds 10% of the aggregate principal amount of Underwritten Securities to be purchased on such date, this Agreement shall terminate without liability on the part of any non-defaulting Underwriter.</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As used in this Section only, if the Defaulted Securities include Debt Warrants, the aggregate amount or aggregate principal amount of Securities shall mean the aggregate principal amount of any Securities plus the public offering price of any Debt Warrants included in the relevant Securities.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Representatives or the Company shall have the right to postpone Closing Time for a period not exceeding seven days in order to effect any required changes in the Registration Statement, the Pre-pricing Prospectus or the Prospectus or in any other documents or arrangements. As used herein, the term “Underwriter” includes any person substituted for an Underwriter under this Section 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w:t>
      </w:r>
    </w:p>
    <w:p>
      <w:pPr>
        <w:spacing w:after="0" w:line="28"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transmitted by any standard form of telecommunication. Notices to the Underwriters shall be directed to the Representatives at</w:t>
      </w:r>
      <w:r>
        <w:rPr>
          <w:sz w:val="20"/>
          <w:szCs w:val="20"/>
          <w:color w:val="auto"/>
        </w:rPr>
        <w:tab/>
      </w:r>
      <w:r>
        <w:rPr>
          <w:rFonts w:ascii="Arial" w:cs="Arial" w:eastAsia="Arial" w:hAnsi="Arial"/>
          <w:sz w:val="16"/>
          <w:szCs w:val="16"/>
          <w:color w:val="auto"/>
        </w:rPr>
        <w:t>, with a copy</w:t>
      </w:r>
    </w:p>
    <w:p>
      <w:pPr>
        <w:spacing w:after="0"/>
        <w:tabs>
          <w:tab w:leader="none" w:pos="104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 and notices to the Company, the Investment Adviser and Administrator shall be directed to them care of the company at 590 Madison Avenue,</w:t>
      </w:r>
    </w:p>
    <w:p>
      <w:pPr>
        <w:spacing w:after="0" w:line="3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attention: Chief Financial Officer, with a copy to Dechert LLP, 1775 I Street, N.W., Washington, DC 20006, attention: Thomas J. Friedmann.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80" w:right="319" w:bottom="1440" w:gutter="0" w:footer="0" w:header="0"/>
        </w:sectPr>
      </w:pPr>
    </w:p>
    <w:bookmarkStart w:id="341" w:name="page342"/>
    <w:bookmarkEnd w:id="341"/>
    <w:p>
      <w:pPr>
        <w:ind w:right="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 </w:t>
      </w:r>
      <w:r>
        <w:rPr>
          <w:rFonts w:ascii="Arial" w:cs="Arial" w:eastAsia="Arial" w:hAnsi="Arial"/>
          <w:sz w:val="16"/>
          <w:szCs w:val="16"/>
          <w:i w:val="1"/>
          <w:iCs w:val="1"/>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the Company, the Investment Adviser and the Administrator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the Investment Adviser and the Administrator and their respective successors, and said controlling persons and officers and directors and their heirs and legal representatives, and for the benefit of no other person, firm or corporation. No purchaser of Underwritten Securities from any Underwriter shall be deemed to be a successor by reason merely of such purchase.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 Except as set forth below, no claim or action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both the Underwriters and the Company consent to the jurisdiction of such courts and personal service with respect thereto. Each of the Underwriters and the Company (on its behalf and, to the extent permitted by applicable law, on behalf of its stockholders and affiliates) waives all right to trial by jury in any action, proceeding or counterclaim (whether based upon contract, tort or otherwise) in any way arising out of or relating to this Agreement.</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42" w:name="page343"/>
    <w:bookmarkEnd w:id="34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shall become a binding agreement between the Underwriters, the Company, the Investment Adviser and the Administrator in accordance with its terms.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DMINISTRATION</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OF 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Authorized Signatory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hereto.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9" w:right="25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Principal</w:t>
            </w:r>
          </w:p>
        </w:tc>
        <w:tc>
          <w:tcPr>
            <w:tcW w:w="1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Principal</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 of Underwriter</w:t>
            </w:r>
          </w:p>
        </w:tc>
        <w:tc>
          <w:tcPr>
            <w:tcW w:w="46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Senior Securities</w:t>
            </w:r>
          </w:p>
        </w:tc>
        <w:tc>
          <w:tcPr>
            <w:tcW w:w="10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Subordinated Securities</w:t>
            </w:r>
          </w:p>
        </w:tc>
        <w:tc>
          <w:tcPr>
            <w:tcW w:w="10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 Warrants</w:t>
            </w:r>
          </w:p>
        </w:tc>
      </w:tr>
      <w:tr>
        <w:trPr>
          <w:trHeight w:val="356"/>
        </w:trPr>
        <w:tc>
          <w:tcPr>
            <w:tcW w:w="1320" w:type="dxa"/>
            <w:vAlign w:val="bottom"/>
          </w:tcPr>
          <w:p>
            <w:pPr>
              <w:spacing w:after="0"/>
              <w:rPr>
                <w:sz w:val="24"/>
                <w:szCs w:val="24"/>
                <w:color w:val="auto"/>
              </w:rPr>
            </w:pPr>
          </w:p>
        </w:tc>
        <w:tc>
          <w:tcPr>
            <w:tcW w:w="5840" w:type="dxa"/>
            <w:vAlign w:val="bottom"/>
            <w:gridSpan w:val="2"/>
          </w:tcPr>
          <w:p>
            <w:pPr>
              <w:ind w:left="4100"/>
              <w:spacing w:after="0"/>
              <w:rPr>
                <w:sz w:val="20"/>
                <w:szCs w:val="20"/>
                <w:color w:val="auto"/>
              </w:rPr>
            </w:pPr>
            <w:r>
              <w:rPr>
                <w:rFonts w:ascii="Arial" w:cs="Arial" w:eastAsia="Arial" w:hAnsi="Arial"/>
                <w:sz w:val="18"/>
                <w:szCs w:val="18"/>
                <w:color w:val="auto"/>
              </w:rPr>
              <w:t>Sch A-1</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344" w:name="page345"/>
    <w:bookmarkEnd w:id="34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Aggregate Principal Amount Senior Securities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Aggregate Principal Amount Subordinated Securities</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Warrants to Purchase Debt Securities</w:t>
      </w:r>
    </w:p>
    <w:p>
      <w:pPr>
        <w:sectPr>
          <w:pgSz w:w="11900" w:h="16838" w:orient="portrait"/>
          <w:cols w:equalWidth="0" w:num="1">
            <w:col w:w="11340"/>
          </w:cols>
          <w:pgMar w:left="240" w:top="280" w:right="319" w:bottom="1440" w:gutter="0" w:footer="0" w:header="0"/>
        </w:sectPr>
      </w:pP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 The public offering price for the Underwritten Securities, determined as provided in said Section 2, shall be thereof.</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 of the aggregate principal amount</w:t>
      </w:r>
    </w:p>
    <w:p>
      <w:pPr>
        <w:spacing w:after="0" w:line="421" w:lineRule="exact"/>
        <w:rPr>
          <w:sz w:val="20"/>
          <w:szCs w:val="20"/>
          <w:color w:val="auto"/>
        </w:rPr>
      </w:pPr>
    </w:p>
    <w:p>
      <w:pPr>
        <w:sectPr>
          <w:pgSz w:w="11900" w:h="16838" w:orient="portrait"/>
          <w:cols w:equalWidth="0" w:num="2">
            <w:col w:w="8200" w:space="560"/>
            <w:col w:w="2580"/>
          </w:cols>
          <w:pgMar w:left="240" w:top="280" w:right="319" w:bottom="1440" w:gutter="0" w:footer="0" w:header="0"/>
          <w:type w:val="continuous"/>
        </w:sectPr>
      </w:pPr>
    </w:p>
    <w:p>
      <w:pPr>
        <w:ind w:firstLine="464"/>
        <w:spacing w:after="0" w:line="268" w:lineRule="auto"/>
        <w:tabs>
          <w:tab w:leader="none" w:pos="63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purchase price for the Underwritten Securities to be paid by the several Underwriters shall be % of the aggregate principal amount thereof, being an amount equal to the public offering price set forth above less % of the aggregate principal amount thereof.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B-1</w:t>
      </w:r>
    </w:p>
    <w:p>
      <w:pPr>
        <w:sectPr>
          <w:pgSz w:w="11900" w:h="16838" w:orient="portrait"/>
          <w:cols w:equalWidth="0" w:num="1">
            <w:col w:w="11340"/>
          </w:cols>
          <w:pgMar w:left="240" w:top="280" w:right="319" w:bottom="1440" w:gutter="0" w:footer="0" w:header="0"/>
          <w:type w:val="continuous"/>
        </w:sectPr>
      </w:pPr>
    </w:p>
    <w:bookmarkStart w:id="345" w:name="page346"/>
    <w:bookmarkEnd w:id="3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 OF PERSONS AND ENTITIES SUBJECT TO LOCK</w:t>
      </w:r>
      <w:r>
        <w:rPr>
          <w:rFonts w:ascii="Arial" w:cs="Arial" w:eastAsia="Arial" w:hAnsi="Arial"/>
          <w:sz w:val="18"/>
          <w:szCs w:val="18"/>
          <w:color w:val="auto"/>
        </w:rPr>
        <w:t>-</w:t>
      </w:r>
      <w:r>
        <w:rPr>
          <w:rFonts w:ascii="Arial" w:cs="Arial" w:eastAsia="Arial" w:hAnsi="Arial"/>
          <w:sz w:val="14"/>
          <w:szCs w:val="14"/>
          <w:color w:val="auto"/>
        </w:rPr>
        <w:t>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Portfolio Managers of PennantPark Investment Administration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C-1</w:t>
      </w:r>
    </w:p>
    <w:p>
      <w:pPr>
        <w:sectPr>
          <w:pgSz w:w="11900" w:h="16838" w:orient="portrait"/>
          <w:cols w:equalWidth="0" w:num="1">
            <w:col w:w="9019"/>
          </w:cols>
          <w:pgMar w:left="1440" w:top="280"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118110</wp:posOffset>
            </wp:positionV>
            <wp:extent cx="6003290" cy="6858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032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19,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Re:</w:t>
            </w:r>
          </w:p>
        </w:tc>
        <w:tc>
          <w:tcPr>
            <w:tcW w:w="2620" w:type="dxa"/>
            <w:vAlign w:val="bottom"/>
            <w:gridSpan w:val="3"/>
          </w:tcPr>
          <w:p>
            <w:pPr>
              <w:spacing w:after="0"/>
              <w:rPr>
                <w:sz w:val="20"/>
                <w:szCs w:val="20"/>
                <w:color w:val="auto"/>
              </w:rPr>
            </w:pPr>
            <w:r>
              <w:rPr>
                <w:rFonts w:ascii="Arial" w:cs="Arial" w:eastAsia="Arial" w:hAnsi="Arial"/>
                <w:sz w:val="18"/>
                <w:szCs w:val="18"/>
                <w:color w:val="auto"/>
                <w:w w:val="88"/>
              </w:rPr>
              <w:t>Registration Statement on Form N-2:</w:t>
            </w:r>
          </w:p>
        </w:tc>
      </w:tr>
      <w:tr>
        <w:trPr>
          <w:trHeight w:val="216"/>
        </w:trPr>
        <w:tc>
          <w:tcPr>
            <w:tcW w:w="6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1933</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Act File No.: 333-150033</w:t>
            </w:r>
          </w:p>
        </w:tc>
      </w:tr>
      <w:tr>
        <w:trPr>
          <w:trHeight w:val="184"/>
        </w:trPr>
        <w:tc>
          <w:tcPr>
            <w:tcW w:w="680" w:type="dxa"/>
            <w:vAlign w:val="bottom"/>
          </w:tcPr>
          <w:p>
            <w:pPr>
              <w:spacing w:after="0"/>
              <w:rPr>
                <w:sz w:val="15"/>
                <w:szCs w:val="15"/>
                <w:color w:val="auto"/>
              </w:rPr>
            </w:pPr>
          </w:p>
        </w:tc>
        <w:tc>
          <w:tcPr>
            <w:tcW w:w="3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9"/>
              </w:rPr>
              <w:t>1940</w:t>
            </w:r>
          </w:p>
        </w:tc>
        <w:tc>
          <w:tcPr>
            <w:tcW w:w="1740" w:type="dxa"/>
            <w:vAlign w:val="bottom"/>
            <w:tcBorders>
              <w:bottom w:val="single" w:sz="8" w:color="auto"/>
            </w:tcBorders>
          </w:tcPr>
          <w:p>
            <w:pPr>
              <w:ind w:left="20"/>
              <w:spacing w:after="0" w:line="184" w:lineRule="exact"/>
              <w:rPr>
                <w:sz w:val="20"/>
                <w:szCs w:val="20"/>
                <w:color w:val="auto"/>
              </w:rPr>
            </w:pPr>
            <w:r>
              <w:rPr>
                <w:rFonts w:ascii="Arial" w:cs="Arial" w:eastAsia="Arial" w:hAnsi="Arial"/>
                <w:sz w:val="18"/>
                <w:szCs w:val="18"/>
                <w:color w:val="auto"/>
                <w:w w:val="89"/>
              </w:rPr>
              <w:t>Act File No.: 814-00736</w:t>
            </w:r>
          </w:p>
        </w:tc>
        <w:tc>
          <w:tcPr>
            <w:tcW w:w="50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of the offering by the Company of up to $250,000,000 aggregate initial offering price of the following securities (collectively, the “Securities”):</w:t>
      </w:r>
    </w:p>
    <w:p>
      <w:pPr>
        <w:spacing w:after="0" w:line="1" w:lineRule="exact"/>
        <w:rPr>
          <w:sz w:val="20"/>
          <w:szCs w:val="20"/>
          <w:color w:val="auto"/>
        </w:rPr>
      </w:pPr>
    </w:p>
    <w:p>
      <w:pPr>
        <w:ind w:right="60" w:firstLine="8"/>
        <w:spacing w:after="0" w:line="292" w:lineRule="auto"/>
        <w:tabs>
          <w:tab w:leader="none" w:pos="23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shares (the “Common Shares”) of its common stock, $.001 par value per share (the “Common Stock”); (b) shares (the “Preferred Shares”) of its preferred stock, $.001 par value per share (the “Preferred Stock”); (c) warrants (the “Warrants”) to purchase Common Stock, Preferred Stock or Debt Securities (as defined below), (d) subscription rights (the “Subscription Rights”) to purchase Common Stock; or (e) debt securities (the “Debt Securities”), covered by the above-referenced Registration Statement, and all amendments thereto (the “Registration Statement”), filed by the Company with the Securities and Exchange Commission (the “Commission”) under the Securities Act of 1933, as amended (the “1933 Act”).</w:t>
      </w:r>
    </w:p>
    <w:p>
      <w:pPr>
        <w:spacing w:after="0" w:line="117"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1100" w:hanging="179"/>
        <w:spacing w:after="0"/>
        <w:tabs>
          <w:tab w:leader="none" w:pos="110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Registration Statement and the related form of prospectus included therein, in the form transmitted to the Commission for filing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1933 Act;</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charter of the Company (the “Charter”), certified as of a recent date by the State Department of Assessments and Taxation of Maryland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“Bylaws”), certified as of the date hereof by an officer of the Company;</w:t>
      </w:r>
    </w:p>
    <w:p>
      <w:pPr>
        <w:sectPr>
          <w:pgSz w:w="11900" w:h="16838" w:orient="portrait"/>
          <w:cols w:equalWidth="0" w:num="1">
            <w:col w:w="11420"/>
          </w:cols>
          <w:pgMar w:left="240" w:top="125" w:right="239" w:bottom="1440" w:gutter="0" w:footer="0" w:header="0"/>
        </w:sectPr>
      </w:pPr>
    </w:p>
    <w:bookmarkStart w:id="347" w:name="page348"/>
    <w:bookmarkEnd w:id="347"/>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86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788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100" w:hanging="179"/>
        <w:spacing w:after="0"/>
        <w:tabs>
          <w:tab w:leader="none" w:pos="11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171" w:lineRule="exact"/>
        <w:rPr>
          <w:rFonts w:ascii="Arial" w:cs="Arial" w:eastAsia="Arial" w:hAnsi="Arial"/>
          <w:sz w:val="18"/>
          <w:szCs w:val="18"/>
          <w:color w:val="auto"/>
        </w:rPr>
      </w:pPr>
    </w:p>
    <w:p>
      <w:pPr>
        <w:ind w:right="400" w:firstLine="921"/>
        <w:spacing w:after="0" w:line="268" w:lineRule="auto"/>
        <w:tabs>
          <w:tab w:leader="none" w:pos="108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60" w:firstLine="921"/>
        <w:spacing w:after="0" w:line="268" w:lineRule="auto"/>
        <w:tabs>
          <w:tab w:leader="none" w:pos="108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1100" w:hanging="179"/>
        <w:spacing w:after="0"/>
        <w:tabs>
          <w:tab w:leader="none" w:pos="110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1100" w:hanging="179"/>
        <w:spacing w:after="0"/>
        <w:tabs>
          <w:tab w:leader="none" w:pos="11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40" w:firstLine="921"/>
        <w:spacing w:after="0" w:line="259" w:lineRule="auto"/>
        <w:tabs>
          <w:tab w:leader="none" w:pos="108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0" w:lineRule="exact"/>
        <w:rPr>
          <w:rFonts w:ascii="Arial" w:cs="Arial" w:eastAsia="Arial" w:hAnsi="Arial"/>
          <w:sz w:val="18"/>
          <w:szCs w:val="18"/>
          <w:color w:val="auto"/>
        </w:rPr>
      </w:pPr>
    </w:p>
    <w:p>
      <w:pPr>
        <w:ind w:firstLine="921"/>
        <w:spacing w:after="0" w:line="254" w:lineRule="auto"/>
        <w:tabs>
          <w:tab w:leader="none" w:pos="108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rFonts w:ascii="Arial" w:cs="Arial" w:eastAsia="Arial" w:hAnsi="Arial"/>
          <w:sz w:val="18"/>
          <w:szCs w:val="18"/>
          <w:color w:val="auto"/>
        </w:rPr>
      </w:pPr>
    </w:p>
    <w:p>
      <w:pPr>
        <w:ind w:right="60" w:firstLine="921"/>
        <w:spacing w:after="0" w:line="268" w:lineRule="auto"/>
        <w:tabs>
          <w:tab w:leader="none" w:pos="108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to be issued by the Company from time to time will be authorized and approved by the Board of Directors, or a duly</w:t>
      </w:r>
    </w:p>
    <w:p>
      <w:pPr>
        <w:sectPr>
          <w:pgSz w:w="11900" w:h="16838" w:orient="portrait"/>
          <w:cols w:equalWidth="0" w:num="1">
            <w:col w:w="11400"/>
          </w:cols>
          <w:pgMar w:left="240" w:top="1440" w:right="259" w:bottom="1440" w:gutter="0" w:footer="0" w:header="0"/>
        </w:sectPr>
      </w:pPr>
    </w:p>
    <w:bookmarkStart w:id="348" w:name="page349"/>
    <w:bookmarkEnd w:id="348"/>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86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788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authorized committee thereof, in accordance with the Maryland General Corporation Law, the Charter, the Bylaws and the Resolutions prior to the issuance of such Securities (such approval referred to herein as the “Corporate Proceedings”).</w:t>
      </w:r>
    </w:p>
    <w:p>
      <w:pPr>
        <w:spacing w:after="0" w:line="132" w:lineRule="exact"/>
        <w:rPr>
          <w:sz w:val="20"/>
          <w:szCs w:val="20"/>
          <w:color w:val="auto"/>
        </w:rPr>
      </w:pPr>
    </w:p>
    <w:p>
      <w:pPr>
        <w:ind w:right="60" w:firstLine="921"/>
        <w:spacing w:after="0" w:line="306" w:lineRule="auto"/>
        <w:tabs>
          <w:tab w:leader="none" w:pos="108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06" w:lineRule="exact"/>
        <w:rPr>
          <w:rFonts w:ascii="Arial" w:cs="Arial" w:eastAsia="Arial" w:hAnsi="Arial"/>
          <w:sz w:val="16"/>
          <w:szCs w:val="16"/>
          <w:color w:val="auto"/>
        </w:rPr>
      </w:pPr>
    </w:p>
    <w:p>
      <w:pPr>
        <w:ind w:right="200" w:firstLine="921"/>
        <w:spacing w:after="0" w:line="268" w:lineRule="auto"/>
        <w:tabs>
          <w:tab w:leader="none" w:pos="108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131" w:lineRule="exact"/>
        <w:rPr>
          <w:rFonts w:ascii="Arial" w:cs="Arial" w:eastAsia="Arial" w:hAnsi="Arial"/>
          <w:sz w:val="18"/>
          <w:szCs w:val="18"/>
          <w:color w:val="auto"/>
        </w:rPr>
      </w:pPr>
    </w:p>
    <w:p>
      <w:pPr>
        <w:ind w:firstLine="921"/>
        <w:spacing w:after="0" w:line="298" w:lineRule="auto"/>
        <w:tabs>
          <w:tab w:leader="none" w:pos="1088" w:val="left"/>
        </w:tabs>
        <w:numPr>
          <w:ilvl w:val="0"/>
          <w:numId w:val="400"/>
        </w:numPr>
        <w:rPr>
          <w:rFonts w:ascii="Arial" w:cs="Arial" w:eastAsia="Arial" w:hAnsi="Arial"/>
          <w:sz w:val="16"/>
          <w:szCs w:val="16"/>
          <w:color w:val="auto"/>
        </w:rPr>
      </w:pPr>
      <w:r>
        <w:rPr>
          <w:rFonts w:ascii="Arial" w:cs="Arial" w:eastAsia="Arial" w:hAnsi="Arial"/>
          <w:sz w:val="16"/>
          <w:szCs w:val="16"/>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1100" w:hanging="179"/>
        <w:spacing w:after="0"/>
        <w:tabs>
          <w:tab w:leader="none" w:pos="110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SDAT.</w:t>
      </w:r>
    </w:p>
    <w:p>
      <w:pPr>
        <w:spacing w:after="0" w:line="164" w:lineRule="exact"/>
        <w:rPr>
          <w:rFonts w:ascii="Arial" w:cs="Arial" w:eastAsia="Arial" w:hAnsi="Arial"/>
          <w:sz w:val="16"/>
          <w:szCs w:val="16"/>
          <w:color w:val="auto"/>
        </w:rPr>
      </w:pPr>
    </w:p>
    <w:p>
      <w:pPr>
        <w:ind w:right="20" w:firstLine="921"/>
        <w:spacing w:after="0" w:line="259" w:lineRule="auto"/>
        <w:tabs>
          <w:tab w:leader="none" w:pos="108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ind w:right="20" w:firstLine="921"/>
        <w:spacing w:after="0" w:line="259" w:lineRule="auto"/>
        <w:tabs>
          <w:tab w:leader="none" w:pos="108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ectPr>
          <w:pgSz w:w="11900" w:h="16838" w:orient="portrait"/>
          <w:cols w:equalWidth="0" w:num="1">
            <w:col w:w="11420"/>
          </w:cols>
          <w:pgMar w:left="240" w:top="1440" w:right="239" w:bottom="1440" w:gutter="0" w:footer="0" w:header="0"/>
        </w:sectPr>
      </w:pPr>
    </w:p>
    <w:bookmarkStart w:id="349" w:name="page350"/>
    <w:bookmarkEnd w:id="349"/>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86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788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1100" w:hanging="179"/>
        <w:spacing w:after="0"/>
        <w:tabs>
          <w:tab w:leader="none" w:pos="11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Upon the completion of all the Corporate Proceedings relating to the Subscription Rights, the issuance of the Subscription Rights will be duly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6. Upon the completion of all Corporate Proceedings relating to the Debt Securities, the issuance of the Debt Securities will be duly authorized.</w:t>
      </w:r>
    </w:p>
    <w:p>
      <w:pPr>
        <w:spacing w:after="0" w:line="194"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the applicability or effect of the 1940 Act, any federal or state securities laws, including the securities laws of the State of Maryland or as to federal or state laws regarding fraudulent transfer. To the extent that any matter as to which our opinion is expressed herein would be governed by the laws of any jurisdiction other than the State of Maryland, we do not express any opinion on such matter.</w:t>
      </w:r>
    </w:p>
    <w:p>
      <w:pPr>
        <w:spacing w:after="0" w:line="11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This opinion is being furnished to you solely for submission to the Commission as an exhibit to the Registration Statement and, accordingly, may not be relied upon by, quoted in any manner to, or delivered to any other person or entity without, in each instance, our prior written consent.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1286510" cy="5232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86510" cy="52324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use of our report dated December 12, 2007 for the PennantPark Investment Corporation and to the references to our firm under the headings “Selected Financial Data”, “Senior Securities”, and “Independent Registered Public Accounting Firm” in Amendment No. 1 to the Registration Statement on Form N-2.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29, 2008</w:t>
      </w:r>
    </w:p>
    <w:p>
      <w:pPr>
        <w:sectPr>
          <w:pgSz w:w="11900" w:h="16838" w:orient="portrait"/>
          <w:cols w:equalWidth="0" w:num="1">
            <w:col w:w="11420"/>
          </w:cols>
          <w:pgMar w:left="240" w:top="125"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(n)(2)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May 7, 2008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29,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10B4E8"/>
    <w:multiLevelType w:val="hybridMultilevel"/>
    <w:lvl w:ilvl="0">
      <w:lvlJc w:val="left"/>
      <w:lvlText w:val="☒"/>
      <w:numFmt w:val="bullet"/>
      <w:start w:val="1"/>
    </w:lvl>
  </w:abstractNum>
  <w:abstractNum w:abstractNumId="1">
    <w:nsid w:val="43D3BCD4"/>
    <w:multiLevelType w:val="hybridMultilevel"/>
    <w:lvl w:ilvl="0">
      <w:lvlJc w:val="left"/>
      <w:lvlText w:val="☐"/>
      <w:numFmt w:val="bullet"/>
      <w:start w:val="1"/>
    </w:lvl>
  </w:abstractNum>
  <w:abstractNum w:abstractNumId="2">
    <w:nsid w:val="4C2A7166"/>
    <w:multiLevelType w:val="hybridMultilevel"/>
    <w:lvl w:ilvl="0">
      <w:lvlJc w:val="left"/>
      <w:lvlText w:val="(%1)"/>
      <w:numFmt w:val="decimal"/>
      <w:start w:val="1"/>
    </w:lvl>
  </w:abstractNum>
  <w:abstractNum w:abstractNumId="3">
    <w:nsid w:val="2E534A82"/>
    <w:multiLevelType w:val="hybridMultilevel"/>
    <w:lvl w:ilvl="0">
      <w:lvlJc w:val="left"/>
      <w:lvlText w:val="•"/>
      <w:numFmt w:val="bullet"/>
      <w:start w:val="1"/>
    </w:lvl>
  </w:abstractNum>
  <w:abstractNum w:abstractNumId="4">
    <w:nsid w:val="26F2D364"/>
    <w:multiLevelType w:val="hybridMultilevel"/>
    <w:lvl w:ilvl="0">
      <w:lvlJc w:val="left"/>
      <w:lvlText w:val="(%1)"/>
      <w:numFmt w:val="decimal"/>
      <w:start w:val="1"/>
    </w:lvl>
  </w:abstractNum>
  <w:abstractNum w:abstractNumId="5">
    <w:nsid w:val="71C1AF98"/>
    <w:multiLevelType w:val="hybridMultilevel"/>
    <w:lvl w:ilvl="0">
      <w:lvlJc w:val="left"/>
      <w:lvlText w:val="(%1)"/>
      <w:numFmt w:val="decimal"/>
      <w:start w:val="7"/>
    </w:lvl>
  </w:abstractNum>
  <w:abstractNum w:abstractNumId="6">
    <w:nsid w:val="3D00B9D9"/>
    <w:multiLevelType w:val="hybridMultilevel"/>
    <w:lvl w:ilvl="0">
      <w:lvlJc w:val="left"/>
      <w:lvlText w:val="•"/>
      <w:numFmt w:val="bullet"/>
      <w:start w:val="1"/>
    </w:lvl>
  </w:abstractNum>
  <w:abstractNum w:abstractNumId="7">
    <w:nsid w:val="15BCABA8"/>
    <w:multiLevelType w:val="hybridMultilevel"/>
    <w:lvl w:ilvl="0">
      <w:lvlJc w:val="left"/>
      <w:lvlText w:val="(%1)"/>
      <w:numFmt w:val="decimal"/>
      <w:start w:val="1"/>
    </w:lvl>
  </w:abstractNum>
  <w:abstractNum w:abstractNumId="8">
    <w:nsid w:val="4E0B9A87"/>
    <w:multiLevelType w:val="hybridMultilevel"/>
    <w:lvl w:ilvl="0">
      <w:lvlJc w:val="left"/>
      <w:lvlText w:val="•"/>
      <w:numFmt w:val="bullet"/>
      <w:start w:val="1"/>
    </w:lvl>
  </w:abstractNum>
  <w:abstractNum w:abstractNumId="9">
    <w:nsid w:val="434BAE75"/>
    <w:multiLevelType w:val="hybridMultilevel"/>
    <w:lvl w:ilvl="0">
      <w:lvlJc w:val="left"/>
      <w:lvlText w:val="•"/>
      <w:numFmt w:val="bullet"/>
      <w:start w:val="1"/>
    </w:lvl>
  </w:abstractNum>
  <w:abstractNum w:abstractNumId="10">
    <w:nsid w:val="4F38F265"/>
    <w:multiLevelType w:val="hybridMultilevel"/>
    <w:lvl w:ilvl="0">
      <w:lvlJc w:val="left"/>
      <w:lvlText w:val="•"/>
      <w:numFmt w:val="bullet"/>
      <w:start w:val="1"/>
    </w:lvl>
  </w:abstractNum>
  <w:abstractNum w:abstractNumId="11">
    <w:nsid w:val="4C502870"/>
    <w:multiLevelType w:val="hybridMultilevel"/>
    <w:lvl w:ilvl="0">
      <w:lvlJc w:val="left"/>
      <w:lvlText w:val="•"/>
      <w:numFmt w:val="bullet"/>
      <w:start w:val="1"/>
    </w:lvl>
  </w:abstractNum>
  <w:abstractNum w:abstractNumId="12">
    <w:nsid w:val="1DE8725A"/>
    <w:multiLevelType w:val="hybridMultilevel"/>
    <w:lvl w:ilvl="0">
      <w:lvlJc w:val="left"/>
      <w:lvlText w:val="•"/>
      <w:numFmt w:val="bullet"/>
      <w:start w:val="1"/>
    </w:lvl>
  </w:abstractNum>
  <w:abstractNum w:abstractNumId="13">
    <w:nsid w:val="6A37288A"/>
    <w:multiLevelType w:val="hybridMultilevel"/>
    <w:lvl w:ilvl="0">
      <w:lvlJc w:val="left"/>
      <w:lvlText w:val="(%1)"/>
      <w:numFmt w:val="decimal"/>
      <w:start w:val="1"/>
    </w:lvl>
  </w:abstractNum>
  <w:abstractNum w:abstractNumId="14">
    <w:nsid w:val="8F8B73F"/>
    <w:multiLevelType w:val="hybridMultilevel"/>
    <w:lvl w:ilvl="0">
      <w:lvlJc w:val="left"/>
      <w:lvlText w:val="*"/>
      <w:numFmt w:val="bullet"/>
      <w:start w:val="1"/>
    </w:lvl>
  </w:abstractNum>
  <w:abstractNum w:abstractNumId="15">
    <w:nsid w:val="CA6B462"/>
    <w:multiLevelType w:val="hybridMultilevel"/>
    <w:lvl w:ilvl="0">
      <w:lvlJc w:val="left"/>
      <w:lvlText w:val="(%1)"/>
      <w:numFmt w:val="decimal"/>
      <w:start w:val="1"/>
    </w:lvl>
  </w:abstractNum>
  <w:abstractNum w:abstractNumId="16">
    <w:nsid w:val="763CB680"/>
    <w:multiLevelType w:val="hybridMultilevel"/>
    <w:lvl w:ilvl="0">
      <w:lvlJc w:val="left"/>
      <w:lvlText w:val="•"/>
      <w:numFmt w:val="bullet"/>
      <w:start w:val="1"/>
    </w:lvl>
  </w:abstractNum>
  <w:abstractNum w:abstractNumId="17">
    <w:nsid w:val="15B71329"/>
    <w:multiLevelType w:val="hybridMultilevel"/>
    <w:lvl w:ilvl="0">
      <w:lvlJc w:val="left"/>
      <w:lvlText w:val="(%1)"/>
      <w:numFmt w:val="decimal"/>
      <w:start w:val="1"/>
    </w:lvl>
  </w:abstractNum>
  <w:abstractNum w:abstractNumId="18">
    <w:nsid w:val="3DA97044"/>
    <w:multiLevelType w:val="hybridMultilevel"/>
    <w:lvl w:ilvl="0">
      <w:lvlJc w:val="left"/>
      <w:lvlText w:val="•"/>
      <w:numFmt w:val="bullet"/>
      <w:start w:val="1"/>
    </w:lvl>
  </w:abstractNum>
  <w:abstractNum w:abstractNumId="19">
    <w:nsid w:val="1CDCE2DE"/>
    <w:multiLevelType w:val="hybridMultilevel"/>
    <w:lvl w:ilvl="0">
      <w:lvlJc w:val="left"/>
      <w:lvlText w:val="(%1)"/>
      <w:numFmt w:val="decimal"/>
      <w:start w:val="1"/>
    </w:lvl>
  </w:abstractNum>
  <w:abstractNum w:abstractNumId="20">
    <w:nsid w:val="69D3947C"/>
    <w:multiLevelType w:val="hybridMultilevel"/>
    <w:lvl w:ilvl="0">
      <w:lvlJc w:val="left"/>
      <w:lvlText w:val="(%1)"/>
      <w:numFmt w:val="decimal"/>
      <w:start w:val="1"/>
    </w:lvl>
  </w:abstractNum>
  <w:abstractNum w:abstractNumId="21">
    <w:nsid w:val="2539DFA5"/>
    <w:multiLevelType w:val="hybridMultilevel"/>
    <w:lvl w:ilvl="0">
      <w:lvlJc w:val="left"/>
      <w:lvlText w:val="*"/>
      <w:numFmt w:val="bullet"/>
      <w:start w:val="1"/>
    </w:lvl>
  </w:abstractNum>
  <w:abstractNum w:abstractNumId="22">
    <w:nsid w:val="2DB88089"/>
    <w:multiLevelType w:val="hybridMultilevel"/>
    <w:lvl w:ilvl="0">
      <w:lvlJc w:val="left"/>
      <w:lvlText w:val="•"/>
      <w:numFmt w:val="bullet"/>
      <w:start w:val="1"/>
    </w:lvl>
  </w:abstractNum>
  <w:abstractNum w:abstractNumId="23">
    <w:nsid w:val="706B674E"/>
    <w:multiLevelType w:val="hybridMultilevel"/>
    <w:lvl w:ilvl="0">
      <w:lvlJc w:val="left"/>
      <w:lvlText w:val="(%1)"/>
      <w:numFmt w:val="decimal"/>
      <w:start w:val="1"/>
    </w:lvl>
  </w:abstractNum>
  <w:abstractNum w:abstractNumId="24">
    <w:nsid w:val="2C106A57"/>
    <w:multiLevelType w:val="hybridMultilevel"/>
    <w:lvl w:ilvl="0">
      <w:lvlJc w:val="left"/>
      <w:lvlText w:val="•"/>
      <w:numFmt w:val="bullet"/>
      <w:start w:val="1"/>
    </w:lvl>
  </w:abstractNum>
  <w:abstractNum w:abstractNumId="25">
    <w:nsid w:val="684EED59"/>
    <w:multiLevelType w:val="hybridMultilevel"/>
    <w:lvl w:ilvl="0">
      <w:lvlJc w:val="left"/>
      <w:lvlText w:val="•"/>
      <w:numFmt w:val="bullet"/>
      <w:start w:val="1"/>
    </w:lvl>
  </w:abstractNum>
  <w:abstractNum w:abstractNumId="26">
    <w:nsid w:val="545EE5D3"/>
    <w:multiLevelType w:val="hybridMultilevel"/>
    <w:lvl w:ilvl="0">
      <w:lvlJc w:val="left"/>
      <w:lvlText w:val="•"/>
      <w:numFmt w:val="bullet"/>
      <w:start w:val="1"/>
    </w:lvl>
  </w:abstractNum>
  <w:abstractNum w:abstractNumId="27">
    <w:nsid w:val="4A66051"/>
    <w:multiLevelType w:val="hybridMultilevel"/>
    <w:lvl w:ilvl="0">
      <w:lvlJc w:val="left"/>
      <w:lvlText w:val="•"/>
      <w:numFmt w:val="bullet"/>
      <w:start w:val="1"/>
    </w:lvl>
  </w:abstractNum>
  <w:abstractNum w:abstractNumId="28">
    <w:nsid w:val="20F4BDAD"/>
    <w:multiLevelType w:val="hybridMultilevel"/>
    <w:lvl w:ilvl="0">
      <w:lvlJc w:val="left"/>
      <w:lvlText w:val="(%1)"/>
      <w:numFmt w:val="decimal"/>
      <w:start w:val="1"/>
    </w:lvl>
  </w:abstractNum>
  <w:abstractNum w:abstractNumId="29">
    <w:nsid w:val="639DEFAC"/>
    <w:multiLevelType w:val="hybridMultilevel"/>
    <w:lvl w:ilvl="0">
      <w:lvlJc w:val="left"/>
      <w:lvlText w:val="(%1)"/>
      <w:numFmt w:val="decimal"/>
      <w:start w:val="1"/>
    </w:lvl>
  </w:abstractNum>
  <w:abstractNum w:abstractNumId="30">
    <w:nsid w:val="501F9786"/>
    <w:multiLevelType w:val="hybridMultilevel"/>
    <w:lvl w:ilvl="0">
      <w:lvlJc w:val="left"/>
      <w:lvlText w:val="(%1)"/>
      <w:numFmt w:val="decimal"/>
      <w:start w:val="1"/>
    </w:lvl>
  </w:abstractNum>
  <w:abstractNum w:abstractNumId="31">
    <w:nsid w:val="6B057295"/>
    <w:multiLevelType w:val="hybridMultilevel"/>
    <w:lvl w:ilvl="0">
      <w:lvlJc w:val="left"/>
      <w:lvlText w:val="(%1)"/>
      <w:numFmt w:val="decimal"/>
      <w:start w:val="2"/>
    </w:lvl>
  </w:abstractNum>
  <w:abstractNum w:abstractNumId="32">
    <w:nsid w:val="2771AC80"/>
    <w:multiLevelType w:val="hybridMultilevel"/>
    <w:lvl w:ilvl="0">
      <w:lvlJc w:val="left"/>
      <w:lvlText w:val="*"/>
      <w:numFmt w:val="bullet"/>
      <w:start w:val="1"/>
    </w:lvl>
  </w:abstractNum>
  <w:abstractNum w:abstractNumId="33">
    <w:nsid w:val="1C4A08EC"/>
    <w:multiLevelType w:val="hybridMultilevel"/>
    <w:lvl w:ilvl="0">
      <w:lvlJc w:val="left"/>
      <w:lvlText w:val="(%1)"/>
      <w:numFmt w:val="decimal"/>
      <w:start w:val="1"/>
    </w:lvl>
  </w:abstractNum>
  <w:abstractNum w:abstractNumId="34">
    <w:nsid w:val="1958BD17"/>
    <w:multiLevelType w:val="hybridMultilevel"/>
    <w:lvl w:ilvl="0">
      <w:lvlJc w:val="left"/>
      <w:lvlText w:val="•"/>
      <w:numFmt w:val="bullet"/>
      <w:start w:val="1"/>
    </w:lvl>
  </w:abstractNum>
  <w:abstractNum w:abstractNumId="35">
    <w:nsid w:val="4E647FE4"/>
    <w:multiLevelType w:val="hybridMultilevel"/>
    <w:lvl w:ilvl="0">
      <w:lvlJc w:val="left"/>
      <w:lvlText w:val="•"/>
      <w:numFmt w:val="bullet"/>
      <w:start w:val="1"/>
    </w:lvl>
  </w:abstractNum>
  <w:abstractNum w:abstractNumId="36">
    <w:nsid w:val="E0BB885"/>
    <w:multiLevelType w:val="hybridMultilevel"/>
    <w:lvl w:ilvl="0">
      <w:lvlJc w:val="left"/>
      <w:lvlText w:val="="/>
      <w:numFmt w:val="bullet"/>
      <w:start w:val="1"/>
    </w:lvl>
  </w:abstractNum>
  <w:abstractNum w:abstractNumId="37">
    <w:nsid w:val="565976F1"/>
    <w:multiLevelType w:val="hybridMultilevel"/>
    <w:lvl w:ilvl="0">
      <w:lvlJc w:val="left"/>
      <w:lvlText w:val="="/>
      <w:numFmt w:val="bullet"/>
      <w:start w:val="1"/>
    </w:lvl>
  </w:abstractNum>
  <w:abstractNum w:abstractNumId="38">
    <w:nsid w:val="64212B8C"/>
    <w:multiLevelType w:val="hybridMultilevel"/>
    <w:lvl w:ilvl="0">
      <w:lvlJc w:val="left"/>
      <w:lvlText w:val="(*)"/>
      <w:numFmt w:val="bullet"/>
      <w:start w:val="1"/>
    </w:lvl>
    <w:lvl w:ilvl="1">
      <w:lvlJc w:val="left"/>
      <w:lvlText w:val="="/>
      <w:numFmt w:val="bullet"/>
      <w:start w:val="1"/>
    </w:lvl>
  </w:abstractNum>
  <w:abstractNum w:abstractNumId="39">
    <w:nsid w:val="5C17530C"/>
    <w:multiLevelType w:val="hybridMultilevel"/>
    <w:lvl w:ilvl="0">
      <w:lvlJc w:val="left"/>
      <w:lvlText w:val="(%1)"/>
      <w:numFmt w:val="decimal"/>
      <w:start w:val="1"/>
    </w:lvl>
  </w:abstractNum>
  <w:abstractNum w:abstractNumId="40">
    <w:nsid w:val="19A52566"/>
    <w:multiLevelType w:val="hybridMultilevel"/>
    <w:lvl w:ilvl="0">
      <w:lvlJc w:val="left"/>
      <w:lvlText w:val="•"/>
      <w:numFmt w:val="bullet"/>
      <w:start w:val="1"/>
    </w:lvl>
  </w:abstractNum>
  <w:abstractNum w:abstractNumId="41">
    <w:nsid w:val="335A1DF1"/>
    <w:multiLevelType w:val="hybridMultilevel"/>
    <w:lvl w:ilvl="0">
      <w:lvlJc w:val="left"/>
      <w:lvlText w:val="•"/>
      <w:numFmt w:val="bullet"/>
      <w:start w:val="1"/>
    </w:lvl>
  </w:abstractNum>
  <w:abstractNum w:abstractNumId="42">
    <w:nsid w:val="28677B7C"/>
    <w:multiLevelType w:val="hybridMultilevel"/>
    <w:lvl w:ilvl="0">
      <w:lvlJc w:val="left"/>
      <w:lvlText w:val="•"/>
      <w:numFmt w:val="bullet"/>
      <w:start w:val="1"/>
    </w:lvl>
  </w:abstractNum>
  <w:abstractNum w:abstractNumId="43">
    <w:nsid w:val="378D97C0"/>
    <w:multiLevelType w:val="hybridMultilevel"/>
    <w:lvl w:ilvl="0">
      <w:lvlJc w:val="left"/>
      <w:lvlText w:val="•"/>
      <w:numFmt w:val="bullet"/>
      <w:start w:val="1"/>
    </w:lvl>
  </w:abstractNum>
  <w:abstractNum w:abstractNumId="44">
    <w:nsid w:val="1D91467C"/>
    <w:multiLevelType w:val="hybridMultilevel"/>
    <w:lvl w:ilvl="0">
      <w:lvlJc w:val="left"/>
      <w:lvlText w:val="•"/>
      <w:numFmt w:val="bullet"/>
      <w:start w:val="1"/>
    </w:lvl>
  </w:abstractNum>
  <w:abstractNum w:abstractNumId="45">
    <w:nsid w:val="316032BB"/>
    <w:multiLevelType w:val="hybridMultilevel"/>
    <w:lvl w:ilvl="0">
      <w:lvlJc w:val="left"/>
      <w:lvlText w:val="•"/>
      <w:numFmt w:val="bullet"/>
      <w:start w:val="1"/>
    </w:lvl>
  </w:abstractNum>
  <w:abstractNum w:abstractNumId="46">
    <w:nsid w:val="44344C22"/>
    <w:multiLevelType w:val="hybridMultilevel"/>
    <w:lvl w:ilvl="0">
      <w:lvlJc w:val="left"/>
      <w:lvlText w:val="•"/>
      <w:numFmt w:val="bullet"/>
      <w:start w:val="1"/>
    </w:lvl>
  </w:abstractNum>
  <w:abstractNum w:abstractNumId="47">
    <w:nsid w:val="13CDFCFC"/>
    <w:multiLevelType w:val="hybridMultilevel"/>
    <w:lvl w:ilvl="0">
      <w:lvlJc w:val="left"/>
      <w:lvlText w:val="•"/>
      <w:numFmt w:val="bullet"/>
      <w:start w:val="1"/>
    </w:lvl>
  </w:abstractNum>
  <w:abstractNum w:abstractNumId="48">
    <w:nsid w:val="471745E4"/>
    <w:multiLevelType w:val="hybridMultilevel"/>
    <w:lvl w:ilvl="0">
      <w:lvlJc w:val="left"/>
      <w:lvlText w:val="•"/>
      <w:numFmt w:val="bullet"/>
      <w:start w:val="1"/>
    </w:lvl>
  </w:abstractNum>
  <w:abstractNum w:abstractNumId="49">
    <w:nsid w:val="1DDBC66"/>
    <w:multiLevelType w:val="hybridMultilevel"/>
    <w:lvl w:ilvl="0">
      <w:lvlJc w:val="left"/>
      <w:lvlText w:val="•"/>
      <w:numFmt w:val="bullet"/>
      <w:start w:val="1"/>
    </w:lvl>
  </w:abstractNum>
  <w:abstractNum w:abstractNumId="50">
    <w:nsid w:val="30AADFDA"/>
    <w:multiLevelType w:val="hybridMultilevel"/>
    <w:lvl w:ilvl="0">
      <w:lvlJc w:val="left"/>
      <w:lvlText w:val="•"/>
      <w:numFmt w:val="bullet"/>
      <w:start w:val="1"/>
    </w:lvl>
  </w:abstractNum>
  <w:abstractNum w:abstractNumId="51">
    <w:nsid w:val="30EADA61"/>
    <w:multiLevelType w:val="hybridMultilevel"/>
    <w:lvl w:ilvl="0">
      <w:lvlJc w:val="left"/>
      <w:lvlText w:val="•"/>
      <w:numFmt w:val="bullet"/>
      <w:start w:val="1"/>
    </w:lvl>
  </w:abstractNum>
  <w:abstractNum w:abstractNumId="52">
    <w:nsid w:val="27179C0B"/>
    <w:multiLevelType w:val="hybridMultilevel"/>
    <w:lvl w:ilvl="0">
      <w:lvlJc w:val="left"/>
      <w:lvlText w:val="•"/>
      <w:numFmt w:val="bullet"/>
      <w:start w:val="1"/>
    </w:lvl>
  </w:abstractNum>
  <w:abstractNum w:abstractNumId="53">
    <w:nsid w:val="5E636063"/>
    <w:multiLevelType w:val="hybridMultilevel"/>
    <w:lvl w:ilvl="0">
      <w:lvlJc w:val="left"/>
      <w:lvlText w:val="•"/>
      <w:numFmt w:val="bullet"/>
      <w:start w:val="1"/>
    </w:lvl>
  </w:abstractNum>
  <w:abstractNum w:abstractNumId="54">
    <w:nsid w:val="215641AF"/>
    <w:multiLevelType w:val="hybridMultilevel"/>
    <w:lvl w:ilvl="0">
      <w:lvlJc w:val="left"/>
      <w:lvlText w:val="•"/>
      <w:numFmt w:val="bullet"/>
      <w:start w:val="1"/>
    </w:lvl>
  </w:abstractNum>
  <w:abstractNum w:abstractNumId="55">
    <w:nsid w:val="53280662"/>
    <w:multiLevelType w:val="hybridMultilevel"/>
    <w:lvl w:ilvl="0">
      <w:lvlJc w:val="left"/>
      <w:lvlText w:val="•"/>
      <w:numFmt w:val="bullet"/>
      <w:start w:val="1"/>
    </w:lvl>
  </w:abstractNum>
  <w:abstractNum w:abstractNumId="56">
    <w:nsid w:val="46B24DBC"/>
    <w:multiLevelType w:val="hybridMultilevel"/>
    <w:lvl w:ilvl="0">
      <w:lvlJc w:val="left"/>
      <w:lvlText w:val="•"/>
      <w:numFmt w:val="bullet"/>
      <w:start w:val="1"/>
    </w:lvl>
  </w:abstractNum>
  <w:abstractNum w:abstractNumId="57">
    <w:nsid w:val="75B52783"/>
    <w:multiLevelType w:val="hybridMultilevel"/>
    <w:lvl w:ilvl="0">
      <w:lvlJc w:val="left"/>
      <w:lvlText w:val="•"/>
      <w:numFmt w:val="bullet"/>
      <w:start w:val="1"/>
    </w:lvl>
  </w:abstractNum>
  <w:abstractNum w:abstractNumId="58">
    <w:nsid w:val="57CE66B4"/>
    <w:multiLevelType w:val="hybridMultilevel"/>
    <w:lvl w:ilvl="0">
      <w:lvlJc w:val="left"/>
      <w:lvlText w:val="•"/>
      <w:numFmt w:val="bullet"/>
      <w:start w:val="1"/>
    </w:lvl>
  </w:abstractNum>
  <w:abstractNum w:abstractNumId="59">
    <w:nsid w:val="67A70B69"/>
    <w:multiLevelType w:val="hybridMultilevel"/>
    <w:lvl w:ilvl="0">
      <w:lvlJc w:val="left"/>
      <w:lvlText w:val="•"/>
      <w:numFmt w:val="bullet"/>
      <w:start w:val="1"/>
    </w:lvl>
  </w:abstractNum>
  <w:abstractNum w:abstractNumId="60">
    <w:nsid w:val="5953172F"/>
    <w:multiLevelType w:val="hybridMultilevel"/>
    <w:lvl w:ilvl="0">
      <w:lvlJc w:val="left"/>
      <w:lvlText w:val="•"/>
      <w:numFmt w:val="bullet"/>
      <w:start w:val="1"/>
    </w:lvl>
  </w:abstractNum>
  <w:abstractNum w:abstractNumId="61">
    <w:nsid w:val="27EDFE3A"/>
    <w:multiLevelType w:val="hybridMultilevel"/>
    <w:lvl w:ilvl="0">
      <w:lvlJc w:val="left"/>
      <w:lvlText w:val="•"/>
      <w:numFmt w:val="bullet"/>
      <w:start w:val="1"/>
    </w:lvl>
  </w:abstractNum>
  <w:abstractNum w:abstractNumId="62">
    <w:nsid w:val="52AC7DFF"/>
    <w:multiLevelType w:val="hybridMultilevel"/>
    <w:lvl w:ilvl="0">
      <w:lvlJc w:val="left"/>
      <w:lvlText w:val="•"/>
      <w:numFmt w:val="bullet"/>
      <w:start w:val="1"/>
    </w:lvl>
  </w:abstractNum>
  <w:abstractNum w:abstractNumId="63">
    <w:nsid w:val="C4C3AF"/>
    <w:multiLevelType w:val="hybridMultilevel"/>
    <w:lvl w:ilvl="0">
      <w:lvlJc w:val="left"/>
      <w:lvlText w:val="•"/>
      <w:numFmt w:val="bullet"/>
      <w:start w:val="1"/>
    </w:lvl>
  </w:abstractNum>
  <w:abstractNum w:abstractNumId="64">
    <w:nsid w:val="44380727"/>
    <w:multiLevelType w:val="hybridMultilevel"/>
    <w:lvl w:ilvl="0">
      <w:lvlJc w:val="left"/>
      <w:lvlText w:val="•"/>
      <w:numFmt w:val="bullet"/>
      <w:start w:val="1"/>
    </w:lvl>
  </w:abstractNum>
  <w:abstractNum w:abstractNumId="65">
    <w:nsid w:val="6C053B16"/>
    <w:multiLevelType w:val="hybridMultilevel"/>
    <w:lvl w:ilvl="0">
      <w:lvlJc w:val="left"/>
      <w:lvlText w:val="(%1)"/>
      <w:numFmt w:val="decimal"/>
      <w:start w:val="1"/>
    </w:lvl>
    <w:lvl w:ilvl="1">
      <w:lvlJc w:val="left"/>
      <w:lvlText w:val="(%2)"/>
      <w:numFmt w:val="lowerLetter"/>
      <w:start w:val="1"/>
    </w:lvl>
  </w:abstractNum>
  <w:abstractNum w:abstractNumId="66">
    <w:nsid w:val="4F294393"/>
    <w:multiLevelType w:val="hybridMultilevel"/>
    <w:lvl w:ilvl="0">
      <w:lvlJc w:val="left"/>
      <w:lvlText w:val="(%1)"/>
      <w:numFmt w:val="decimal"/>
      <w:start w:val="4"/>
    </w:lvl>
  </w:abstractNum>
  <w:abstractNum w:abstractNumId="67">
    <w:nsid w:val="5243BFAC"/>
    <w:multiLevelType w:val="hybridMultilevel"/>
    <w:lvl w:ilvl="0">
      <w:lvlJc w:val="left"/>
      <w:lvlText w:val="•"/>
      <w:numFmt w:val="bullet"/>
      <w:start w:val="1"/>
    </w:lvl>
  </w:abstractNum>
  <w:abstractNum w:abstractNumId="68">
    <w:nsid w:val="425EB207"/>
    <w:multiLevelType w:val="hybridMultilevel"/>
    <w:lvl w:ilvl="0">
      <w:lvlJc w:val="left"/>
      <w:lvlText w:val="•"/>
      <w:numFmt w:val="bullet"/>
      <w:start w:val="1"/>
    </w:lvl>
  </w:abstractNum>
  <w:abstractNum w:abstractNumId="69">
    <w:nsid w:val="334A6F1F"/>
    <w:multiLevelType w:val="hybridMultilevel"/>
    <w:lvl w:ilvl="0">
      <w:lvlJc w:val="left"/>
      <w:lvlText w:val="•"/>
      <w:numFmt w:val="bullet"/>
      <w:start w:val="1"/>
    </w:lvl>
  </w:abstractNum>
  <w:abstractNum w:abstractNumId="70">
    <w:nsid w:val="2E5B12B8"/>
    <w:multiLevelType w:val="hybridMultilevel"/>
    <w:lvl w:ilvl="0">
      <w:lvlJc w:val="left"/>
      <w:lvlText w:val="•"/>
      <w:numFmt w:val="bullet"/>
      <w:start w:val="1"/>
    </w:lvl>
  </w:abstractNum>
  <w:abstractNum w:abstractNumId="71">
    <w:nsid w:val="5C03D76D"/>
    <w:multiLevelType w:val="hybridMultilevel"/>
    <w:lvl w:ilvl="0">
      <w:lvlJc w:val="left"/>
      <w:lvlText w:val="•"/>
      <w:numFmt w:val="bullet"/>
      <w:start w:val="1"/>
    </w:lvl>
  </w:abstractNum>
  <w:abstractNum w:abstractNumId="72">
    <w:nsid w:val="66A48D11"/>
    <w:multiLevelType w:val="hybridMultilevel"/>
    <w:lvl w:ilvl="0">
      <w:lvlJc w:val="left"/>
      <w:lvlText w:val="•"/>
      <w:numFmt w:val="bullet"/>
      <w:start w:val="1"/>
    </w:lvl>
    <w:lvl w:ilvl="1">
      <w:lvlJc w:val="left"/>
      <w:lvlText w:val="•"/>
      <w:numFmt w:val="bullet"/>
      <w:start w:val="1"/>
    </w:lvl>
  </w:abstractNum>
  <w:abstractNum w:abstractNumId="73">
    <w:nsid w:val="56C28E34"/>
    <w:multiLevelType w:val="hybridMultilevel"/>
    <w:lvl w:ilvl="0">
      <w:lvlJc w:val="left"/>
      <w:lvlText w:val="•"/>
      <w:numFmt w:val="bullet"/>
      <w:start w:val="1"/>
    </w:lvl>
  </w:abstractNum>
  <w:abstractNum w:abstractNumId="74">
    <w:nsid w:val="13916F2D"/>
    <w:multiLevelType w:val="hybridMultilevel"/>
    <w:lvl w:ilvl="0">
      <w:lvlJc w:val="left"/>
      <w:lvlText w:val="1"/>
      <w:numFmt w:val="bullet"/>
      <w:start w:val="1"/>
    </w:lvl>
  </w:abstractNum>
  <w:abstractNum w:abstractNumId="75">
    <w:nsid w:val="435D38D"/>
    <w:multiLevelType w:val="hybridMultilevel"/>
    <w:lvl w:ilvl="0">
      <w:lvlJc w:val="left"/>
      <w:lvlText w:val="$"/>
      <w:numFmt w:val="bullet"/>
      <w:start w:val="1"/>
    </w:lvl>
  </w:abstractNum>
  <w:abstractNum w:abstractNumId="76">
    <w:nsid w:val="822C0EF"/>
    <w:multiLevelType w:val="hybridMultilevel"/>
    <w:lvl w:ilvl="0">
      <w:lvlJc w:val="left"/>
      <w:lvlText w:val="(%1)"/>
      <w:numFmt w:val="decimal"/>
      <w:start w:val="1"/>
    </w:lvl>
  </w:abstractNum>
  <w:abstractNum w:abstractNumId="77">
    <w:nsid w:val="57C5BB4F"/>
    <w:multiLevelType w:val="hybridMultilevel"/>
    <w:lvl w:ilvl="0">
      <w:lvlJc w:val="left"/>
      <w:lvlText w:val="*"/>
      <w:numFmt w:val="bullet"/>
      <w:start w:val="1"/>
    </w:lvl>
  </w:abstractNum>
  <w:abstractNum w:abstractNumId="78">
    <w:nsid w:val="1803D089"/>
    <w:multiLevelType w:val="hybridMultilevel"/>
    <w:lvl w:ilvl="0">
      <w:lvlJc w:val="left"/>
      <w:lvlText w:val="(%1)"/>
      <w:numFmt w:val="lowerLetter"/>
      <w:start w:val="1"/>
    </w:lvl>
  </w:abstractNum>
  <w:abstractNum w:abstractNumId="79">
    <w:nsid w:val="4F3A06D4"/>
    <w:multiLevelType w:val="hybridMultilevel"/>
    <w:lvl w:ilvl="0">
      <w:lvlJc w:val="left"/>
      <w:lvlText w:val="(%1)"/>
      <w:numFmt w:val="decimal"/>
      <w:start w:val="1"/>
    </w:lvl>
  </w:abstractNum>
  <w:abstractNum w:abstractNumId="80">
    <w:nsid w:val="59A377B6"/>
    <w:multiLevelType w:val="hybridMultilevel"/>
    <w:lvl w:ilvl="0">
      <w:lvlJc w:val="left"/>
      <w:lvlText w:val="(%1)"/>
      <w:numFmt w:val="lowerLetter"/>
      <w:start w:val="2"/>
    </w:lvl>
  </w:abstractNum>
  <w:abstractNum w:abstractNumId="81">
    <w:nsid w:val="48AEB063"/>
    <w:multiLevelType w:val="hybridMultilevel"/>
    <w:lvl w:ilvl="0">
      <w:lvlJc w:val="left"/>
      <w:lvlText w:val="(%1)"/>
      <w:numFmt w:val="lowerLetter"/>
      <w:start w:val="5"/>
    </w:lvl>
  </w:abstractNum>
  <w:abstractNum w:abstractNumId="82">
    <w:nsid w:val="24E135"/>
    <w:multiLevelType w:val="hybridMultilevel"/>
    <w:lvl w:ilvl="0">
      <w:lvlJc w:val="left"/>
      <w:lvlText w:val="(%1)"/>
      <w:numFmt w:val="decimal"/>
      <w:start w:val="1"/>
    </w:lvl>
  </w:abstractNum>
  <w:abstractNum w:abstractNumId="83">
    <w:nsid w:val="BB13C1"/>
    <w:multiLevelType w:val="hybridMultilevel"/>
    <w:lvl w:ilvl="0">
      <w:lvlJc w:val="left"/>
      <w:lvlText w:val="*"/>
      <w:numFmt w:val="bullet"/>
      <w:start w:val="1"/>
    </w:lvl>
  </w:abstractNum>
  <w:abstractNum w:abstractNumId="84">
    <w:nsid w:val="271210C7"/>
    <w:multiLevelType w:val="hybridMultilevel"/>
    <w:lvl w:ilvl="0">
      <w:lvlJc w:val="left"/>
      <w:lvlText w:val="(%1)"/>
      <w:numFmt w:val="decimal"/>
      <w:start w:val="1"/>
    </w:lvl>
  </w:abstractNum>
  <w:abstractNum w:abstractNumId="85">
    <w:nsid w:val="217B22E4"/>
    <w:multiLevelType w:val="hybridMultilevel"/>
    <w:lvl w:ilvl="0">
      <w:lvlJc w:val="left"/>
      <w:lvlText w:val="(%1)"/>
      <w:numFmt w:val="lowerLetter"/>
      <w:start w:val="6"/>
    </w:lvl>
  </w:abstractNum>
  <w:abstractNum w:abstractNumId="86">
    <w:nsid w:val="53E31A24"/>
    <w:multiLevelType w:val="hybridMultilevel"/>
    <w:lvl w:ilvl="0">
      <w:lvlJc w:val="left"/>
      <w:lvlText w:val="1"/>
      <w:numFmt w:val="bullet"/>
      <w:start w:val="1"/>
    </w:lvl>
  </w:abstractNum>
  <w:abstractNum w:abstractNumId="87">
    <w:nsid w:val="6DC45E83"/>
    <w:multiLevelType w:val="hybridMultilevel"/>
    <w:lvl w:ilvl="0">
      <w:lvlJc w:val="left"/>
      <w:lvlText w:val="\emdash "/>
      <w:numFmt w:val="bullet"/>
      <w:start w:val="1"/>
    </w:lvl>
  </w:abstractNum>
  <w:abstractNum w:abstractNumId="88">
    <w:nsid w:val="17304A67"/>
    <w:multiLevelType w:val="hybridMultilevel"/>
    <w:lvl w:ilvl="0">
      <w:lvlJc w:val="left"/>
      <w:lvlText w:val="(%1)"/>
      <w:numFmt w:val="decimal"/>
      <w:start w:val="1"/>
    </w:lvl>
  </w:abstractNum>
  <w:abstractNum w:abstractNumId="89">
    <w:nsid w:val="2BB180D8"/>
    <w:multiLevelType w:val="hybridMultilevel"/>
    <w:lvl w:ilvl="0">
      <w:lvlJc w:val="left"/>
      <w:lvlText w:val="*"/>
      <w:numFmt w:val="bullet"/>
      <w:start w:val="1"/>
    </w:lvl>
  </w:abstractNum>
  <w:abstractNum w:abstractNumId="90">
    <w:nsid w:val="556B69ED"/>
    <w:multiLevelType w:val="hybridMultilevel"/>
    <w:lvl w:ilvl="0">
      <w:lvlJc w:val="left"/>
      <w:lvlText w:val="(%1)"/>
      <w:numFmt w:val="decimal"/>
      <w:start w:val="1"/>
    </w:lvl>
  </w:abstractNum>
  <w:abstractNum w:abstractNumId="91">
    <w:nsid w:val="70836196"/>
    <w:multiLevelType w:val="hybridMultilevel"/>
    <w:lvl w:ilvl="0">
      <w:lvlJc w:val="left"/>
      <w:lvlText w:val="*"/>
      <w:numFmt w:val="bullet"/>
      <w:start w:val="1"/>
    </w:lvl>
  </w:abstractNum>
  <w:abstractNum w:abstractNumId="92">
    <w:nsid w:val="539F7F12"/>
    <w:multiLevelType w:val="hybridMultilevel"/>
    <w:lvl w:ilvl="0">
      <w:lvlJc w:val="left"/>
      <w:lvlText w:val="(%1)"/>
      <w:numFmt w:val="lowerLetter"/>
      <w:start w:val="1"/>
    </w:lvl>
  </w:abstractNum>
  <w:abstractNum w:abstractNumId="93">
    <w:nsid w:val="2817E7EC"/>
    <w:multiLevelType w:val="hybridMultilevel"/>
    <w:lvl w:ilvl="0">
      <w:lvlJc w:val="left"/>
      <w:lvlText w:val="(%1)"/>
      <w:numFmt w:val="decimal"/>
      <w:start w:val="1"/>
    </w:lvl>
  </w:abstractNum>
  <w:abstractNum w:abstractNumId="94">
    <w:nsid w:val="71482545"/>
    <w:multiLevelType w:val="hybridMultilevel"/>
    <w:lvl w:ilvl="0">
      <w:lvlJc w:val="left"/>
      <w:lvlText w:val="(%1)"/>
      <w:numFmt w:val="lowerLetter"/>
      <w:start w:val="3"/>
    </w:lvl>
  </w:abstractNum>
  <w:abstractNum w:abstractNumId="95">
    <w:nsid w:val="17D78639"/>
    <w:multiLevelType w:val="hybridMultilevel"/>
    <w:lvl w:ilvl="0">
      <w:lvlJc w:val="left"/>
      <w:lvlText w:val="(%1)"/>
      <w:numFmt w:val="lowerLetter"/>
      <w:start w:val="5"/>
    </w:lvl>
  </w:abstractNum>
  <w:abstractNum w:abstractNumId="96">
    <w:nsid w:val="141D2302"/>
    <w:multiLevelType w:val="hybridMultilevel"/>
    <w:lvl w:ilvl="0">
      <w:lvlJc w:val="left"/>
      <w:lvlText w:val="(%1)"/>
      <w:numFmt w:val="decimal"/>
      <w:start w:val="1"/>
    </w:lvl>
  </w:abstractNum>
  <w:abstractNum w:abstractNumId="97">
    <w:nsid w:val="407168D8"/>
    <w:multiLevelType w:val="hybridMultilevel"/>
    <w:lvl w:ilvl="0">
      <w:lvlJc w:val="left"/>
      <w:lvlText w:val="*"/>
      <w:numFmt w:val="bullet"/>
      <w:start w:val="1"/>
    </w:lvl>
  </w:abstractNum>
  <w:abstractNum w:abstractNumId="98">
    <w:nsid w:val="6A1B45E5"/>
    <w:multiLevelType w:val="hybridMultilevel"/>
    <w:lvl w:ilvl="0">
      <w:lvlJc w:val="left"/>
      <w:lvlText w:val="(%1)"/>
      <w:numFmt w:val="decimal"/>
      <w:start w:val="1"/>
    </w:lvl>
  </w:abstractNum>
  <w:abstractNum w:abstractNumId="99">
    <w:nsid w:val="567BD50A"/>
    <w:multiLevelType w:val="hybridMultilevel"/>
    <w:lvl w:ilvl="0">
      <w:lvlJc w:val="left"/>
      <w:lvlText w:val="(%1)"/>
      <w:numFmt w:val="lowerLetter"/>
      <w:start w:val="6"/>
    </w:lvl>
  </w:abstractNum>
  <w:abstractNum w:abstractNumId="100">
    <w:nsid w:val="73BBD7F8"/>
    <w:multiLevelType w:val="hybridMultilevel"/>
    <w:lvl w:ilvl="0">
      <w:lvlJc w:val="left"/>
      <w:lvlText w:val="%1."/>
      <w:numFmt w:val="decimal"/>
      <w:start w:val="1"/>
    </w:lvl>
  </w:abstractNum>
  <w:abstractNum w:abstractNumId="101">
    <w:nsid w:val="1876589D"/>
    <w:multiLevelType w:val="hybridMultilevel"/>
    <w:lvl w:ilvl="0">
      <w:lvlJc w:val="left"/>
      <w:lvlText w:val="(%1)"/>
      <w:numFmt w:val="lowerLetter"/>
      <w:start w:val="1"/>
    </w:lvl>
  </w:abstractNum>
  <w:abstractNum w:abstractNumId="102">
    <w:nsid w:val="327FAC77"/>
    <w:multiLevelType w:val="hybridMultilevel"/>
    <w:lvl w:ilvl="0">
      <w:lvlJc w:val="left"/>
      <w:lvlText w:val="*"/>
      <w:numFmt w:val="bullet"/>
      <w:start w:val="1"/>
    </w:lvl>
  </w:abstractNum>
  <w:abstractNum w:abstractNumId="103">
    <w:nsid w:val="5A606509"/>
    <w:multiLevelType w:val="hybridMultilevel"/>
    <w:lvl w:ilvl="0">
      <w:lvlJc w:val="left"/>
      <w:lvlText w:val="(%1)"/>
      <w:numFmt w:val="decimal"/>
      <w:start w:val="1"/>
    </w:lvl>
  </w:abstractNum>
  <w:abstractNum w:abstractNumId="104">
    <w:nsid w:val="6F38E6D1"/>
    <w:multiLevelType w:val="hybridMultilevel"/>
    <w:lvl w:ilvl="0">
      <w:lvlJc w:val="left"/>
      <w:lvlText w:val="(%1)"/>
      <w:numFmt w:val="decimal"/>
      <w:start w:val="2"/>
    </w:lvl>
  </w:abstractNum>
  <w:abstractNum w:abstractNumId="105">
    <w:nsid w:val="46111BA5"/>
    <w:multiLevelType w:val="hybridMultilevel"/>
    <w:lvl w:ilvl="0">
      <w:lvlJc w:val="left"/>
      <w:lvlText w:val="(%1)"/>
      <w:numFmt w:val="decimal"/>
      <w:start w:val="1"/>
    </w:lvl>
    <w:lvl w:ilvl="1">
      <w:lvlJc w:val="left"/>
      <w:lvlText w:val="(%2)"/>
      <w:numFmt w:val="lowerRoman"/>
      <w:start w:val="1"/>
    </w:lvl>
  </w:abstractNum>
  <w:abstractNum w:abstractNumId="106">
    <w:nsid w:val="5E963896"/>
    <w:multiLevelType w:val="hybridMultilevel"/>
    <w:lvl w:ilvl="0">
      <w:lvlJc w:val="left"/>
      <w:lvlText w:val="(%1)"/>
      <w:numFmt w:val="lowerRoman"/>
      <w:start w:val="1"/>
    </w:lvl>
  </w:abstractNum>
  <w:abstractNum w:abstractNumId="107">
    <w:nsid w:val="775BA7C1"/>
    <w:multiLevelType w:val="hybridMultilevel"/>
    <w:lvl w:ilvl="0">
      <w:lvlJc w:val="left"/>
      <w:lvlText w:val="*"/>
      <w:numFmt w:val="bullet"/>
      <w:start w:val="1"/>
    </w:lvl>
  </w:abstractNum>
  <w:abstractNum w:abstractNumId="108">
    <w:nsid w:val="1DD6D6F4"/>
    <w:multiLevelType w:val="hybridMultilevel"/>
    <w:lvl w:ilvl="0">
      <w:lvlJc w:val="left"/>
      <w:lvlText w:val="(%1)"/>
      <w:numFmt w:val="decimal"/>
      <w:start w:val="1"/>
    </w:lvl>
  </w:abstractNum>
  <w:abstractNum w:abstractNumId="109">
    <w:nsid w:val="769A091F"/>
    <w:multiLevelType w:val="hybridMultilevel"/>
    <w:lvl w:ilvl="0">
      <w:lvlJc w:val="left"/>
      <w:lvlText w:val="(%1)"/>
      <w:numFmt w:val="decimal"/>
      <w:start w:val="3"/>
    </w:lvl>
  </w:abstractNum>
  <w:abstractNum w:abstractNumId="110">
    <w:nsid w:val="4695AE95"/>
    <w:multiLevelType w:val="hybridMultilevel"/>
    <w:lvl w:ilvl="0">
      <w:lvlJc w:val="left"/>
      <w:lvlText w:val="(%1)"/>
      <w:numFmt w:val="lowerRoman"/>
      <w:start w:val="1"/>
    </w:lvl>
  </w:abstractNum>
  <w:abstractNum w:abstractNumId="111">
    <w:nsid w:val="777A4EAA"/>
    <w:multiLevelType w:val="hybridMultilevel"/>
    <w:lvl w:ilvl="0">
      <w:lvlJc w:val="left"/>
      <w:lvlText w:val="(%1)"/>
      <w:numFmt w:val="decimal"/>
      <w:start w:val="1"/>
    </w:lvl>
  </w:abstractNum>
  <w:abstractNum w:abstractNumId="112">
    <w:nsid w:val="3F48B982"/>
    <w:multiLevelType w:val="hybridMultilevel"/>
    <w:lvl w:ilvl="0">
      <w:lvlJc w:val="left"/>
      <w:lvlText w:val="(%1)"/>
      <w:numFmt w:val="lowerLetter"/>
      <w:start w:val="1"/>
    </w:lvl>
  </w:abstractNum>
  <w:abstractNum w:abstractNumId="113">
    <w:nsid w:val="46BA8FCA"/>
    <w:multiLevelType w:val="hybridMultilevel"/>
    <w:lvl w:ilvl="0">
      <w:lvlJc w:val="left"/>
      <w:lvlText w:val="(%1)"/>
      <w:numFmt w:val="lowerLetter"/>
      <w:start w:val="6"/>
    </w:lvl>
  </w:abstractNum>
  <w:abstractNum w:abstractNumId="114">
    <w:nsid w:val="7835626C"/>
    <w:multiLevelType w:val="hybridMultilevel"/>
    <w:lvl w:ilvl="0">
      <w:lvlJc w:val="left"/>
      <w:lvlText w:val="(%1)"/>
      <w:numFmt w:val="decimal"/>
      <w:start w:val="2"/>
    </w:lvl>
  </w:abstractNum>
  <w:abstractNum w:abstractNumId="115">
    <w:nsid w:val="665ACA49"/>
    <w:multiLevelType w:val="hybridMultilevel"/>
    <w:lvl w:ilvl="0">
      <w:lvlJc w:val="left"/>
      <w:lvlText w:val="(%1)"/>
      <w:numFmt w:val="decimal"/>
      <w:start w:val="1"/>
    </w:lvl>
  </w:abstractNum>
  <w:abstractNum w:abstractNumId="116">
    <w:nsid w:val="6835B2AE"/>
    <w:multiLevelType w:val="hybridMultilevel"/>
    <w:lvl w:ilvl="0">
      <w:lvlJc w:val="left"/>
      <w:lvlText w:val="(%1)"/>
      <w:numFmt w:val="decimal"/>
      <w:start w:val="6"/>
    </w:lvl>
  </w:abstractNum>
  <w:abstractNum w:abstractNumId="117">
    <w:nsid w:val="4C187C90"/>
    <w:multiLevelType w:val="hybridMultilevel"/>
    <w:lvl w:ilvl="0">
      <w:lvlJc w:val="left"/>
      <w:lvlText w:val="(%1)"/>
      <w:numFmt w:val="decimal"/>
      <w:start w:val="15"/>
    </w:lvl>
  </w:abstractNum>
  <w:abstractNum w:abstractNumId="118">
    <w:nsid w:val="541F28CD"/>
    <w:multiLevelType w:val="hybridMultilevel"/>
    <w:lvl w:ilvl="0">
      <w:lvlJc w:val="left"/>
      <w:lvlText w:val="(%1)"/>
      <w:numFmt w:val="decimal"/>
      <w:start w:val="23"/>
    </w:lvl>
  </w:abstractNum>
  <w:abstractNum w:abstractNumId="119">
    <w:nsid w:val="7F65FD16"/>
    <w:multiLevelType w:val="hybridMultilevel"/>
    <w:lvl w:ilvl="0">
      <w:lvlJc w:val="left"/>
      <w:lvlText w:val="(%1)"/>
      <w:numFmt w:val="lowerLetter"/>
      <w:start w:val="9"/>
    </w:lvl>
    <w:lvl w:ilvl="1">
      <w:lvlJc w:val="left"/>
      <w:lvlText w:val="(%2)"/>
      <w:numFmt w:val="lowerLetter"/>
      <w:start w:val="1"/>
    </w:lvl>
  </w:abstractNum>
  <w:abstractNum w:abstractNumId="120">
    <w:nsid w:val="77C9FD68"/>
    <w:multiLevelType w:val="hybridMultilevel"/>
    <w:lvl w:ilvl="0">
      <w:lvlJc w:val="left"/>
      <w:lvlText w:val="(%1)"/>
      <w:numFmt w:val="lowerRoman"/>
      <w:start w:val="2"/>
    </w:lvl>
  </w:abstractNum>
  <w:abstractNum w:abstractNumId="121">
    <w:nsid w:val="298A92BA"/>
    <w:multiLevelType w:val="hybridMultilevel"/>
    <w:lvl w:ilvl="0">
      <w:lvlJc w:val="left"/>
      <w:lvlText w:val="(%1)"/>
      <w:numFmt w:val="lowerLetter"/>
      <w:start w:val="1"/>
    </w:lvl>
  </w:abstractNum>
  <w:abstractNum w:abstractNumId="122">
    <w:nsid w:val="6FE95EAC"/>
    <w:multiLevelType w:val="hybridMultilevel"/>
    <w:lvl w:ilvl="0">
      <w:lvlJc w:val="left"/>
      <w:lvlText w:val="(%1)"/>
      <w:numFmt w:val="lowerLetter"/>
      <w:start w:val="2"/>
    </w:lvl>
  </w:abstractNum>
  <w:abstractNum w:abstractNumId="123">
    <w:nsid w:val="4B697C7A"/>
    <w:multiLevelType w:val="hybridMultilevel"/>
    <w:lvl w:ilvl="0">
      <w:lvlJc w:val="left"/>
      <w:lvlText w:val="(%1)"/>
      <w:numFmt w:val="lowerRoman"/>
      <w:start w:val="2"/>
    </w:lvl>
  </w:abstractNum>
  <w:abstractNum w:abstractNumId="124">
    <w:nsid w:val="51A27AA6"/>
    <w:multiLevelType w:val="hybridMultilevel"/>
    <w:lvl w:ilvl="0">
      <w:lvlJc w:val="left"/>
      <w:lvlText w:val="(%1)"/>
      <w:numFmt w:val="lowerLetter"/>
      <w:start w:val="1"/>
    </w:lvl>
  </w:abstractNum>
  <w:abstractNum w:abstractNumId="125">
    <w:nsid w:val="613183F2"/>
    <w:multiLevelType w:val="hybridMultilevel"/>
    <w:lvl w:ilvl="0">
      <w:lvlJc w:val="left"/>
      <w:lvlText w:val="(%1)"/>
      <w:numFmt w:val="decimal"/>
      <w:start w:val="1"/>
    </w:lvl>
  </w:abstractNum>
  <w:abstractNum w:abstractNumId="126">
    <w:nsid w:val="634102B4"/>
    <w:multiLevelType w:val="hybridMultilevel"/>
    <w:lvl w:ilvl="0">
      <w:lvlJc w:val="left"/>
      <w:lvlText w:val="%1"/>
      <w:numFmt w:val="lowerLetter"/>
      <w:start w:val="1"/>
    </w:lvl>
    <w:lvl w:ilvl="1">
      <w:lvlJc w:val="left"/>
      <w:lvlText w:val="(%2)"/>
      <w:numFmt w:val="decimal"/>
      <w:start w:val="2"/>
    </w:lvl>
  </w:abstractNum>
  <w:abstractNum w:abstractNumId="127">
    <w:nsid w:val="65BF9DA8"/>
    <w:multiLevelType w:val="hybridMultilevel"/>
    <w:lvl w:ilvl="0">
      <w:lvlJc w:val="left"/>
      <w:lvlText w:val="(%1)"/>
      <w:numFmt w:val="lowerLetter"/>
      <w:start w:val="2"/>
    </w:lvl>
    <w:lvl w:ilvl="1">
      <w:lvlJc w:val="left"/>
      <w:lvlText w:val="%2"/>
      <w:numFmt w:val="decimal"/>
      <w:start w:val="1"/>
    </w:lvl>
  </w:abstractNum>
  <w:abstractNum w:abstractNumId="128">
    <w:nsid w:val="21A2ECCA"/>
    <w:multiLevelType w:val="hybridMultilevel"/>
    <w:lvl w:ilvl="0">
      <w:lvlJc w:val="left"/>
      <w:lvlText w:val="%1"/>
      <w:numFmt w:val="lowerLetter"/>
      <w:start w:val="1"/>
    </w:lvl>
    <w:lvl w:ilvl="1">
      <w:lvlJc w:val="left"/>
      <w:lvlText w:val="(%2)"/>
      <w:numFmt w:val="lowerLetter"/>
      <w:start w:val="1"/>
    </w:lvl>
  </w:abstractNum>
  <w:abstractNum w:abstractNumId="129">
    <w:nsid w:val="4D5C4899"/>
    <w:multiLevelType w:val="hybridMultilevel"/>
    <w:lvl w:ilvl="0">
      <w:lvlJc w:val="left"/>
      <w:lvlText w:val="(%1)"/>
      <w:numFmt w:val="lowerLetter"/>
      <w:start w:val="4"/>
    </w:lvl>
    <w:lvl w:ilvl="1">
      <w:lvlJc w:val="left"/>
      <w:lvlText w:val="(%2)"/>
      <w:numFmt w:val="lowerLetter"/>
      <w:start w:val="3"/>
    </w:lvl>
  </w:abstractNum>
  <w:abstractNum w:abstractNumId="130">
    <w:nsid w:val="3C3B72B2"/>
    <w:multiLevelType w:val="hybridMultilevel"/>
    <w:lvl w:ilvl="0">
      <w:lvlJc w:val="left"/>
      <w:lvlText w:val="(%1)"/>
      <w:numFmt w:val="lowerLetter"/>
      <w:start w:val="2"/>
    </w:lvl>
    <w:lvl w:ilvl="1">
      <w:lvlJc w:val="left"/>
      <w:lvlText w:val="(%2)"/>
      <w:numFmt w:val="lowerLetter"/>
      <w:start w:val="4"/>
    </w:lvl>
  </w:abstractNum>
  <w:abstractNum w:abstractNumId="131">
    <w:nsid w:val="155EC4C2"/>
    <w:multiLevelType w:val="hybridMultilevel"/>
    <w:lvl w:ilvl="0">
      <w:lvlJc w:val="left"/>
      <w:lvlText w:val="(%1)"/>
      <w:numFmt w:val="lowerLetter"/>
      <w:start w:val="1"/>
    </w:lvl>
  </w:abstractNum>
  <w:abstractNum w:abstractNumId="132">
    <w:nsid w:val="65D2A137"/>
    <w:multiLevelType w:val="hybridMultilevel"/>
    <w:lvl w:ilvl="0">
      <w:lvlJc w:val="left"/>
      <w:lvlText w:val="(%1)"/>
      <w:numFmt w:val="decimal"/>
      <w:start w:val="1"/>
    </w:lvl>
    <w:lvl w:ilvl="1">
      <w:lvlJc w:val="left"/>
      <w:lvlText w:val="(%2)"/>
      <w:numFmt w:val="upperLetter"/>
      <w:start w:val="1"/>
    </w:lvl>
  </w:abstractNum>
  <w:abstractNum w:abstractNumId="133">
    <w:nsid w:val="6EBB1F2A"/>
    <w:multiLevelType w:val="hybridMultilevel"/>
    <w:lvl w:ilvl="0">
      <w:lvlJc w:val="left"/>
      <w:lvlText w:val="(%1)"/>
      <w:numFmt w:val="decimal"/>
      <w:start w:val="2"/>
    </w:lvl>
  </w:abstractNum>
  <w:abstractNum w:abstractNumId="134">
    <w:nsid w:val="6FBF29CB"/>
    <w:multiLevelType w:val="hybridMultilevel"/>
    <w:lvl w:ilvl="0">
      <w:lvlJc w:val="left"/>
      <w:lvlText w:val="(%1)"/>
      <w:numFmt w:val="decimal"/>
      <w:start w:val="3"/>
    </w:lvl>
  </w:abstractNum>
  <w:abstractNum w:abstractNumId="135">
    <w:nsid w:val="550B8808"/>
    <w:multiLevelType w:val="hybridMultilevel"/>
    <w:lvl w:ilvl="0">
      <w:lvlJc w:val="left"/>
      <w:lvlText w:val="(%1)"/>
      <w:numFmt w:val="upperLetter"/>
      <w:start w:val="2"/>
    </w:lvl>
  </w:abstractNum>
  <w:abstractNum w:abstractNumId="136">
    <w:nsid w:val="34CC3ACF"/>
    <w:multiLevelType w:val="hybridMultilevel"/>
    <w:lvl w:ilvl="0">
      <w:lvlJc w:val="left"/>
      <w:lvlText w:val="(%1)"/>
      <w:numFmt w:val="decimal"/>
      <w:start w:val="1"/>
    </w:lvl>
  </w:abstractNum>
  <w:abstractNum w:abstractNumId="137">
    <w:nsid w:val="4E556261"/>
    <w:multiLevelType w:val="hybridMultilevel"/>
    <w:lvl w:ilvl="0">
      <w:lvlJc w:val="left"/>
      <w:lvlText w:val="(%1)"/>
      <w:numFmt w:val="decimal"/>
      <w:start w:val="5"/>
    </w:lvl>
    <w:lvl w:ilvl="1">
      <w:lvlJc w:val="left"/>
      <w:lvlText w:val="(%2)"/>
      <w:numFmt w:val="upperLetter"/>
      <w:start w:val="1"/>
    </w:lvl>
  </w:abstractNum>
  <w:abstractNum w:abstractNumId="138">
    <w:nsid w:val="4C672FC9"/>
    <w:multiLevelType w:val="hybridMultilevel"/>
    <w:lvl w:ilvl="0">
      <w:lvlJc w:val="left"/>
      <w:lvlText w:val="(%1)"/>
      <w:numFmt w:val="decimal"/>
      <w:start w:val="1"/>
    </w:lvl>
    <w:lvl w:ilvl="1">
      <w:lvlJc w:val="left"/>
      <w:lvlText w:val="(%2)"/>
      <w:numFmt w:val="upperLetter"/>
      <w:start w:val="1"/>
    </w:lvl>
  </w:abstractNum>
  <w:abstractNum w:abstractNumId="139">
    <w:nsid w:val="52A311C3"/>
    <w:multiLevelType w:val="hybridMultilevel"/>
    <w:lvl w:ilvl="0">
      <w:lvlJc w:val="left"/>
      <w:lvlText w:val="(%1)"/>
      <w:numFmt w:val="decimal"/>
      <w:start w:val="1"/>
    </w:lvl>
  </w:abstractNum>
  <w:abstractNum w:abstractNumId="140">
    <w:nsid w:val="44EF6B80"/>
    <w:multiLevelType w:val="hybridMultilevel"/>
    <w:lvl w:ilvl="0">
      <w:lvlJc w:val="left"/>
      <w:lvlText w:val="(%1)"/>
      <w:numFmt w:val="lowerRoman"/>
      <w:start w:val="1"/>
    </w:lvl>
  </w:abstractNum>
  <w:abstractNum w:abstractNumId="141">
    <w:nsid w:val="12FCDE5E"/>
    <w:multiLevelType w:val="hybridMultilevel"/>
    <w:lvl w:ilvl="0">
      <w:lvlJc w:val="left"/>
      <w:lvlText w:val="(%1)"/>
      <w:numFmt w:val="decimal"/>
      <w:start w:val="1"/>
    </w:lvl>
  </w:abstractNum>
  <w:abstractNum w:abstractNumId="142">
    <w:nsid w:val="4A1D606E"/>
    <w:multiLevelType w:val="hybridMultilevel"/>
    <w:lvl w:ilvl="0">
      <w:lvlJc w:val="left"/>
      <w:lvlText w:val="(%1)"/>
      <w:numFmt w:val="decimal"/>
      <w:start w:val="5"/>
    </w:lvl>
  </w:abstractNum>
  <w:abstractNum w:abstractNumId="143">
    <w:nsid w:val="4382503"/>
    <w:multiLevelType w:val="hybridMultilevel"/>
    <w:lvl w:ilvl="0">
      <w:lvlJc w:val="left"/>
      <w:lvlText w:val="(%1)"/>
      <w:numFmt w:val="decimal"/>
      <w:start w:val="1"/>
    </w:lvl>
  </w:abstractNum>
  <w:abstractNum w:abstractNumId="144">
    <w:nsid w:val="59B76E28"/>
    <w:multiLevelType w:val="hybridMultilevel"/>
    <w:lvl w:ilvl="0">
      <w:lvlJc w:val="left"/>
      <w:lvlText w:val="a"/>
      <w:numFmt w:val="bullet"/>
      <w:start w:val="1"/>
    </w:lvl>
    <w:lvl w:ilvl="1">
      <w:lvlJc w:val="left"/>
      <w:lvlText w:val="(%2)"/>
      <w:numFmt w:val="decimal"/>
      <w:start w:val="1"/>
    </w:lvl>
  </w:abstractNum>
  <w:abstractNum w:abstractNumId="145">
    <w:nsid w:val="4252C2DA"/>
    <w:multiLevelType w:val="hybridMultilevel"/>
    <w:lvl w:ilvl="0">
      <w:lvlJc w:val="left"/>
      <w:lvlText w:val="(%1)"/>
      <w:numFmt w:val="decimal"/>
      <w:start w:val="1"/>
    </w:lvl>
  </w:abstractNum>
  <w:abstractNum w:abstractNumId="146">
    <w:nsid w:val="6A92EF4C"/>
    <w:multiLevelType w:val="hybridMultilevel"/>
    <w:lvl w:ilvl="0">
      <w:lvlJc w:val="left"/>
      <w:lvlText w:val="(%1)"/>
      <w:numFmt w:val="decimal"/>
      <w:start w:val="8"/>
    </w:lvl>
  </w:abstractNum>
  <w:abstractNum w:abstractNumId="147">
    <w:nsid w:val="41ED20D7"/>
    <w:multiLevelType w:val="hybridMultilevel"/>
    <w:lvl w:ilvl="0">
      <w:lvlJc w:val="left"/>
      <w:lvlText w:val="(%1)"/>
      <w:numFmt w:val="decimal"/>
      <w:start w:val="1"/>
    </w:lvl>
  </w:abstractNum>
  <w:abstractNum w:abstractNumId="148">
    <w:nsid w:val="E6B3F6A"/>
    <w:multiLevelType w:val="hybridMultilevel"/>
    <w:lvl w:ilvl="0">
      <w:lvlJc w:val="left"/>
      <w:lvlText w:val="(%1)"/>
      <w:numFmt w:val="decimal"/>
      <w:start w:val="2"/>
    </w:lvl>
  </w:abstractNum>
  <w:abstractNum w:abstractNumId="149">
    <w:nsid w:val="3EB21819"/>
    <w:multiLevelType w:val="hybridMultilevel"/>
    <w:lvl w:ilvl="0">
      <w:lvlJc w:val="left"/>
      <w:lvlText w:val="(%1)"/>
      <w:numFmt w:val="lowerLetter"/>
      <w:start w:val="1"/>
    </w:lvl>
  </w:abstractNum>
  <w:abstractNum w:abstractNumId="150">
    <w:nsid w:val="41531DED"/>
    <w:multiLevelType w:val="hybridMultilevel"/>
    <w:lvl w:ilvl="0">
      <w:lvlJc w:val="left"/>
      <w:lvlText w:val="(%1)"/>
      <w:numFmt w:val="lowerLetter"/>
      <w:start w:val="2"/>
    </w:lvl>
    <w:lvl w:ilvl="1">
      <w:lvlJc w:val="left"/>
      <w:lvlText w:val="(%2)"/>
      <w:numFmt w:val="decimal"/>
      <w:start w:val="1"/>
    </w:lvl>
  </w:abstractNum>
  <w:abstractNum w:abstractNumId="151">
    <w:nsid w:val="6353CD2"/>
    <w:multiLevelType w:val="hybridMultilevel"/>
    <w:lvl w:ilvl="0">
      <w:lvlJc w:val="left"/>
      <w:lvlText w:val="(%1)"/>
      <w:numFmt w:val="lowerLetter"/>
      <w:start w:val="5"/>
    </w:lvl>
  </w:abstractNum>
  <w:abstractNum w:abstractNumId="152">
    <w:nsid w:val="683CAAD3"/>
    <w:multiLevelType w:val="hybridMultilevel"/>
    <w:lvl w:ilvl="0">
      <w:lvlJc w:val="left"/>
      <w:lvlText w:val="(%1)"/>
      <w:numFmt w:val="lowerLetter"/>
      <w:start w:val="7"/>
    </w:lvl>
  </w:abstractNum>
  <w:abstractNum w:abstractNumId="153">
    <w:nsid w:val="313C7C99"/>
    <w:multiLevelType w:val="hybridMultilevel"/>
    <w:lvl w:ilvl="0">
      <w:lvlJc w:val="left"/>
      <w:lvlText w:val="(%1)"/>
      <w:numFmt w:val="lowerLetter"/>
      <w:start w:val="1"/>
    </w:lvl>
  </w:abstractNum>
  <w:abstractNum w:abstractNumId="154">
    <w:nsid w:val="519EB94C"/>
    <w:multiLevelType w:val="hybridMultilevel"/>
    <w:lvl w:ilvl="0">
      <w:lvlJc w:val="left"/>
      <w:lvlText w:val="(%1)"/>
      <w:numFmt w:val="lowerLetter"/>
      <w:start w:val="3"/>
    </w:lvl>
  </w:abstractNum>
  <w:abstractNum w:abstractNumId="155">
    <w:nsid w:val="39DF2579"/>
    <w:multiLevelType w:val="hybridMultilevel"/>
    <w:lvl w:ilvl="0">
      <w:lvlJc w:val="left"/>
      <w:lvlText w:val="(%1)"/>
      <w:numFmt w:val="lowerLetter"/>
      <w:start w:val="1"/>
    </w:lvl>
  </w:abstractNum>
  <w:abstractNum w:abstractNumId="156">
    <w:nsid w:val="126E008B"/>
    <w:multiLevelType w:val="hybridMultilevel"/>
    <w:lvl w:ilvl="0">
      <w:lvlJc w:val="left"/>
      <w:lvlText w:val="(%1)"/>
      <w:numFmt w:val="decimal"/>
      <w:start w:val="1"/>
    </w:lvl>
  </w:abstractNum>
  <w:abstractNum w:abstractNumId="157">
    <w:nsid w:val="34DFBC00"/>
    <w:multiLevelType w:val="hybridMultilevel"/>
    <w:lvl w:ilvl="0">
      <w:lvlJc w:val="left"/>
      <w:lvlText w:val="(%1)"/>
      <w:numFmt w:val="decimal"/>
      <w:start w:val="2"/>
    </w:lvl>
  </w:abstractNum>
  <w:abstractNum w:abstractNumId="158">
    <w:nsid w:val="1F9EC322"/>
    <w:multiLevelType w:val="hybridMultilevel"/>
    <w:lvl w:ilvl="0">
      <w:lvlJc w:val="left"/>
      <w:lvlText w:val="(%1)"/>
      <w:numFmt w:val="decimal"/>
      <w:start w:val="2"/>
    </w:lvl>
  </w:abstractNum>
  <w:abstractNum w:abstractNumId="159">
    <w:nsid w:val="3410ED56"/>
    <w:multiLevelType w:val="hybridMultilevel"/>
    <w:lvl w:ilvl="0">
      <w:lvlJc w:val="left"/>
      <w:lvlText w:val="(%1)"/>
      <w:numFmt w:val="decimal"/>
      <w:start w:val="1"/>
    </w:lvl>
  </w:abstractNum>
  <w:abstractNum w:abstractNumId="160">
    <w:nsid w:val="23C049A"/>
    <w:multiLevelType w:val="hybridMultilevel"/>
    <w:lvl w:ilvl="0">
      <w:lvlJc w:val="left"/>
      <w:lvlText w:val="(%1)"/>
      <w:numFmt w:val="decimal"/>
      <w:start w:val="1"/>
    </w:lvl>
  </w:abstractNum>
  <w:abstractNum w:abstractNumId="161">
    <w:nsid w:val="5BDA35D4"/>
    <w:multiLevelType w:val="hybridMultilevel"/>
    <w:lvl w:ilvl="0">
      <w:lvlJc w:val="left"/>
      <w:lvlText w:val="(%1)"/>
      <w:numFmt w:val="decimal"/>
      <w:start w:val="5"/>
    </w:lvl>
  </w:abstractNum>
  <w:abstractNum w:abstractNumId="162">
    <w:nsid w:val="496FB218"/>
    <w:multiLevelType w:val="hybridMultilevel"/>
    <w:lvl w:ilvl="0">
      <w:lvlJc w:val="left"/>
      <w:lvlText w:val="(%1)"/>
      <w:numFmt w:val="decimal"/>
      <w:start w:val="1"/>
    </w:lvl>
  </w:abstractNum>
  <w:abstractNum w:abstractNumId="163">
    <w:nsid w:val="680EA5D1"/>
    <w:multiLevelType w:val="hybridMultilevel"/>
    <w:lvl w:ilvl="0">
      <w:lvlJc w:val="left"/>
      <w:lvlText w:val="(%1)"/>
      <w:numFmt w:val="decimal"/>
      <w:start w:val="2"/>
    </w:lvl>
  </w:abstractNum>
  <w:abstractNum w:abstractNumId="164">
    <w:nsid w:val="4A9554FE"/>
    <w:multiLevelType w:val="hybridMultilevel"/>
    <w:lvl w:ilvl="0">
      <w:lvlJc w:val="left"/>
      <w:lvlText w:val="%1"/>
      <w:numFmt w:val="lowerLetter"/>
      <w:start w:val="1"/>
    </w:lvl>
    <w:lvl w:ilvl="1">
      <w:lvlJc w:val="left"/>
      <w:lvlText w:val="(%2)"/>
      <w:numFmt w:val="lowerLetter"/>
      <w:start w:val="1"/>
    </w:lvl>
  </w:abstractNum>
  <w:abstractNum w:abstractNumId="165">
    <w:nsid w:val="392EDBE4"/>
    <w:multiLevelType w:val="hybridMultilevel"/>
    <w:lvl w:ilvl="0">
      <w:lvlJc w:val="left"/>
      <w:lvlText w:val="(%1)"/>
      <w:numFmt w:val="lowerLetter"/>
      <w:start w:val="1"/>
    </w:lvl>
    <w:lvl w:ilvl="1">
      <w:lvlJc w:val="left"/>
      <w:lvlText w:val="%2"/>
      <w:numFmt w:val="lowerLetter"/>
      <w:start w:val="1"/>
    </w:lvl>
  </w:abstractNum>
  <w:abstractNum w:abstractNumId="166">
    <w:nsid w:val="3D1A2DD9"/>
    <w:multiLevelType w:val="hybridMultilevel"/>
    <w:lvl w:ilvl="0">
      <w:lvlJc w:val="left"/>
      <w:lvlText w:val="%1."/>
      <w:numFmt w:val="decimal"/>
      <w:start w:val="1"/>
    </w:lvl>
  </w:abstractNum>
  <w:abstractNum w:abstractNumId="167">
    <w:nsid w:val="7F618FCD"/>
    <w:multiLevelType w:val="hybridMultilevel"/>
    <w:lvl w:ilvl="0">
      <w:lvlJc w:val="left"/>
      <w:lvlText w:val="%1."/>
      <w:numFmt w:val="decimal"/>
      <w:start w:val="19"/>
    </w:lvl>
  </w:abstractNum>
  <w:abstractNum w:abstractNumId="168">
    <w:nsid w:val="7843E45"/>
    <w:multiLevelType w:val="hybridMultilevel"/>
    <w:lvl w:ilvl="0">
      <w:lvlJc w:val="left"/>
      <w:lvlText w:val="(%1)"/>
      <w:numFmt w:val="decimal"/>
      <w:start w:val="1"/>
    </w:lvl>
  </w:abstractNum>
  <w:abstractNum w:abstractNumId="169">
    <w:nsid w:val="9815DA3"/>
    <w:multiLevelType w:val="hybridMultilevel"/>
    <w:lvl w:ilvl="0">
      <w:lvlJc w:val="left"/>
      <w:lvlText w:val="(%1)"/>
      <w:numFmt w:val="decimal"/>
      <w:start w:val="6"/>
    </w:lvl>
  </w:abstractNum>
  <w:abstractNum w:abstractNumId="170">
    <w:nsid w:val="5204A191"/>
    <w:multiLevelType w:val="hybridMultilevel"/>
    <w:lvl w:ilvl="0">
      <w:lvlJc w:val="left"/>
      <w:lvlText w:val="(%1)"/>
      <w:numFmt w:val="lowerLetter"/>
      <w:start w:val="1"/>
    </w:lvl>
  </w:abstractNum>
  <w:abstractNum w:abstractNumId="171">
    <w:nsid w:val="4C73A9C6"/>
    <w:multiLevelType w:val="hybridMultilevel"/>
    <w:lvl w:ilvl="0">
      <w:lvlJc w:val="left"/>
      <w:lvlText w:val="(%1)"/>
      <w:numFmt w:val="lowerLetter"/>
      <w:start w:val="6"/>
    </w:lvl>
  </w:abstractNum>
  <w:abstractNum w:abstractNumId="172">
    <w:nsid w:val="1C7E3C01"/>
    <w:multiLevelType w:val="hybridMultilevel"/>
    <w:lvl w:ilvl="0">
      <w:lvlJc w:val="left"/>
      <w:lvlText w:val="(%1)"/>
      <w:numFmt w:val="lowerLetter"/>
      <w:start w:val="7"/>
    </w:lvl>
  </w:abstractNum>
  <w:abstractNum w:abstractNumId="173">
    <w:nsid w:val="1C2201FF"/>
    <w:multiLevelType w:val="hybridMultilevel"/>
    <w:lvl w:ilvl="0">
      <w:lvlJc w:val="left"/>
      <w:lvlText w:val="%1"/>
      <w:numFmt w:val="lowerLetter"/>
      <w:start w:val="1"/>
    </w:lvl>
    <w:lvl w:ilvl="1">
      <w:lvlJc w:val="left"/>
      <w:lvlText w:val="(%2)"/>
      <w:numFmt w:val="lowerLetter"/>
      <w:start w:val="1"/>
    </w:lvl>
  </w:abstractNum>
  <w:abstractNum w:abstractNumId="174">
    <w:nsid w:val="50ABCEC9"/>
    <w:multiLevelType w:val="hybridMultilevel"/>
    <w:lvl w:ilvl="0">
      <w:lvlJc w:val="left"/>
      <w:lvlText w:val="(%1)"/>
      <w:numFmt w:val="lowerLetter"/>
      <w:start w:val="1"/>
    </w:lvl>
    <w:lvl w:ilvl="1">
      <w:lvlJc w:val="left"/>
      <w:lvlText w:val="%2"/>
      <w:numFmt w:val="lowerLetter"/>
      <w:start w:val="1"/>
    </w:lvl>
  </w:abstractNum>
  <w:abstractNum w:abstractNumId="175">
    <w:nsid w:val="7635AA2A"/>
    <w:multiLevelType w:val="hybridMultilevel"/>
    <w:lvl w:ilvl="0">
      <w:lvlJc w:val="left"/>
      <w:lvlText w:val="(%1)"/>
      <w:numFmt w:val="lowerRoman"/>
      <w:start w:val="1"/>
    </w:lvl>
  </w:abstractNum>
  <w:abstractNum w:abstractNumId="176">
    <w:nsid w:val="5E74C4D9"/>
    <w:multiLevelType w:val="hybridMultilevel"/>
    <w:lvl w:ilvl="0">
      <w:lvlJc w:val="left"/>
      <w:lvlText w:val="(%1)"/>
      <w:numFmt w:val="lowerLetter"/>
      <w:start w:val="1"/>
    </w:lvl>
  </w:abstractNum>
  <w:abstractNum w:abstractNumId="177">
    <w:nsid w:val="3B3EBE15"/>
    <w:multiLevelType w:val="hybridMultilevel"/>
    <w:lvl w:ilvl="0">
      <w:lvlJc w:val="left"/>
      <w:lvlText w:val="(%1)"/>
      <w:numFmt w:val="lowerLetter"/>
      <w:start w:val="2"/>
    </w:lvl>
  </w:abstractNum>
  <w:abstractNum w:abstractNumId="178">
    <w:nsid w:val="3822CB01"/>
    <w:multiLevelType w:val="hybridMultilevel"/>
    <w:lvl w:ilvl="0">
      <w:lvlJc w:val="left"/>
      <w:lvlText w:val="(%1)"/>
      <w:numFmt w:val="lowerLetter"/>
      <w:start w:val="1"/>
    </w:lvl>
  </w:abstractNum>
  <w:abstractNum w:abstractNumId="179">
    <w:nsid w:val="6CE00443"/>
    <w:multiLevelType w:val="hybridMultilevel"/>
    <w:lvl w:ilvl="0">
      <w:lvlJc w:val="left"/>
      <w:lvlText w:val="(%1)"/>
      <w:numFmt w:val="lowerLetter"/>
      <w:start w:val="1"/>
    </w:lvl>
  </w:abstractNum>
  <w:abstractNum w:abstractNumId="180">
    <w:nsid w:val="79F0D62F"/>
    <w:multiLevelType w:val="hybridMultilevel"/>
    <w:lvl w:ilvl="0">
      <w:lvlJc w:val="left"/>
      <w:lvlText w:val="["/>
      <w:numFmt w:val="bullet"/>
      <w:start w:val="1"/>
    </w:lvl>
  </w:abstractNum>
  <w:abstractNum w:abstractNumId="181">
    <w:nsid w:val="7975E8EE"/>
    <w:multiLevelType w:val="hybridMultilevel"/>
    <w:lvl w:ilvl="0">
      <w:lvlJc w:val="left"/>
      <w:lvlText w:val="%1."/>
      <w:numFmt w:val="decimal"/>
      <w:start w:val="1"/>
    </w:lvl>
  </w:abstractNum>
  <w:abstractNum w:abstractNumId="182">
    <w:nsid w:val="73154115"/>
    <w:multiLevelType w:val="hybridMultilevel"/>
    <w:lvl w:ilvl="0">
      <w:lvlJc w:val="left"/>
      <w:lvlText w:val="%1."/>
      <w:numFmt w:val="decimal"/>
      <w:start w:val="2"/>
    </w:lvl>
  </w:abstractNum>
  <w:abstractNum w:abstractNumId="183">
    <w:nsid w:val="622D8102"/>
    <w:multiLevelType w:val="hybridMultilevel"/>
    <w:lvl w:ilvl="0">
      <w:lvlJc w:val="left"/>
      <w:lvlText w:val="%1."/>
      <w:numFmt w:val="decimal"/>
      <w:start w:val="3"/>
    </w:lvl>
    <w:lvl w:ilvl="1">
      <w:lvlJc w:val="left"/>
      <w:lvlText w:val="%2."/>
      <w:numFmt w:val="upperLetter"/>
      <w:start w:val="1"/>
    </w:lvl>
  </w:abstractNum>
  <w:abstractNum w:abstractNumId="184">
    <w:nsid w:val="2AB26587"/>
    <w:multiLevelType w:val="hybridMultilevel"/>
    <w:lvl w:ilvl="0">
      <w:lvlJc w:val="left"/>
      <w:lvlText w:val="%1."/>
      <w:numFmt w:val="upperLetter"/>
      <w:start w:val="3"/>
    </w:lvl>
  </w:abstractNum>
  <w:abstractNum w:abstractNumId="185">
    <w:nsid w:val="44B3FA61"/>
    <w:multiLevelType w:val="hybridMultilevel"/>
    <w:lvl w:ilvl="0">
      <w:lvlJc w:val="left"/>
      <w:lvlText w:val="%1"/>
      <w:numFmt w:val="decimal"/>
      <w:start w:val="1"/>
    </w:lvl>
    <w:lvl w:ilvl="1">
      <w:lvlJc w:val="left"/>
      <w:lvlText w:val="%2."/>
      <w:numFmt w:val="upperLetter"/>
      <w:start w:val="5"/>
    </w:lvl>
  </w:abstractNum>
  <w:abstractNum w:abstractNumId="186">
    <w:nsid w:val="1C0CA67C"/>
    <w:multiLevelType w:val="hybridMultilevel"/>
    <w:lvl w:ilvl="0">
      <w:lvlJc w:val="left"/>
      <w:lvlText w:val="%1."/>
      <w:numFmt w:val="decimal"/>
      <w:start w:val="4"/>
    </w:lvl>
    <w:lvl w:ilvl="1">
      <w:lvlJc w:val="left"/>
      <w:lvlText w:val="%2"/>
      <w:numFmt w:val="upperLetter"/>
      <w:start w:val="1"/>
    </w:lvl>
  </w:abstractNum>
  <w:abstractNum w:abstractNumId="187">
    <w:nsid w:val="3D206613"/>
    <w:multiLevelType w:val="hybridMultilevel"/>
    <w:lvl w:ilvl="0">
      <w:lvlJc w:val="left"/>
      <w:lvlText w:val="%1."/>
      <w:numFmt w:val="decimal"/>
      <w:start w:val="5"/>
    </w:lvl>
    <w:lvl w:ilvl="1">
      <w:lvlJc w:val="left"/>
      <w:lvlText w:val="%2."/>
      <w:numFmt w:val="upperLetter"/>
      <w:start w:val="1"/>
    </w:lvl>
  </w:abstractNum>
  <w:abstractNum w:abstractNumId="188">
    <w:nsid w:val="7993B662"/>
    <w:multiLevelType w:val="hybridMultilevel"/>
    <w:lvl w:ilvl="0">
      <w:lvlJc w:val="left"/>
      <w:lvlText w:val="%1."/>
      <w:numFmt w:val="upperLetter"/>
      <w:start w:val="2"/>
    </w:lvl>
  </w:abstractNum>
  <w:abstractNum w:abstractNumId="189">
    <w:nsid w:val="3BAB699E"/>
    <w:multiLevelType w:val="hybridMultilevel"/>
    <w:lvl w:ilvl="0">
      <w:lvlJc w:val="left"/>
      <w:lvlText w:val="%1."/>
      <w:numFmt w:val="upperLetter"/>
      <w:start w:val="4"/>
    </w:lvl>
  </w:abstractNum>
  <w:abstractNum w:abstractNumId="190">
    <w:nsid w:val="71315369"/>
    <w:multiLevelType w:val="hybridMultilevel"/>
    <w:lvl w:ilvl="0">
      <w:lvlJc w:val="left"/>
      <w:lvlText w:val="%1."/>
      <w:numFmt w:val="decimal"/>
      <w:start w:val="6"/>
    </w:lvl>
  </w:abstractNum>
  <w:abstractNum w:abstractNumId="191">
    <w:nsid w:val="7BCFBAFC"/>
    <w:multiLevelType w:val="hybridMultilevel"/>
    <w:lvl w:ilvl="0">
      <w:lvlJc w:val="left"/>
      <w:lvlText w:val="%1."/>
      <w:numFmt w:val="decimal"/>
      <w:start w:val="7"/>
    </w:lvl>
  </w:abstractNum>
  <w:abstractNum w:abstractNumId="192">
    <w:nsid w:val="17859F72"/>
    <w:multiLevelType w:val="hybridMultilevel"/>
    <w:lvl w:ilvl="0">
      <w:lvlJc w:val="left"/>
      <w:lvlText w:val="%1."/>
      <w:numFmt w:val="decimal"/>
      <w:start w:val="8"/>
    </w:lvl>
  </w:abstractNum>
  <w:abstractNum w:abstractNumId="193">
    <w:nsid w:val="3AA10581"/>
    <w:multiLevelType w:val="hybridMultilevel"/>
    <w:lvl w:ilvl="0">
      <w:lvlJc w:val="left"/>
      <w:lvlText w:val="%1."/>
      <w:numFmt w:val="upperLetter"/>
      <w:start w:val="2"/>
    </w:lvl>
  </w:abstractNum>
  <w:abstractNum w:abstractNumId="194">
    <w:nsid w:val="63DE60CD"/>
    <w:multiLevelType w:val="hybridMultilevel"/>
    <w:lvl w:ilvl="0">
      <w:lvlJc w:val="left"/>
      <w:lvlText w:val="%1."/>
      <w:numFmt w:val="decimal"/>
      <w:start w:val="9"/>
    </w:lvl>
  </w:abstractNum>
  <w:abstractNum w:abstractNumId="195">
    <w:nsid w:val="621AF471"/>
    <w:multiLevelType w:val="hybridMultilevel"/>
    <w:lvl w:ilvl="0">
      <w:lvlJc w:val="left"/>
      <w:lvlText w:val="(%1)"/>
      <w:numFmt w:val="lowerRoman"/>
      <w:start w:val="1"/>
    </w:lvl>
  </w:abstractNum>
  <w:abstractNum w:abstractNumId="196">
    <w:nsid w:val="73CFE165"/>
    <w:multiLevelType w:val="hybridMultilevel"/>
    <w:lvl w:ilvl="0">
      <w:lvlJc w:val="left"/>
      <w:lvlText w:val="(%1)"/>
      <w:numFmt w:val="lowerRoman"/>
      <w:start w:val="5"/>
    </w:lvl>
  </w:abstractNum>
  <w:abstractNum w:abstractNumId="197">
    <w:nsid w:val="20F88EA6"/>
    <w:multiLevelType w:val="hybridMultilevel"/>
    <w:lvl w:ilvl="0">
      <w:lvlJc w:val="left"/>
      <w:lvlText w:val="%1."/>
      <w:numFmt w:val="decimal"/>
      <w:start w:val="10"/>
    </w:lvl>
  </w:abstractNum>
  <w:abstractNum w:abstractNumId="198">
    <w:nsid w:val="617C843E"/>
    <w:multiLevelType w:val="hybridMultilevel"/>
    <w:lvl w:ilvl="0">
      <w:lvlJc w:val="left"/>
      <w:lvlText w:val="%1."/>
      <w:numFmt w:val="decimal"/>
      <w:start w:val="11"/>
    </w:lvl>
  </w:abstractNum>
  <w:abstractNum w:abstractNumId="199">
    <w:nsid w:val="7B541FAB"/>
    <w:multiLevelType w:val="hybridMultilevel"/>
    <w:lvl w:ilvl="0">
      <w:lvlJc w:val="left"/>
      <w:lvlText w:val="%1."/>
      <w:numFmt w:val="decimal"/>
      <w:start w:val="12"/>
    </w:lvl>
    <w:lvl w:ilvl="1">
      <w:lvlJc w:val="left"/>
      <w:lvlText w:val="%2."/>
      <w:numFmt w:val="upperLetter"/>
      <w:start w:val="1"/>
    </w:lvl>
  </w:abstractNum>
  <w:abstractNum w:abstractNumId="200">
    <w:nsid w:val="2A79EC49"/>
    <w:multiLevelType w:val="hybridMultilevel"/>
    <w:lvl w:ilvl="0">
      <w:lvlJc w:val="left"/>
      <w:lvlText w:val="%1."/>
      <w:numFmt w:val="upperLetter"/>
      <w:start w:val="3"/>
    </w:lvl>
  </w:abstractNum>
  <w:abstractNum w:abstractNumId="201">
    <w:nsid w:val="338125CF"/>
    <w:multiLevelType w:val="hybridMultilevel"/>
    <w:lvl w:ilvl="0">
      <w:lvlJc w:val="left"/>
      <w:lvlText w:val="%1."/>
      <w:numFmt w:val="decimal"/>
      <w:start w:val="13"/>
    </w:lvl>
    <w:lvl w:ilvl="1">
      <w:lvlJc w:val="left"/>
      <w:lvlText w:val="%2."/>
      <w:numFmt w:val="upperLetter"/>
      <w:start w:val="1"/>
    </w:lvl>
  </w:abstractNum>
  <w:abstractNum w:abstractNumId="202">
    <w:nsid w:val="47C7C971"/>
    <w:multiLevelType w:val="hybridMultilevel"/>
    <w:lvl w:ilvl="0">
      <w:lvlJc w:val="left"/>
      <w:lvlText w:val="%1."/>
      <w:numFmt w:val="decimal"/>
      <w:start w:val="15"/>
    </w:lvl>
  </w:abstractNum>
  <w:abstractNum w:abstractNumId="203">
    <w:nsid w:val="46F8284B"/>
    <w:multiLevelType w:val="hybridMultilevel"/>
    <w:lvl w:ilvl="0">
      <w:lvlJc w:val="left"/>
      <w:lvlText w:val="%1."/>
      <w:numFmt w:val="decimal"/>
      <w:start w:val="16"/>
    </w:lvl>
  </w:abstractNum>
  <w:abstractNum w:abstractNumId="204">
    <w:nsid w:val="4FA327CE"/>
    <w:multiLevelType w:val="hybridMultilevel"/>
    <w:lvl w:ilvl="0">
      <w:lvlJc w:val="left"/>
      <w:lvlText w:val="%1."/>
      <w:numFmt w:val="decimal"/>
      <w:start w:val="17"/>
    </w:lvl>
  </w:abstractNum>
  <w:abstractNum w:abstractNumId="205">
    <w:nsid w:val="1873983A"/>
    <w:multiLevelType w:val="hybridMultilevel"/>
    <w:lvl w:ilvl="0">
      <w:lvlJc w:val="left"/>
      <w:lvlText w:val="%1."/>
      <w:numFmt w:val="decimal"/>
      <w:start w:val="18"/>
    </w:lvl>
  </w:abstractNum>
  <w:abstractNum w:abstractNumId="206">
    <w:nsid w:val="3D2DD275"/>
    <w:multiLevelType w:val="hybridMultilevel"/>
    <w:lvl w:ilvl="0">
      <w:lvlJc w:val="left"/>
      <w:lvlText w:val="%1."/>
      <w:numFmt w:val="decimal"/>
      <w:start w:val="19"/>
    </w:lvl>
    <w:lvl w:ilvl="1">
      <w:lvlJc w:val="left"/>
      <w:lvlText w:val="%2."/>
      <w:numFmt w:val="upperLetter"/>
      <w:start w:val="1"/>
    </w:lvl>
  </w:abstractNum>
  <w:abstractNum w:abstractNumId="207">
    <w:nsid w:val="2E17ECA7"/>
    <w:multiLevelType w:val="hybridMultilevel"/>
    <w:lvl w:ilvl="0">
      <w:lvlJc w:val="left"/>
      <w:lvlText w:val="%1"/>
      <w:numFmt w:val="decimal"/>
      <w:start w:val="1"/>
    </w:lvl>
    <w:lvl w:ilvl="1">
      <w:lvlJc w:val="left"/>
      <w:lvlText w:val="%2."/>
      <w:numFmt w:val="upperLetter"/>
      <w:start w:val="3"/>
    </w:lvl>
  </w:abstractNum>
  <w:abstractNum w:abstractNumId="208">
    <w:nsid w:val="53B2564F"/>
    <w:multiLevelType w:val="hybridMultilevel"/>
    <w:lvl w:ilvl="0">
      <w:lvlJc w:val="left"/>
      <w:lvlText w:val="%1."/>
      <w:numFmt w:val="decimal"/>
      <w:start w:val="20"/>
    </w:lvl>
    <w:lvl w:ilvl="1">
      <w:lvlJc w:val="left"/>
      <w:lvlText w:val="%2"/>
      <w:numFmt w:val="upperLetter"/>
      <w:start w:val="1"/>
    </w:lvl>
  </w:abstractNum>
  <w:abstractNum w:abstractNumId="209">
    <w:nsid w:val="75509D76"/>
    <w:multiLevelType w:val="hybridMultilevel"/>
    <w:lvl w:ilvl="0">
      <w:lvlJc w:val="left"/>
      <w:lvlText w:val="%1."/>
      <w:numFmt w:val="decimal"/>
      <w:start w:val="21"/>
    </w:lvl>
  </w:abstractNum>
  <w:abstractNum w:abstractNumId="210">
    <w:nsid w:val="1AF7F0EA"/>
    <w:multiLevelType w:val="hybridMultilevel"/>
    <w:lvl w:ilvl="0">
      <w:lvlJc w:val="left"/>
      <w:lvlText w:val="%1."/>
      <w:numFmt w:val="decimal"/>
      <w:start w:val="22"/>
    </w:lvl>
  </w:abstractNum>
  <w:abstractNum w:abstractNumId="211">
    <w:nsid w:val="4DA32C7E"/>
    <w:multiLevelType w:val="hybridMultilevel"/>
    <w:lvl w:ilvl="0">
      <w:lvlJc w:val="left"/>
      <w:lvlText w:val="%1."/>
      <w:numFmt w:val="decimal"/>
      <w:start w:val="23"/>
    </w:lvl>
  </w:abstractNum>
  <w:abstractNum w:abstractNumId="212">
    <w:nsid w:val="6EC68664"/>
    <w:multiLevelType w:val="hybridMultilevel"/>
    <w:lvl w:ilvl="0">
      <w:lvlJc w:val="left"/>
      <w:lvlText w:val="%1."/>
      <w:numFmt w:val="decimal"/>
      <w:start w:val="24"/>
    </w:lvl>
  </w:abstractNum>
  <w:abstractNum w:abstractNumId="213">
    <w:nsid w:val="E0D31FF"/>
    <w:multiLevelType w:val="hybridMultilevel"/>
    <w:lvl w:ilvl="0">
      <w:lvlJc w:val="left"/>
      <w:lvlText w:val="%1."/>
      <w:numFmt w:val="decimal"/>
      <w:start w:val="25"/>
    </w:lvl>
  </w:abstractNum>
  <w:abstractNum w:abstractNumId="214">
    <w:nsid w:val="2FD0AD81"/>
    <w:multiLevelType w:val="hybridMultilevel"/>
    <w:lvl w:ilvl="0">
      <w:lvlJc w:val="left"/>
      <w:lvlText w:val="%1."/>
      <w:numFmt w:val="decimal"/>
      <w:start w:val="26"/>
    </w:lvl>
  </w:abstractNum>
  <w:abstractNum w:abstractNumId="215">
    <w:nsid w:val="1978EBEB"/>
    <w:multiLevelType w:val="hybridMultilevel"/>
    <w:lvl w:ilvl="0">
      <w:lvlJc w:val="left"/>
      <w:lvlText w:val="%1."/>
      <w:numFmt w:val="decimal"/>
      <w:start w:val="27"/>
    </w:lvl>
  </w:abstractNum>
  <w:abstractNum w:abstractNumId="216">
    <w:nsid w:val="52C12C61"/>
    <w:multiLevelType w:val="hybridMultilevel"/>
    <w:lvl w:ilvl="0">
      <w:lvlJc w:val="left"/>
      <w:lvlText w:val="%1."/>
      <w:numFmt w:val="decimal"/>
      <w:start w:val="28"/>
    </w:lvl>
  </w:abstractNum>
  <w:abstractNum w:abstractNumId="217">
    <w:nsid w:val="4BDD53FD"/>
    <w:multiLevelType w:val="hybridMultilevel"/>
    <w:lvl w:ilvl="0">
      <w:lvlJc w:val="left"/>
      <w:lvlText w:val="•"/>
      <w:numFmt w:val="bullet"/>
      <w:start w:val="1"/>
    </w:lvl>
  </w:abstractNum>
  <w:abstractNum w:abstractNumId="218">
    <w:nsid w:val="569951FE"/>
    <w:multiLevelType w:val="hybridMultilevel"/>
    <w:lvl w:ilvl="0">
      <w:lvlJc w:val="left"/>
      <w:lvlText w:val="•"/>
      <w:numFmt w:val="bullet"/>
      <w:start w:val="1"/>
    </w:lvl>
  </w:abstractNum>
  <w:abstractNum w:abstractNumId="219">
    <w:nsid w:val="4C54E2C3"/>
    <w:multiLevelType w:val="hybridMultilevel"/>
    <w:lvl w:ilvl="0">
      <w:lvlJc w:val="left"/>
      <w:lvlText w:val="%1."/>
      <w:numFmt w:val="decimal"/>
      <w:start w:val="1"/>
    </w:lvl>
  </w:abstractNum>
  <w:abstractNum w:abstractNumId="220">
    <w:nsid w:val="788BD9B"/>
    <w:multiLevelType w:val="hybridMultilevel"/>
    <w:lvl w:ilvl="0">
      <w:lvlJc w:val="left"/>
      <w:lvlText w:val="%1."/>
      <w:numFmt w:val="decimal"/>
      <w:start w:val="3"/>
    </w:lvl>
  </w:abstractNum>
  <w:abstractNum w:abstractNumId="221">
    <w:nsid w:val="47CAA567"/>
    <w:multiLevelType w:val="hybridMultilevel"/>
    <w:lvl w:ilvl="0">
      <w:lvlJc w:val="left"/>
      <w:lvlText w:val="%1."/>
      <w:numFmt w:val="decimal"/>
      <w:start w:val="4"/>
    </w:lvl>
  </w:abstractNum>
  <w:abstractNum w:abstractNumId="222">
    <w:nsid w:val="48249DBF"/>
    <w:multiLevelType w:val="hybridMultilevel"/>
    <w:lvl w:ilvl="0">
      <w:lvlJc w:val="left"/>
      <w:lvlText w:val="%1."/>
      <w:numFmt w:val="decimal"/>
      <w:start w:val="5"/>
    </w:lvl>
  </w:abstractNum>
  <w:abstractNum w:abstractNumId="223">
    <w:nsid w:val="1F0E5D0D"/>
    <w:multiLevelType w:val="hybridMultilevel"/>
    <w:lvl w:ilvl="0">
      <w:lvlJc w:val="left"/>
      <w:lvlText w:val="%1."/>
      <w:numFmt w:val="decimal"/>
      <w:start w:val="6"/>
    </w:lvl>
  </w:abstractNum>
  <w:abstractNum w:abstractNumId="224">
    <w:nsid w:val="26BAAE9"/>
    <w:multiLevelType w:val="hybridMultilevel"/>
    <w:lvl w:ilvl="0">
      <w:lvlJc w:val="left"/>
      <w:lvlText w:val="%1."/>
      <w:numFmt w:val="decimal"/>
      <w:start w:val="7"/>
    </w:lvl>
  </w:abstractNum>
  <w:abstractNum w:abstractNumId="225">
    <w:nsid w:val="2C02FE8C"/>
    <w:multiLevelType w:val="hybridMultilevel"/>
    <w:lvl w:ilvl="0">
      <w:lvlJc w:val="left"/>
      <w:lvlText w:val="%1."/>
      <w:numFmt w:val="decimal"/>
      <w:start w:val="8"/>
    </w:lvl>
  </w:abstractNum>
  <w:abstractNum w:abstractNumId="226">
    <w:nsid w:val="129517E"/>
    <w:multiLevelType w:val="hybridMultilevel"/>
    <w:lvl w:ilvl="0">
      <w:lvlJc w:val="left"/>
      <w:lvlText w:val="%1."/>
      <w:numFmt w:val="decimal"/>
      <w:start w:val="9"/>
    </w:lvl>
  </w:abstractNum>
  <w:abstractNum w:abstractNumId="227">
    <w:nsid w:val="763B8C4E"/>
    <w:multiLevelType w:val="hybridMultilevel"/>
    <w:lvl w:ilvl="0">
      <w:lvlJc w:val="left"/>
      <w:lvlText w:val="%1."/>
      <w:numFmt w:val="decimal"/>
      <w:start w:val="1"/>
    </w:lvl>
  </w:abstractNum>
  <w:abstractNum w:abstractNumId="228">
    <w:nsid w:val="4CFB8D32"/>
    <w:multiLevelType w:val="hybridMultilevel"/>
    <w:lvl w:ilvl="0">
      <w:lvlJc w:val="left"/>
      <w:lvlText w:val="(%1)"/>
      <w:numFmt w:val="lowerLetter"/>
      <w:start w:val="1"/>
    </w:lvl>
    <w:lvl w:ilvl="1">
      <w:lvlJc w:val="left"/>
      <w:lvlText w:val="(%2)"/>
      <w:numFmt w:val="lowerRoman"/>
      <w:start w:val="1"/>
    </w:lvl>
  </w:abstractNum>
  <w:abstractNum w:abstractNumId="229">
    <w:nsid w:val="62A5D5BD"/>
    <w:multiLevelType w:val="hybridMultilevel"/>
    <w:lvl w:ilvl="0">
      <w:lvlJc w:val="left"/>
      <w:lvlText w:val="(%1)"/>
      <w:numFmt w:val="lowerRoman"/>
      <w:start w:val="3"/>
    </w:lvl>
  </w:abstractNum>
  <w:abstractNum w:abstractNumId="230">
    <w:nsid w:val="718FABF9"/>
    <w:multiLevelType w:val="hybridMultilevel"/>
    <w:lvl w:ilvl="0">
      <w:lvlJc w:val="left"/>
      <w:lvlText w:val="(%1)"/>
      <w:numFmt w:val="lowerRoman"/>
      <w:start w:val="4"/>
    </w:lvl>
  </w:abstractNum>
  <w:abstractNum w:abstractNumId="231">
    <w:nsid w:val="7775797C"/>
    <w:multiLevelType w:val="hybridMultilevel"/>
    <w:lvl w:ilvl="0">
      <w:lvlJc w:val="left"/>
      <w:lvlText w:val="(%1)"/>
      <w:numFmt w:val="lowerLetter"/>
      <w:start w:val="2"/>
    </w:lvl>
  </w:abstractNum>
  <w:abstractNum w:abstractNumId="232">
    <w:nsid w:val="1626FB8C"/>
    <w:multiLevelType w:val="hybridMultilevel"/>
    <w:lvl w:ilvl="0">
      <w:lvlJc w:val="left"/>
      <w:lvlText w:val="(%1)"/>
      <w:numFmt w:val="lowerLetter"/>
      <w:start w:val="3"/>
    </w:lvl>
  </w:abstractNum>
  <w:abstractNum w:abstractNumId="233">
    <w:nsid w:val="3957756A"/>
    <w:multiLevelType w:val="hybridMultilevel"/>
    <w:lvl w:ilvl="0">
      <w:lvlJc w:val="left"/>
      <w:lvlText w:val="(%1)"/>
      <w:numFmt w:val="lowerLetter"/>
      <w:start w:val="4"/>
    </w:lvl>
  </w:abstractNum>
  <w:abstractNum w:abstractNumId="234">
    <w:nsid w:val="3E6DA1C7"/>
    <w:multiLevelType w:val="hybridMultilevel"/>
    <w:lvl w:ilvl="0">
      <w:lvlJc w:val="left"/>
      <w:lvlText w:val="(%1)"/>
      <w:numFmt w:val="lowerLetter"/>
      <w:start w:val="5"/>
    </w:lvl>
  </w:abstractNum>
  <w:abstractNum w:abstractNumId="235">
    <w:nsid w:val="65CA235B"/>
    <w:multiLevelType w:val="hybridMultilevel"/>
    <w:lvl w:ilvl="0">
      <w:lvlJc w:val="left"/>
      <w:lvlText w:val="(%1)"/>
      <w:numFmt w:val="lowerLetter"/>
      <w:start w:val="6"/>
    </w:lvl>
    <w:lvl w:ilvl="1">
      <w:lvlJc w:val="left"/>
      <w:lvlText w:val="(%2)"/>
      <w:numFmt w:val="lowerRoman"/>
      <w:start w:val="1"/>
    </w:lvl>
  </w:abstractNum>
  <w:abstractNum w:abstractNumId="236">
    <w:nsid w:val="51CB0DA4"/>
    <w:multiLevelType w:val="hybridMultilevel"/>
    <w:lvl w:ilvl="0">
      <w:lvlJc w:val="left"/>
      <w:lvlText w:val="(%1)"/>
      <w:numFmt w:val="lowerLetter"/>
      <w:start w:val="8"/>
    </w:lvl>
    <w:lvl w:ilvl="1">
      <w:lvlJc w:val="left"/>
      <w:lvlText w:val="(%2)"/>
      <w:numFmt w:val="lowerRoman"/>
      <w:start w:val="1"/>
    </w:lvl>
  </w:abstractNum>
  <w:abstractNum w:abstractNumId="237">
    <w:nsid w:val="7B9B743C"/>
    <w:multiLevelType w:val="hybridMultilevel"/>
    <w:lvl w:ilvl="0">
      <w:lvlJc w:val="left"/>
      <w:lvlText w:val="(%1)"/>
      <w:numFmt w:val="lowerRoman"/>
      <w:start w:val="3"/>
    </w:lvl>
  </w:abstractNum>
  <w:abstractNum w:abstractNumId="238">
    <w:nsid w:val="13E21002"/>
    <w:multiLevelType w:val="hybridMultilevel"/>
    <w:lvl w:ilvl="0">
      <w:lvlJc w:val="left"/>
      <w:lvlText w:val="%1"/>
      <w:numFmt w:val="lowerRoman"/>
      <w:start w:val="1"/>
    </w:lvl>
    <w:lvl w:ilvl="1">
      <w:lvlJc w:val="left"/>
      <w:lvlText w:val="(%2)"/>
      <w:numFmt w:val="lowerRoman"/>
      <w:start w:val="3"/>
    </w:lvl>
  </w:abstractNum>
  <w:abstractNum w:abstractNumId="239">
    <w:nsid w:val="257D63F4"/>
    <w:multiLevelType w:val="hybridMultilevel"/>
    <w:lvl w:ilvl="0">
      <w:lvlJc w:val="left"/>
      <w:lvlText w:val="(%1)"/>
      <w:numFmt w:val="lowerRoman"/>
      <w:start w:val="1"/>
    </w:lvl>
    <w:lvl w:ilvl="1">
      <w:lvlJc w:val="left"/>
      <w:lvlText w:val="(%2)"/>
      <w:numFmt w:val="lowerRoman"/>
      <w:start w:val="1"/>
    </w:lvl>
  </w:abstractNum>
  <w:abstractNum w:abstractNumId="240">
    <w:nsid w:val="70EC11B2"/>
    <w:multiLevelType w:val="hybridMultilevel"/>
    <w:lvl w:ilvl="0">
      <w:lvlJc w:val="left"/>
      <w:lvlText w:val="(%1)"/>
      <w:numFmt w:val="lowerLetter"/>
      <w:start w:val="10"/>
    </w:lvl>
    <w:lvl w:ilvl="1">
      <w:lvlJc w:val="left"/>
      <w:lvlText w:val="(%2)"/>
      <w:numFmt w:val="lowerRoman"/>
      <w:start w:val="1"/>
    </w:lvl>
  </w:abstractNum>
  <w:abstractNum w:abstractNumId="241">
    <w:nsid w:val="2EDA00ED"/>
    <w:multiLevelType w:val="hybridMultilevel"/>
    <w:lvl w:ilvl="0">
      <w:lvlJc w:val="left"/>
      <w:lvlText w:val="(%1)"/>
      <w:numFmt w:val="lowerLetter"/>
      <w:start w:val="12"/>
    </w:lvl>
    <w:lvl w:ilvl="1">
      <w:lvlJc w:val="left"/>
      <w:lvlText w:val="(%2)"/>
      <w:numFmt w:val="lowerRoman"/>
      <w:start w:val="1"/>
    </w:lvl>
  </w:abstractNum>
  <w:abstractNum w:abstractNumId="242">
    <w:nsid w:val="73209072"/>
    <w:multiLevelType w:val="hybridMultilevel"/>
    <w:lvl w:ilvl="0">
      <w:lvlJc w:val="left"/>
      <w:lvlText w:val="%1"/>
      <w:numFmt w:val="lowerLetter"/>
      <w:start w:val="1"/>
    </w:lvl>
    <w:lvl w:ilvl="1">
      <w:lvlJc w:val="left"/>
      <w:lvlText w:val="(%2)"/>
      <w:numFmt w:val="lowerLetter"/>
      <w:start w:val="35"/>
    </w:lvl>
  </w:abstractNum>
  <w:abstractNum w:abstractNumId="243">
    <w:nsid w:val="5FB29816"/>
    <w:multiLevelType w:val="hybridMultilevel"/>
    <w:lvl w:ilvl="0">
      <w:lvlJc w:val="left"/>
      <w:lvlText w:val="(%1)"/>
      <w:numFmt w:val="lowerLetter"/>
      <w:start w:val="14"/>
    </w:lvl>
    <w:lvl w:ilvl="1">
      <w:lvlJc w:val="left"/>
      <w:lvlText w:val="%2"/>
      <w:numFmt w:val="lowerLetter"/>
      <w:start w:val="1"/>
    </w:lvl>
  </w:abstractNum>
  <w:abstractNum w:abstractNumId="244">
    <w:nsid w:val="3CE732EC"/>
    <w:multiLevelType w:val="hybridMultilevel"/>
    <w:lvl w:ilvl="0">
      <w:lvlJc w:val="left"/>
      <w:lvlText w:val="(%1)"/>
      <w:numFmt w:val="lowerLetter"/>
      <w:start w:val="15"/>
    </w:lvl>
  </w:abstractNum>
  <w:abstractNum w:abstractNumId="245">
    <w:nsid w:val="22F13DF3"/>
    <w:multiLevelType w:val="hybridMultilevel"/>
    <w:lvl w:ilvl="0">
      <w:lvlJc w:val="left"/>
      <w:lvlText w:val="(%1)"/>
      <w:numFmt w:val="lowerLetter"/>
      <w:start w:val="16"/>
    </w:lvl>
  </w:abstractNum>
  <w:abstractNum w:abstractNumId="246">
    <w:nsid w:val="792B8401"/>
    <w:multiLevelType w:val="hybridMultilevel"/>
    <w:lvl w:ilvl="0">
      <w:lvlJc w:val="left"/>
      <w:lvlText w:val="(%1)"/>
      <w:numFmt w:val="lowerLetter"/>
      <w:start w:val="17"/>
    </w:lvl>
  </w:abstractNum>
  <w:abstractNum w:abstractNumId="247">
    <w:nsid w:val="FA85F4D"/>
    <w:multiLevelType w:val="hybridMultilevel"/>
    <w:lvl w:ilvl="0">
      <w:lvlJc w:val="left"/>
      <w:lvlText w:val="(%1)"/>
      <w:numFmt w:val="lowerLetter"/>
      <w:start w:val="18"/>
    </w:lvl>
  </w:abstractNum>
  <w:abstractNum w:abstractNumId="248">
    <w:nsid w:val="6ECE91F0"/>
    <w:multiLevelType w:val="hybridMultilevel"/>
    <w:lvl w:ilvl="0">
      <w:lvlJc w:val="left"/>
      <w:lvlText w:val="(%1)"/>
      <w:numFmt w:val="lowerLetter"/>
      <w:start w:val="19"/>
    </w:lvl>
  </w:abstractNum>
  <w:abstractNum w:abstractNumId="249">
    <w:nsid w:val="4FC4D600"/>
    <w:multiLevelType w:val="hybridMultilevel"/>
    <w:lvl w:ilvl="0">
      <w:lvlJc w:val="left"/>
      <w:lvlText w:val="(%1)"/>
      <w:numFmt w:val="lowerLetter"/>
      <w:start w:val="20"/>
    </w:lvl>
  </w:abstractNum>
  <w:abstractNum w:abstractNumId="250">
    <w:nsid w:val="5BFD4210"/>
    <w:multiLevelType w:val="hybridMultilevel"/>
    <w:lvl w:ilvl="0">
      <w:lvlJc w:val="left"/>
      <w:lvlText w:val="%1"/>
      <w:numFmt w:val="lowerLetter"/>
      <w:start w:val="1"/>
    </w:lvl>
    <w:lvl w:ilvl="1">
      <w:lvlJc w:val="left"/>
      <w:lvlText w:val="(%2)"/>
      <w:numFmt w:val="lowerLetter"/>
      <w:start w:val="9"/>
    </w:lvl>
  </w:abstractNum>
  <w:abstractNum w:abstractNumId="251">
    <w:nsid w:val="76574F8B"/>
    <w:multiLevelType w:val="hybridMultilevel"/>
    <w:lvl w:ilvl="0">
      <w:lvlJc w:val="left"/>
      <w:lvlText w:val="(%1)"/>
      <w:numFmt w:val="lowerLetter"/>
      <w:start w:val="21"/>
    </w:lvl>
    <w:lvl w:ilvl="1">
      <w:lvlJc w:val="left"/>
      <w:lvlText w:val="%2"/>
      <w:numFmt w:val="lowerLetter"/>
      <w:start w:val="1"/>
    </w:lvl>
  </w:abstractNum>
  <w:abstractNum w:abstractNumId="252">
    <w:nsid w:val="178F7B67"/>
    <w:multiLevelType w:val="hybridMultilevel"/>
    <w:lvl w:ilvl="0">
      <w:lvlJc w:val="left"/>
      <w:lvlText w:val="(%1)"/>
      <w:numFmt w:val="lowerRoman"/>
      <w:start w:val="5"/>
    </w:lvl>
    <w:lvl w:ilvl="1">
      <w:lvlJc w:val="left"/>
      <w:lvlText w:val="(%2)"/>
      <w:numFmt w:val="lowerRoman"/>
      <w:start w:val="1"/>
    </w:lvl>
  </w:abstractNum>
  <w:abstractNum w:abstractNumId="253">
    <w:nsid w:val="2421DFCF"/>
    <w:multiLevelType w:val="hybridMultilevel"/>
    <w:lvl w:ilvl="0">
      <w:lvlJc w:val="left"/>
      <w:lvlText w:val="(%1)"/>
      <w:numFmt w:val="lowerLetter"/>
      <w:start w:val="23"/>
    </w:lvl>
  </w:abstractNum>
  <w:abstractNum w:abstractNumId="254">
    <w:nsid w:val="1565AC99"/>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255">
    <w:nsid w:val="19FB26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6">
    <w:nsid w:val="5024DE5B"/>
    <w:multiLevelType w:val="hybridMultilevel"/>
    <w:lvl w:ilvl="0">
      <w:lvlJc w:val="left"/>
      <w:lvlText w:val="(%1)"/>
      <w:numFmt w:val="lowerLetter"/>
      <w:start w:val="1"/>
    </w:lvl>
  </w:abstractNum>
  <w:abstractNum w:abstractNumId="257">
    <w:nsid w:val="168EFE17"/>
    <w:multiLevelType w:val="hybridMultilevel"/>
    <w:lvl w:ilvl="0">
      <w:lvlJc w:val="left"/>
      <w:lvlText w:val="(%1)"/>
      <w:numFmt w:val="lowerLetter"/>
      <w:start w:val="2"/>
    </w:lvl>
  </w:abstractNum>
  <w:abstractNum w:abstractNumId="258">
    <w:nsid w:val="1036B29F"/>
    <w:multiLevelType w:val="hybridMultilevel"/>
    <w:lvl w:ilvl="0">
      <w:lvlJc w:val="left"/>
      <w:lvlText w:val="(%1)"/>
      <w:numFmt w:val="lowerLetter"/>
      <w:start w:val="3"/>
    </w:lvl>
  </w:abstractNum>
  <w:abstractNum w:abstractNumId="259">
    <w:nsid w:val="1D206B8E"/>
    <w:multiLevelType w:val="hybridMultilevel"/>
    <w:lvl w:ilvl="0">
      <w:lvlJc w:val="left"/>
      <w:lvlText w:val="(%1)"/>
      <w:numFmt w:val="lowerLetter"/>
      <w:start w:val="4"/>
    </w:lvl>
  </w:abstractNum>
  <w:abstractNum w:abstractNumId="260">
    <w:nsid w:val="7934D3D4"/>
    <w:multiLevelType w:val="hybridMultilevel"/>
    <w:lvl w:ilvl="0">
      <w:lvlJc w:val="left"/>
      <w:lvlText w:val="(%1)"/>
      <w:numFmt w:val="lowerLetter"/>
      <w:start w:val="5"/>
    </w:lvl>
  </w:abstractNum>
  <w:abstractNum w:abstractNumId="261">
    <w:nsid w:val="1C65E98"/>
    <w:multiLevelType w:val="hybridMultilevel"/>
    <w:lvl w:ilvl="0">
      <w:lvlJc w:val="left"/>
      <w:lvlText w:val="(%1)"/>
      <w:numFmt w:val="lowerLetter"/>
      <w:start w:val="6"/>
    </w:lvl>
  </w:abstractNum>
  <w:abstractNum w:abstractNumId="262">
    <w:nsid w:val="1495E50A"/>
    <w:multiLevelType w:val="hybridMultilevel"/>
    <w:lvl w:ilvl="0">
      <w:lvlJc w:val="left"/>
      <w:lvlText w:val="(%1)"/>
      <w:numFmt w:val="lowerLetter"/>
      <w:start w:val="7"/>
    </w:lvl>
  </w:abstractNum>
  <w:abstractNum w:abstractNumId="263">
    <w:nsid w:val="F5BCF61"/>
    <w:multiLevelType w:val="hybridMultilevel"/>
    <w:lvl w:ilvl="0">
      <w:lvlJc w:val="left"/>
      <w:lvlText w:val="(%1)"/>
      <w:numFmt w:val="lowerLetter"/>
      <w:start w:val="8"/>
    </w:lvl>
  </w:abstractNum>
  <w:abstractNum w:abstractNumId="264">
    <w:nsid w:val="3B1DD403"/>
    <w:multiLevelType w:val="hybridMultilevel"/>
    <w:lvl w:ilvl="0">
      <w:lvlJc w:val="left"/>
      <w:lvlText w:val="(%1)"/>
      <w:numFmt w:val="lowerRoman"/>
      <w:start w:val="1"/>
    </w:lvl>
  </w:abstractNum>
  <w:abstractNum w:abstractNumId="265">
    <w:nsid w:val="530386D1"/>
    <w:multiLevelType w:val="hybridMultilevel"/>
    <w:lvl w:ilvl="0">
      <w:lvlJc w:val="left"/>
      <w:lvlText w:val="(%1)"/>
      <w:numFmt w:val="lowerLetter"/>
      <w:start w:val="10"/>
    </w:lvl>
  </w:abstractNum>
  <w:abstractNum w:abstractNumId="266">
    <w:nsid w:val="7525F2BC"/>
    <w:multiLevelType w:val="hybridMultilevel"/>
    <w:lvl w:ilvl="0">
      <w:lvlJc w:val="left"/>
      <w:lvlText w:val="(%1)"/>
      <w:numFmt w:val="lowerLetter"/>
      <w:start w:val="11"/>
    </w:lvl>
  </w:abstractNum>
  <w:abstractNum w:abstractNumId="267">
    <w:nsid w:val="CE8E1A7"/>
    <w:multiLevelType w:val="hybridMultilevel"/>
    <w:lvl w:ilvl="0">
      <w:lvlJc w:val="left"/>
      <w:lvlText w:val="%1."/>
      <w:numFmt w:val="decimal"/>
      <w:start w:val="1"/>
    </w:lvl>
  </w:abstractNum>
  <w:abstractNum w:abstractNumId="268">
    <w:nsid w:val="4E9EFB0D"/>
    <w:multiLevelType w:val="hybridMultilevel"/>
    <w:lvl w:ilvl="0">
      <w:lvlJc w:val="left"/>
      <w:lvlText w:val="%1."/>
      <w:numFmt w:val="decimal"/>
      <w:start w:val="2"/>
    </w:lvl>
  </w:abstractNum>
  <w:abstractNum w:abstractNumId="269">
    <w:nsid w:val="90802BE"/>
    <w:multiLevelType w:val="hybridMultilevel"/>
    <w:lvl w:ilvl="0">
      <w:lvlJc w:val="left"/>
      <w:lvlText w:val="%1."/>
      <w:numFmt w:val="decimal"/>
      <w:start w:val="3"/>
    </w:lvl>
  </w:abstractNum>
  <w:abstractNum w:abstractNumId="270">
    <w:nsid w:val="3266459B"/>
    <w:multiLevelType w:val="hybridMultilevel"/>
    <w:lvl w:ilvl="0">
      <w:lvlJc w:val="left"/>
      <w:lvlText w:val="%1."/>
      <w:numFmt w:val="decimal"/>
      <w:start w:val="4"/>
    </w:lvl>
  </w:abstractNum>
  <w:abstractNum w:abstractNumId="271">
    <w:nsid w:val="3F8B0CBF"/>
    <w:multiLevelType w:val="hybridMultilevel"/>
    <w:lvl w:ilvl="0">
      <w:lvlJc w:val="left"/>
      <w:lvlText w:val="%1."/>
      <w:numFmt w:val="decimal"/>
      <w:start w:val="1"/>
    </w:lvl>
    <w:lvl w:ilvl="1">
      <w:lvlJc w:val="left"/>
      <w:lvlText w:val="(%2)"/>
      <w:numFmt w:val="lowerLetter"/>
      <w:start w:val="1"/>
    </w:lvl>
  </w:abstractNum>
  <w:abstractNum w:abstractNumId="272">
    <w:nsid w:val="37E203A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273">
    <w:nsid w:val="2586D60E"/>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274">
    <w:nsid w:val="1F3DA4D5"/>
    <w:multiLevelType w:val="hybridMultilevel"/>
    <w:lvl w:ilvl="0">
      <w:lvlJc w:val="left"/>
      <w:lvlText w:val="(%1)"/>
      <w:numFmt w:val="lowerLetter"/>
      <w:start w:val="2"/>
    </w:lvl>
  </w:abstractNum>
  <w:abstractNum w:abstractNumId="275">
    <w:nsid w:val="74C93698"/>
    <w:multiLevelType w:val="hybridMultilevel"/>
    <w:lvl w:ilvl="0">
      <w:lvlJc w:val="left"/>
      <w:lvlText w:val="%1."/>
      <w:numFmt w:val="decimal"/>
      <w:start w:val="4"/>
    </w:lvl>
  </w:abstractNum>
  <w:abstractNum w:abstractNumId="276">
    <w:nsid w:val="48781401"/>
    <w:multiLevelType w:val="hybridMultilevel"/>
    <w:lvl w:ilvl="0">
      <w:lvlJc w:val="left"/>
      <w:lvlText w:val="%1."/>
      <w:numFmt w:val="decimal"/>
      <w:start w:val="5"/>
    </w:lvl>
  </w:abstractNum>
  <w:abstractNum w:abstractNumId="277">
    <w:nsid w:val="186928D6"/>
    <w:multiLevelType w:val="hybridMultilevel"/>
    <w:lvl w:ilvl="0">
      <w:lvlJc w:val="left"/>
      <w:lvlText w:val="%1."/>
      <w:numFmt w:val="decimal"/>
      <w:start w:val="6"/>
    </w:lvl>
  </w:abstractNum>
  <w:abstractNum w:abstractNumId="278">
    <w:nsid w:val="47195E5"/>
    <w:multiLevelType w:val="hybridMultilevel"/>
    <w:lvl w:ilvl="0">
      <w:lvlJc w:val="left"/>
      <w:lvlText w:val="%1."/>
      <w:numFmt w:val="decimal"/>
      <w:start w:val="7"/>
    </w:lvl>
  </w:abstractNum>
  <w:abstractNum w:abstractNumId="279">
    <w:nsid w:val="3746A5F2"/>
    <w:multiLevelType w:val="hybridMultilevel"/>
    <w:lvl w:ilvl="0">
      <w:lvlJc w:val="left"/>
      <w:lvlText w:val="%1."/>
      <w:numFmt w:val="decimal"/>
      <w:start w:val="8"/>
    </w:lvl>
  </w:abstractNum>
  <w:abstractNum w:abstractNumId="280">
    <w:nsid w:val="682DFED6"/>
    <w:multiLevelType w:val="hybridMultilevel"/>
    <w:lvl w:ilvl="0">
      <w:lvlJc w:val="left"/>
      <w:lvlText w:val="%1."/>
      <w:numFmt w:val="decimal"/>
      <w:start w:val="9"/>
    </w:lvl>
  </w:abstractNum>
  <w:abstractNum w:abstractNumId="281">
    <w:nsid w:val="606ED7F6"/>
    <w:multiLevelType w:val="hybridMultilevel"/>
    <w:lvl w:ilvl="0">
      <w:lvlJc w:val="left"/>
      <w:lvlText w:val="%1."/>
      <w:numFmt w:val="decimal"/>
      <w:start w:val="10"/>
    </w:lvl>
  </w:abstractNum>
  <w:abstractNum w:abstractNumId="282">
    <w:nsid w:val="2D9DF57D"/>
    <w:multiLevelType w:val="hybridMultilevel"/>
    <w:lvl w:ilvl="0">
      <w:lvlJc w:val="left"/>
      <w:lvlText w:val="%1."/>
      <w:numFmt w:val="decimal"/>
      <w:start w:val="1"/>
    </w:lvl>
  </w:abstractNum>
  <w:abstractNum w:abstractNumId="283">
    <w:nsid w:val="7FBD7A3E"/>
    <w:multiLevelType w:val="hybridMultilevel"/>
    <w:lvl w:ilvl="0">
      <w:lvlJc w:val="left"/>
      <w:lvlText w:val="%1"/>
      <w:numFmt w:val="upperLetter"/>
      <w:start w:val="1"/>
    </w:lvl>
    <w:lvl w:ilvl="1">
      <w:lvlJc w:val="left"/>
      <w:lvlText w:val="(%2)"/>
      <w:numFmt w:val="lowerLetter"/>
      <w:start w:val="1"/>
    </w:lvl>
  </w:abstractNum>
  <w:abstractNum w:abstractNumId="284">
    <w:nsid w:val="490B7C5"/>
    <w:multiLevelType w:val="hybridMultilevel"/>
    <w:lvl w:ilvl="0">
      <w:lvlJc w:val="left"/>
      <w:lvlText w:val="(%1)"/>
      <w:numFmt w:val="upperLetter"/>
      <w:start w:val="3"/>
    </w:lvl>
    <w:lvl w:ilvl="1">
      <w:lvlJc w:val="left"/>
      <w:lvlText w:val="(%2)"/>
      <w:numFmt w:val="lowerLetter"/>
      <w:start w:val="6"/>
    </w:lvl>
  </w:abstractNum>
  <w:abstractNum w:abstractNumId="285">
    <w:nsid w:val="4303A216"/>
    <w:multiLevelType w:val="hybridMultilevel"/>
    <w:lvl w:ilvl="0">
      <w:lvlJc w:val="left"/>
      <w:lvlText w:val="%1."/>
      <w:numFmt w:val="decimal"/>
      <w:start w:val="1"/>
    </w:lvl>
  </w:abstractNum>
  <w:abstractNum w:abstractNumId="286">
    <w:nsid w:val="19B8A08E"/>
    <w:multiLevelType w:val="hybridMultilevel"/>
    <w:lvl w:ilvl="0">
      <w:lvlJc w:val="left"/>
      <w:lvlText w:val="(%1)"/>
      <w:numFmt w:val="lowerLetter"/>
      <w:start w:val="1"/>
    </w:lvl>
  </w:abstractNum>
  <w:abstractNum w:abstractNumId="287">
    <w:nsid w:val="54B59621"/>
    <w:multiLevelType w:val="hybridMultilevel"/>
    <w:lvl w:ilvl="0">
      <w:lvlJc w:val="left"/>
      <w:lvlText w:val="(%1)"/>
      <w:numFmt w:val="lowerLetter"/>
      <w:start w:val="2"/>
    </w:lvl>
  </w:abstractNum>
  <w:abstractNum w:abstractNumId="288">
    <w:nsid w:val="5992A02E"/>
    <w:multiLevelType w:val="hybridMultilevel"/>
    <w:lvl w:ilvl="0">
      <w:lvlJc w:val="left"/>
      <w:lvlText w:val="(%1)"/>
      <w:numFmt w:val="lowerLetter"/>
      <w:start w:val="3"/>
    </w:lvl>
  </w:abstractNum>
  <w:abstractNum w:abstractNumId="289">
    <w:nsid w:val="29EF532D"/>
    <w:multiLevelType w:val="hybridMultilevel"/>
    <w:lvl w:ilvl="0">
      <w:lvlJc w:val="left"/>
      <w:lvlText w:val="(%1)"/>
      <w:numFmt w:val="lowerLetter"/>
      <w:start w:val="4"/>
    </w:lvl>
  </w:abstractNum>
  <w:abstractNum w:abstractNumId="290">
    <w:nsid w:val="71D601AF"/>
    <w:multiLevelType w:val="hybridMultilevel"/>
    <w:lvl w:ilvl="0">
      <w:lvlJc w:val="left"/>
      <w:lvlText w:val="(%1)"/>
      <w:numFmt w:val="lowerLetter"/>
      <w:start w:val="5"/>
    </w:lvl>
  </w:abstractNum>
  <w:abstractNum w:abstractNumId="291">
    <w:nsid w:val="52C77402"/>
    <w:multiLevelType w:val="hybridMultilevel"/>
    <w:lvl w:ilvl="0">
      <w:lvlJc w:val="left"/>
      <w:lvlText w:val="(%1)"/>
      <w:numFmt w:val="lowerLetter"/>
      <w:start w:val="6"/>
    </w:lvl>
  </w:abstractNum>
  <w:abstractNum w:abstractNumId="292">
    <w:nsid w:val="2BB5B1C6"/>
    <w:multiLevelType w:val="hybridMultilevel"/>
    <w:lvl w:ilvl="0">
      <w:lvlJc w:val="left"/>
      <w:lvlText w:val="(%1)"/>
      <w:numFmt w:val="lowerLetter"/>
      <w:start w:val="7"/>
    </w:lvl>
  </w:abstractNum>
  <w:abstractNum w:abstractNumId="293">
    <w:nsid w:val="66BE6B9"/>
    <w:multiLevelType w:val="hybridMultilevel"/>
    <w:lvl w:ilvl="0">
      <w:lvlJc w:val="left"/>
      <w:lvlText w:val="(%1)"/>
      <w:numFmt w:val="lowerLetter"/>
      <w:start w:val="8"/>
    </w:lvl>
  </w:abstractNum>
  <w:abstractNum w:abstractNumId="294">
    <w:nsid w:val="62234363"/>
    <w:multiLevelType w:val="hybridMultilevel"/>
    <w:lvl w:ilvl="0">
      <w:lvlJc w:val="left"/>
      <w:lvlText w:val="(%1)"/>
      <w:numFmt w:val="lowerRoman"/>
      <w:start w:val="1"/>
    </w:lvl>
  </w:abstractNum>
  <w:abstractNum w:abstractNumId="295">
    <w:nsid w:val="66D385C9"/>
    <w:multiLevelType w:val="hybridMultilevel"/>
    <w:lvl w:ilvl="0">
      <w:lvlJc w:val="left"/>
      <w:lvlText w:val="(%1)"/>
      <w:numFmt w:val="lowerLetter"/>
      <w:start w:val="10"/>
    </w:lvl>
  </w:abstractNum>
  <w:abstractNum w:abstractNumId="296">
    <w:nsid w:val="596F6D8A"/>
    <w:multiLevelType w:val="hybridMultilevel"/>
    <w:lvl w:ilvl="0">
      <w:lvlJc w:val="left"/>
      <w:lvlText w:val="(%1)"/>
      <w:numFmt w:val="lowerLetter"/>
      <w:start w:val="11"/>
    </w:lvl>
  </w:abstractNum>
  <w:abstractNum w:abstractNumId="297">
    <w:nsid w:val="5749361F"/>
    <w:multiLevelType w:val="hybridMultilevel"/>
    <w:lvl w:ilvl="0">
      <w:lvlJc w:val="left"/>
      <w:lvlText w:val="(%1)"/>
      <w:numFmt w:val="lowerRoman"/>
      <w:start w:val="1"/>
    </w:lvl>
  </w:abstractNum>
  <w:abstractNum w:abstractNumId="298">
    <w:nsid w:val="73BC6770"/>
    <w:multiLevelType w:val="hybridMultilevel"/>
    <w:lvl w:ilvl="0">
      <w:lvlJc w:val="left"/>
      <w:lvlText w:val="%1"/>
      <w:numFmt w:val="lowerLetter"/>
      <w:start w:val="1"/>
    </w:lvl>
    <w:lvl w:ilvl="1">
      <w:lvlJc w:val="left"/>
      <w:lvlText w:val="(%2)"/>
      <w:numFmt w:val="lowerRoman"/>
      <w:start w:val="4"/>
    </w:lvl>
  </w:abstractNum>
  <w:abstractNum w:abstractNumId="299">
    <w:nsid w:val="280E6897"/>
    <w:multiLevelType w:val="hybridMultilevel"/>
    <w:lvl w:ilvl="0">
      <w:lvlJc w:val="left"/>
      <w:lvlText w:val="(%1)"/>
      <w:numFmt w:val="lowerLetter"/>
      <w:start w:val="12"/>
    </w:lvl>
    <w:lvl w:ilvl="1">
      <w:lvlJc w:val="left"/>
      <w:lvlText w:val="%2"/>
      <w:numFmt w:val="lowerRoman"/>
      <w:start w:val="1"/>
    </w:lvl>
  </w:abstractNum>
  <w:abstractNum w:abstractNumId="300">
    <w:nsid w:val="605138DE"/>
    <w:multiLevelType w:val="hybridMultilevel"/>
    <w:lvl w:ilvl="0">
      <w:lvlJc w:val="left"/>
      <w:lvlText w:val="(%1)"/>
      <w:numFmt w:val="lowerLetter"/>
      <w:start w:val="13"/>
    </w:lvl>
  </w:abstractNum>
  <w:abstractNum w:abstractNumId="301">
    <w:nsid w:val="2622AD0C"/>
    <w:multiLevelType w:val="hybridMultilevel"/>
    <w:lvl w:ilvl="0">
      <w:lvlJc w:val="left"/>
      <w:lvlText w:val="%1."/>
      <w:numFmt w:val="decimal"/>
      <w:start w:val="1"/>
    </w:lvl>
  </w:abstractNum>
  <w:abstractNum w:abstractNumId="302">
    <w:nsid w:val="67997556"/>
    <w:multiLevelType w:val="hybridMultilevel"/>
    <w:lvl w:ilvl="0">
      <w:lvlJc w:val="left"/>
      <w:lvlText w:val="(%1)"/>
      <w:numFmt w:val="lowerLetter"/>
      <w:start w:val="1"/>
    </w:lvl>
  </w:abstractNum>
  <w:abstractNum w:abstractNumId="303">
    <w:nsid w:val="18333C89"/>
    <w:multiLevelType w:val="hybridMultilevel"/>
    <w:lvl w:ilvl="0">
      <w:lvlJc w:val="left"/>
      <w:lvlText w:val="%1."/>
      <w:numFmt w:val="decimal"/>
      <w:start w:val="2"/>
    </w:lvl>
  </w:abstractNum>
  <w:abstractNum w:abstractNumId="304">
    <w:nsid w:val="4BA9831A"/>
    <w:multiLevelType w:val="hybridMultilevel"/>
    <w:lvl w:ilvl="0">
      <w:lvlJc w:val="left"/>
      <w:lvlText w:val="%1."/>
      <w:numFmt w:val="decimal"/>
      <w:start w:val="3"/>
    </w:lvl>
  </w:abstractNum>
  <w:abstractNum w:abstractNumId="305">
    <w:nsid w:val="6D71A2B"/>
    <w:multiLevelType w:val="hybridMultilevel"/>
    <w:lvl w:ilvl="0">
      <w:lvlJc w:val="left"/>
      <w:lvlText w:val="%1."/>
      <w:numFmt w:val="decimal"/>
      <w:start w:val="1"/>
    </w:lvl>
  </w:abstractNum>
  <w:abstractNum w:abstractNumId="306">
    <w:nsid w:val="CFC7321"/>
    <w:multiLevelType w:val="hybridMultilevel"/>
    <w:lvl w:ilvl="0">
      <w:lvlJc w:val="left"/>
      <w:lvlText w:val="%1"/>
      <w:numFmt w:val="decimal"/>
      <w:start w:val="1"/>
    </w:lvl>
    <w:lvl w:ilvl="1">
      <w:lvlJc w:val="left"/>
      <w:lvlText w:val="(%2)"/>
      <w:numFmt w:val="lowerLetter"/>
      <w:start w:val="1"/>
    </w:lvl>
  </w:abstractNum>
  <w:abstractNum w:abstractNumId="307">
    <w:nsid w:val="1421971B"/>
    <w:multiLevelType w:val="hybridMultilevel"/>
    <w:lvl w:ilvl="0">
      <w:lvlJc w:val="left"/>
      <w:lvlText w:val="%1."/>
      <w:numFmt w:val="decimal"/>
      <w:start w:val="2"/>
    </w:lvl>
    <w:lvl w:ilvl="1">
      <w:lvlJc w:val="left"/>
      <w:lvlText w:val="%2"/>
      <w:numFmt w:val="lowerLetter"/>
      <w:start w:val="1"/>
    </w:lvl>
  </w:abstractNum>
  <w:abstractNum w:abstractNumId="308">
    <w:nsid w:val="1F404301"/>
    <w:multiLevelType w:val="hybridMultilevel"/>
    <w:lvl w:ilvl="0">
      <w:lvlJc w:val="left"/>
      <w:lvlText w:val="(%1)"/>
      <w:numFmt w:val="lowerLetter"/>
      <w:start w:val="1"/>
    </w:lvl>
  </w:abstractNum>
  <w:abstractNum w:abstractNumId="309">
    <w:nsid w:val="116E0907"/>
    <w:multiLevelType w:val="hybridMultilevel"/>
    <w:lvl w:ilvl="0">
      <w:lvlJc w:val="left"/>
      <w:lvlText w:val="$"/>
      <w:numFmt w:val="bullet"/>
      <w:start w:val="1"/>
    </w:lvl>
  </w:abstractNum>
  <w:abstractNum w:abstractNumId="310">
    <w:nsid w:val="4B683D0D"/>
    <w:multiLevelType w:val="hybridMultilevel"/>
    <w:lvl w:ilvl="0">
      <w:lvlJc w:val="left"/>
      <w:lvlText w:val="$"/>
      <w:numFmt w:val="bullet"/>
      <w:start w:val="1"/>
    </w:lvl>
  </w:abstractNum>
  <w:abstractNum w:abstractNumId="311">
    <w:nsid w:val="76E41D8"/>
    <w:multiLevelType w:val="hybridMultilevel"/>
    <w:lvl w:ilvl="0">
      <w:lvlJc w:val="left"/>
      <w:lvlText w:val="$"/>
      <w:numFmt w:val="bullet"/>
      <w:start w:val="1"/>
    </w:lvl>
  </w:abstractNum>
  <w:abstractNum w:abstractNumId="312">
    <w:nsid w:val="71DCE0FD"/>
    <w:multiLevelType w:val="hybridMultilevel"/>
    <w:lvl w:ilvl="0">
      <w:lvlJc w:val="left"/>
      <w:lvlText w:val="$"/>
      <w:numFmt w:val="bullet"/>
      <w:start w:val="1"/>
    </w:lvl>
  </w:abstractNum>
  <w:abstractNum w:abstractNumId="313">
    <w:nsid w:val="7906328B"/>
    <w:multiLevelType w:val="hybridMultilevel"/>
    <w:lvl w:ilvl="0">
      <w:lvlJc w:val="left"/>
      <w:lvlText w:val="•"/>
      <w:numFmt w:val="bullet"/>
      <w:start w:val="1"/>
    </w:lvl>
  </w:abstractNum>
  <w:abstractNum w:abstractNumId="314">
    <w:nsid w:val="72BBC16"/>
    <w:multiLevelType w:val="hybridMultilevel"/>
    <w:lvl w:ilvl="0">
      <w:lvlJc w:val="left"/>
      <w:lvlText w:val="%1."/>
      <w:numFmt w:val="decimal"/>
      <w:start w:val="1"/>
    </w:lvl>
  </w:abstractNum>
  <w:abstractNum w:abstractNumId="315">
    <w:nsid w:val="766D98C2"/>
    <w:multiLevelType w:val="hybridMultilevel"/>
    <w:lvl w:ilvl="0">
      <w:lvlJc w:val="left"/>
      <w:lvlText w:val="(%1)"/>
      <w:numFmt w:val="lowerLetter"/>
      <w:start w:val="1"/>
    </w:lvl>
    <w:lvl w:ilvl="1">
      <w:lvlJc w:val="left"/>
      <w:lvlText w:val="(%2)"/>
      <w:numFmt w:val="lowerRoman"/>
      <w:start w:val="1"/>
    </w:lvl>
  </w:abstractNum>
  <w:abstractNum w:abstractNumId="316">
    <w:nsid w:val="3C09D4A1"/>
    <w:multiLevelType w:val="hybridMultilevel"/>
    <w:lvl w:ilvl="0">
      <w:lvlJc w:val="left"/>
      <w:lvlText w:val="(%1)"/>
      <w:numFmt w:val="lowerRoman"/>
      <w:start w:val="3"/>
    </w:lvl>
  </w:abstractNum>
  <w:abstractNum w:abstractNumId="317">
    <w:nsid w:val="20E45CA4"/>
    <w:multiLevelType w:val="hybridMultilevel"/>
    <w:lvl w:ilvl="0">
      <w:lvlJc w:val="left"/>
      <w:lvlText w:val="(%1)"/>
      <w:numFmt w:val="lowerRoman"/>
      <w:start w:val="4"/>
    </w:lvl>
  </w:abstractNum>
  <w:abstractNum w:abstractNumId="318">
    <w:nsid w:val="4B232EE3"/>
    <w:multiLevelType w:val="hybridMultilevel"/>
    <w:lvl w:ilvl="0">
      <w:lvlJc w:val="left"/>
      <w:lvlText w:val="(%1)"/>
      <w:numFmt w:val="lowerLetter"/>
      <w:start w:val="2"/>
    </w:lvl>
  </w:abstractNum>
  <w:abstractNum w:abstractNumId="319">
    <w:nsid w:val="159C74CF"/>
    <w:multiLevelType w:val="hybridMultilevel"/>
    <w:lvl w:ilvl="0">
      <w:lvlJc w:val="left"/>
      <w:lvlText w:val="(%1)"/>
      <w:numFmt w:val="lowerLetter"/>
      <w:start w:val="3"/>
    </w:lvl>
  </w:abstractNum>
  <w:abstractNum w:abstractNumId="320">
    <w:nsid w:val="4AD3AFD2"/>
    <w:multiLevelType w:val="hybridMultilevel"/>
    <w:lvl w:ilvl="0">
      <w:lvlJc w:val="left"/>
      <w:lvlText w:val="(%1)"/>
      <w:numFmt w:val="lowerLetter"/>
      <w:start w:val="4"/>
    </w:lvl>
  </w:abstractNum>
  <w:abstractNum w:abstractNumId="321">
    <w:nsid w:val="3CF93092"/>
    <w:multiLevelType w:val="hybridMultilevel"/>
    <w:lvl w:ilvl="0">
      <w:lvlJc w:val="left"/>
      <w:lvlText w:val="(%1)"/>
      <w:numFmt w:val="lowerLetter"/>
      <w:start w:val="5"/>
    </w:lvl>
  </w:abstractNum>
  <w:abstractNum w:abstractNumId="322">
    <w:nsid w:val="6863E8D2"/>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23">
    <w:nsid w:val="76896198"/>
    <w:multiLevelType w:val="hybridMultilevel"/>
    <w:lvl w:ilvl="0">
      <w:lvlJc w:val="left"/>
      <w:lvlText w:val="(%1)"/>
      <w:numFmt w:val="lowerLetter"/>
      <w:start w:val="8"/>
    </w:lvl>
    <w:lvl w:ilvl="1">
      <w:lvlJc w:val="left"/>
      <w:lvlText w:val="(%2)"/>
      <w:numFmt w:val="lowerRoman"/>
      <w:start w:val="1"/>
    </w:lvl>
  </w:abstractNum>
  <w:abstractNum w:abstractNumId="324">
    <w:nsid w:val="4365174B"/>
    <w:multiLevelType w:val="hybridMultilevel"/>
    <w:lvl w:ilvl="0">
      <w:lvlJc w:val="left"/>
      <w:lvlText w:val="%1"/>
      <w:numFmt w:val="lowerRoman"/>
      <w:start w:val="1"/>
    </w:lvl>
    <w:lvl w:ilvl="1">
      <w:lvlJc w:val="left"/>
      <w:lvlText w:val="(%2)"/>
      <w:numFmt w:val="lowerRoman"/>
      <w:start w:val="3"/>
    </w:lvl>
  </w:abstractNum>
  <w:abstractNum w:abstractNumId="325">
    <w:nsid w:val="4A872C35"/>
    <w:multiLevelType w:val="hybridMultilevel"/>
    <w:lvl w:ilvl="0">
      <w:lvlJc w:val="left"/>
      <w:lvlText w:val="%1"/>
      <w:numFmt w:val="lowerRoman"/>
      <w:start w:val="1"/>
    </w:lvl>
    <w:lvl w:ilvl="1">
      <w:lvlJc w:val="left"/>
      <w:lvlText w:val="(%2)"/>
      <w:numFmt w:val="lowerRoman"/>
      <w:start w:val="3"/>
    </w:lvl>
  </w:abstractNum>
  <w:abstractNum w:abstractNumId="326">
    <w:nsid w:val="5D5CE761"/>
    <w:multiLevelType w:val="hybridMultilevel"/>
    <w:lvl w:ilvl="0">
      <w:lvlJc w:val="left"/>
      <w:lvlText w:val="(%1)"/>
      <w:numFmt w:val="lowerRoman"/>
      <w:start w:val="1"/>
    </w:lvl>
    <w:lvl w:ilvl="1">
      <w:lvlJc w:val="left"/>
      <w:lvlText w:val="(%2)"/>
      <w:numFmt w:val="lowerRoman"/>
      <w:start w:val="1"/>
    </w:lvl>
  </w:abstractNum>
  <w:abstractNum w:abstractNumId="327">
    <w:nsid w:val="1CD484D5"/>
    <w:multiLevelType w:val="hybridMultilevel"/>
    <w:lvl w:ilvl="0">
      <w:lvlJc w:val="left"/>
      <w:lvlText w:val="(%1)"/>
      <w:numFmt w:val="lowerLetter"/>
      <w:start w:val="10"/>
    </w:lvl>
    <w:lvl w:ilvl="1">
      <w:lvlJc w:val="left"/>
      <w:lvlText w:val="(%2)"/>
      <w:numFmt w:val="lowerRoman"/>
      <w:start w:val="1"/>
    </w:lvl>
  </w:abstractNum>
  <w:abstractNum w:abstractNumId="328">
    <w:nsid w:val="21D06255"/>
    <w:multiLevelType w:val="hybridMultilevel"/>
    <w:lvl w:ilvl="0">
      <w:lvlJc w:val="left"/>
      <w:lvlText w:val="(%1)"/>
      <w:numFmt w:val="lowerLetter"/>
      <w:start w:val="11"/>
    </w:lvl>
  </w:abstractNum>
  <w:abstractNum w:abstractNumId="329">
    <w:nsid w:val="51194ED1"/>
    <w:multiLevelType w:val="hybridMultilevel"/>
    <w:lvl w:ilvl="0">
      <w:lvlJc w:val="left"/>
      <w:lvlText w:val="(%1)"/>
      <w:numFmt w:val="lowerLetter"/>
      <w:start w:val="12"/>
    </w:lvl>
    <w:lvl w:ilvl="1">
      <w:lvlJc w:val="left"/>
      <w:lvlText w:val="(%2)"/>
      <w:numFmt w:val="lowerRoman"/>
      <w:start w:val="1"/>
    </w:lvl>
  </w:abstractNum>
  <w:abstractNum w:abstractNumId="330">
    <w:nsid w:val="44E2ED6C"/>
    <w:multiLevelType w:val="hybridMultilevel"/>
    <w:lvl w:ilvl="0">
      <w:lvlJc w:val="left"/>
      <w:lvlText w:val="(%1)"/>
      <w:numFmt w:val="lowerLetter"/>
      <w:start w:val="14"/>
    </w:lvl>
  </w:abstractNum>
  <w:abstractNum w:abstractNumId="331">
    <w:nsid w:val="2219B33"/>
    <w:multiLevelType w:val="hybridMultilevel"/>
    <w:lvl w:ilvl="0">
      <w:lvlJc w:val="left"/>
      <w:lvlText w:val="(%1)"/>
      <w:numFmt w:val="lowerLetter"/>
      <w:start w:val="15"/>
    </w:lvl>
  </w:abstractNum>
  <w:abstractNum w:abstractNumId="332">
    <w:nsid w:val="773BFBDD"/>
    <w:multiLevelType w:val="hybridMultilevel"/>
    <w:lvl w:ilvl="0">
      <w:lvlJc w:val="left"/>
      <w:lvlText w:val="(%1)"/>
      <w:numFmt w:val="lowerLetter"/>
      <w:start w:val="16"/>
    </w:lvl>
  </w:abstractNum>
  <w:abstractNum w:abstractNumId="333">
    <w:nsid w:val="2C7C62C2"/>
    <w:multiLevelType w:val="hybridMultilevel"/>
    <w:lvl w:ilvl="0">
      <w:lvlJc w:val="left"/>
      <w:lvlText w:val="(%1)"/>
      <w:numFmt w:val="lowerLetter"/>
      <w:start w:val="17"/>
    </w:lvl>
  </w:abstractNum>
  <w:abstractNum w:abstractNumId="334">
    <w:nsid w:val="1A54D7BC"/>
    <w:multiLevelType w:val="hybridMultilevel"/>
    <w:lvl w:ilvl="0">
      <w:lvlJc w:val="left"/>
      <w:lvlText w:val="(%1)"/>
      <w:numFmt w:val="lowerLetter"/>
      <w:start w:val="18"/>
    </w:lvl>
  </w:abstractNum>
  <w:abstractNum w:abstractNumId="335">
    <w:nsid w:val="42E57EF7"/>
    <w:multiLevelType w:val="hybridMultilevel"/>
    <w:lvl w:ilvl="0">
      <w:lvlJc w:val="left"/>
      <w:lvlText w:val="(%1)"/>
      <w:numFmt w:val="lowerLetter"/>
      <w:start w:val="19"/>
    </w:lvl>
  </w:abstractNum>
  <w:abstractNum w:abstractNumId="336">
    <w:nsid w:val="33537CED"/>
    <w:multiLevelType w:val="hybridMultilevel"/>
    <w:lvl w:ilvl="0">
      <w:lvlJc w:val="left"/>
      <w:lvlText w:val="(%1)"/>
      <w:numFmt w:val="lowerLetter"/>
      <w:start w:val="20"/>
    </w:lvl>
  </w:abstractNum>
  <w:abstractNum w:abstractNumId="337">
    <w:nsid w:val="27514ADE"/>
    <w:multiLevelType w:val="hybridMultilevel"/>
    <w:lvl w:ilvl="0">
      <w:lvlJc w:val="left"/>
      <w:lvlText w:val="%1"/>
      <w:numFmt w:val="lowerLetter"/>
      <w:start w:val="1"/>
    </w:lvl>
    <w:lvl w:ilvl="1">
      <w:lvlJc w:val="left"/>
      <w:lvlText w:val="(%2)"/>
      <w:numFmt w:val="lowerLetter"/>
      <w:start w:val="9"/>
    </w:lvl>
  </w:abstractNum>
  <w:abstractNum w:abstractNumId="338">
    <w:nsid w:val="57071613"/>
    <w:multiLevelType w:val="hybridMultilevel"/>
    <w:lvl w:ilvl="0">
      <w:lvlJc w:val="left"/>
      <w:lvlText w:val="(%1)"/>
      <w:numFmt w:val="lowerLetter"/>
      <w:start w:val="21"/>
    </w:lvl>
    <w:lvl w:ilvl="1">
      <w:lvlJc w:val="left"/>
      <w:lvlText w:val="%2"/>
      <w:numFmt w:val="lowerLetter"/>
      <w:start w:val="1"/>
    </w:lvl>
  </w:abstractNum>
  <w:abstractNum w:abstractNumId="339">
    <w:nsid w:val="5293BFEF"/>
    <w:multiLevelType w:val="hybridMultilevel"/>
    <w:lvl w:ilvl="0">
      <w:lvlJc w:val="left"/>
      <w:lvlText w:val="(%1)"/>
      <w:numFmt w:val="lowerLetter"/>
      <w:start w:val="22"/>
    </w:lvl>
    <w:lvl w:ilvl="1">
      <w:lvlJc w:val="left"/>
      <w:lvlText w:val="(%2)"/>
      <w:numFmt w:val="lowerRoman"/>
      <w:start w:val="1"/>
    </w:lvl>
  </w:abstractNum>
  <w:abstractNum w:abstractNumId="340">
    <w:nsid w:val="38BF53E5"/>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341">
    <w:nsid w:val="226F532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42">
    <w:nsid w:val="5A0201C7"/>
    <w:multiLevelType w:val="hybridMultilevel"/>
    <w:lvl w:ilvl="0">
      <w:lvlJc w:val="left"/>
      <w:lvlText w:val="(%1)"/>
      <w:numFmt w:val="lowerLetter"/>
      <w:start w:val="1"/>
    </w:lvl>
  </w:abstractNum>
  <w:abstractNum w:abstractNumId="343">
    <w:nsid w:val="2A9C34E2"/>
    <w:multiLevelType w:val="hybridMultilevel"/>
    <w:lvl w:ilvl="0">
      <w:lvlJc w:val="left"/>
      <w:lvlText w:val="(%1)"/>
      <w:numFmt w:val="lowerLetter"/>
      <w:start w:val="2"/>
    </w:lvl>
  </w:abstractNum>
  <w:abstractNum w:abstractNumId="344">
    <w:nsid w:val="1B7585AB"/>
    <w:multiLevelType w:val="hybridMultilevel"/>
    <w:lvl w:ilvl="0">
      <w:lvlJc w:val="left"/>
      <w:lvlText w:val="(%1)"/>
      <w:numFmt w:val="lowerLetter"/>
      <w:start w:val="3"/>
    </w:lvl>
  </w:abstractNum>
  <w:abstractNum w:abstractNumId="345">
    <w:nsid w:val="612DBDDD"/>
    <w:multiLevelType w:val="hybridMultilevel"/>
    <w:lvl w:ilvl="0">
      <w:lvlJc w:val="left"/>
      <w:lvlText w:val="(%1)"/>
      <w:numFmt w:val="lowerLetter"/>
      <w:start w:val="4"/>
    </w:lvl>
  </w:abstractNum>
  <w:abstractNum w:abstractNumId="346">
    <w:nsid w:val="2109CDA4"/>
    <w:multiLevelType w:val="hybridMultilevel"/>
    <w:lvl w:ilvl="0">
      <w:lvlJc w:val="left"/>
      <w:lvlText w:val="(%1)"/>
      <w:numFmt w:val="lowerLetter"/>
      <w:start w:val="5"/>
    </w:lvl>
  </w:abstractNum>
  <w:abstractNum w:abstractNumId="347">
    <w:nsid w:val="577F5A4D"/>
    <w:multiLevelType w:val="hybridMultilevel"/>
    <w:lvl w:ilvl="0">
      <w:lvlJc w:val="left"/>
      <w:lvlText w:val="(%1)"/>
      <w:numFmt w:val="lowerLetter"/>
      <w:start w:val="6"/>
    </w:lvl>
  </w:abstractNum>
  <w:abstractNum w:abstractNumId="348">
    <w:nsid w:val="2121A81"/>
    <w:multiLevelType w:val="hybridMultilevel"/>
    <w:lvl w:ilvl="0">
      <w:lvlJc w:val="left"/>
      <w:lvlText w:val="(%1)"/>
      <w:numFmt w:val="lowerLetter"/>
      <w:start w:val="7"/>
    </w:lvl>
  </w:abstractNum>
  <w:abstractNum w:abstractNumId="349">
    <w:nsid w:val="6C2CFC88"/>
    <w:multiLevelType w:val="hybridMultilevel"/>
    <w:lvl w:ilvl="0">
      <w:lvlJc w:val="left"/>
      <w:lvlText w:val="(%1)"/>
      <w:numFmt w:val="lowerLetter"/>
      <w:start w:val="8"/>
    </w:lvl>
  </w:abstractNum>
  <w:abstractNum w:abstractNumId="350">
    <w:nsid w:val="6D1BCF1C"/>
    <w:multiLevelType w:val="hybridMultilevel"/>
    <w:lvl w:ilvl="0">
      <w:lvlJc w:val="left"/>
      <w:lvlText w:val="(%1)"/>
      <w:numFmt w:val="lowerRoman"/>
      <w:start w:val="1"/>
    </w:lvl>
  </w:abstractNum>
  <w:abstractNum w:abstractNumId="351">
    <w:nsid w:val="4CE5CA53"/>
    <w:multiLevelType w:val="hybridMultilevel"/>
    <w:lvl w:ilvl="0">
      <w:lvlJc w:val="left"/>
      <w:lvlText w:val="(%1)"/>
      <w:numFmt w:val="lowerLetter"/>
      <w:start w:val="10"/>
    </w:lvl>
  </w:abstractNum>
  <w:abstractNum w:abstractNumId="352">
    <w:nsid w:val="29262D1A"/>
    <w:multiLevelType w:val="hybridMultilevel"/>
    <w:lvl w:ilvl="0">
      <w:lvlJc w:val="left"/>
      <w:lvlText w:val="(%1)"/>
      <w:numFmt w:val="lowerLetter"/>
      <w:start w:val="11"/>
    </w:lvl>
  </w:abstractNum>
  <w:abstractNum w:abstractNumId="353">
    <w:nsid w:val="557FB7EE"/>
    <w:multiLevelType w:val="hybridMultilevel"/>
    <w:lvl w:ilvl="0">
      <w:lvlJc w:val="left"/>
      <w:lvlText w:val="%1."/>
      <w:numFmt w:val="decimal"/>
      <w:start w:val="1"/>
    </w:lvl>
  </w:abstractNum>
  <w:abstractNum w:abstractNumId="354">
    <w:nsid w:val="436F2BEB"/>
    <w:multiLevelType w:val="hybridMultilevel"/>
    <w:lvl w:ilvl="0">
      <w:lvlJc w:val="left"/>
      <w:lvlText w:val="%1."/>
      <w:numFmt w:val="decimal"/>
      <w:start w:val="2"/>
    </w:lvl>
  </w:abstractNum>
  <w:abstractNum w:abstractNumId="355">
    <w:nsid w:val="6C8B4466"/>
    <w:multiLevelType w:val="hybridMultilevel"/>
    <w:lvl w:ilvl="0">
      <w:lvlJc w:val="left"/>
      <w:lvlText w:val="%1."/>
      <w:numFmt w:val="decimal"/>
      <w:start w:val="3"/>
    </w:lvl>
  </w:abstractNum>
  <w:abstractNum w:abstractNumId="356">
    <w:nsid w:val="2006E424"/>
    <w:multiLevelType w:val="hybridMultilevel"/>
    <w:lvl w:ilvl="0">
      <w:lvlJc w:val="left"/>
      <w:lvlText w:val="%1."/>
      <w:numFmt w:val="decimal"/>
      <w:start w:val="1"/>
    </w:lvl>
    <w:lvl w:ilvl="1">
      <w:lvlJc w:val="left"/>
      <w:lvlText w:val="(%2)"/>
      <w:numFmt w:val="lowerLetter"/>
      <w:start w:val="1"/>
    </w:lvl>
  </w:abstractNum>
  <w:abstractNum w:abstractNumId="357">
    <w:nsid w:val="20CC134C"/>
    <w:multiLevelType w:val="hybridMultilevel"/>
    <w:lvl w:ilvl="0">
      <w:lvlJc w:val="left"/>
      <w:lvlText w:val="%1."/>
      <w:numFmt w:val="decimal"/>
      <w:start w:val="2"/>
    </w:lvl>
  </w:abstractNum>
  <w:abstractNum w:abstractNumId="358">
    <w:nsid w:val="95FC93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359">
    <w:nsid w:val="41D74679"/>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360">
    <w:nsid w:val="71E5621E"/>
    <w:multiLevelType w:val="hybridMultilevel"/>
    <w:lvl w:ilvl="0">
      <w:lvlJc w:val="left"/>
      <w:lvlText w:val="%1"/>
      <w:numFmt w:val="decimal"/>
      <w:start w:val="1"/>
    </w:lvl>
    <w:lvl w:ilvl="1">
      <w:lvlJc w:val="left"/>
      <w:lvlText w:val="(%2)"/>
      <w:numFmt w:val="lowerLetter"/>
      <w:start w:val="2"/>
    </w:lvl>
  </w:abstractNum>
  <w:abstractNum w:abstractNumId="361">
    <w:nsid w:val="4E42B6A8"/>
    <w:multiLevelType w:val="hybridMultilevel"/>
    <w:lvl w:ilvl="0">
      <w:lvlJc w:val="left"/>
      <w:lvlText w:val="%1."/>
      <w:numFmt w:val="decimal"/>
      <w:start w:val="4"/>
    </w:lvl>
    <w:lvl w:ilvl="1">
      <w:lvlJc w:val="left"/>
      <w:lvlText w:val="%2"/>
      <w:numFmt w:val="lowerLetter"/>
      <w:start w:val="1"/>
    </w:lvl>
  </w:abstractNum>
  <w:abstractNum w:abstractNumId="362">
    <w:nsid w:val="43F8E1AC"/>
    <w:multiLevelType w:val="hybridMultilevel"/>
    <w:lvl w:ilvl="0">
      <w:lvlJc w:val="left"/>
      <w:lvlText w:val="%1."/>
      <w:numFmt w:val="decimal"/>
      <w:start w:val="5"/>
    </w:lvl>
  </w:abstractNum>
  <w:abstractNum w:abstractNumId="363">
    <w:nsid w:val="69215DFB"/>
    <w:multiLevelType w:val="hybridMultilevel"/>
    <w:lvl w:ilvl="0">
      <w:lvlJc w:val="left"/>
      <w:lvlText w:val="%1."/>
      <w:numFmt w:val="decimal"/>
      <w:start w:val="6"/>
    </w:lvl>
  </w:abstractNum>
  <w:abstractNum w:abstractNumId="364">
    <w:nsid w:val="7ABF196A"/>
    <w:multiLevelType w:val="hybridMultilevel"/>
    <w:lvl w:ilvl="0">
      <w:lvlJc w:val="left"/>
      <w:lvlText w:val="%1."/>
      <w:numFmt w:val="decimal"/>
      <w:start w:val="7"/>
    </w:lvl>
  </w:abstractNum>
  <w:abstractNum w:abstractNumId="365">
    <w:nsid w:val="5E4DB968"/>
    <w:multiLevelType w:val="hybridMultilevel"/>
    <w:lvl w:ilvl="0">
      <w:lvlJc w:val="left"/>
      <w:lvlText w:val="%1."/>
      <w:numFmt w:val="decimal"/>
      <w:start w:val="8"/>
    </w:lvl>
  </w:abstractNum>
  <w:abstractNum w:abstractNumId="366">
    <w:nsid w:val="2C06DCF3"/>
    <w:multiLevelType w:val="hybridMultilevel"/>
    <w:lvl w:ilvl="0">
      <w:lvlJc w:val="left"/>
      <w:lvlText w:val="%1."/>
      <w:numFmt w:val="decimal"/>
      <w:start w:val="9"/>
    </w:lvl>
  </w:abstractNum>
  <w:abstractNum w:abstractNumId="367">
    <w:nsid w:val="2E129658"/>
    <w:multiLevelType w:val="hybridMultilevel"/>
    <w:lvl w:ilvl="0">
      <w:lvlJc w:val="left"/>
      <w:lvlText w:val="%1."/>
      <w:numFmt w:val="decimal"/>
      <w:start w:val="10"/>
    </w:lvl>
  </w:abstractNum>
  <w:abstractNum w:abstractNumId="368">
    <w:nsid w:val="59F0446"/>
    <w:multiLevelType w:val="hybridMultilevel"/>
    <w:lvl w:ilvl="0">
      <w:lvlJc w:val="left"/>
      <w:lvlText w:val="%1."/>
      <w:numFmt w:val="decimal"/>
      <w:start w:val="1"/>
    </w:lvl>
  </w:abstractNum>
  <w:abstractNum w:abstractNumId="369">
    <w:nsid w:val="30DF306"/>
    <w:multiLevelType w:val="hybridMultilevel"/>
    <w:lvl w:ilvl="0">
      <w:lvlJc w:val="left"/>
      <w:lvlText w:val="(%1)"/>
      <w:numFmt w:val="lowerLetter"/>
      <w:start w:val="1"/>
    </w:lvl>
  </w:abstractNum>
  <w:abstractNum w:abstractNumId="370">
    <w:nsid w:val="A65647"/>
    <w:multiLevelType w:val="hybridMultilevel"/>
    <w:lvl w:ilvl="0">
      <w:lvlJc w:val="left"/>
      <w:lvlText w:val="(%1)"/>
      <w:numFmt w:val="lowerLetter"/>
      <w:start w:val="3"/>
    </w:lvl>
  </w:abstractNum>
  <w:abstractNum w:abstractNumId="371">
    <w:nsid w:val="3E5E582B"/>
    <w:multiLevelType w:val="hybridMultilevel"/>
    <w:lvl w:ilvl="0">
      <w:lvlJc w:val="left"/>
      <w:lvlText w:val="%1."/>
      <w:numFmt w:val="decimal"/>
      <w:start w:val="1"/>
    </w:lvl>
  </w:abstractNum>
  <w:abstractNum w:abstractNumId="372">
    <w:nsid w:val="257D4626"/>
    <w:multiLevelType w:val="hybridMultilevel"/>
    <w:lvl w:ilvl="0">
      <w:lvlJc w:val="left"/>
      <w:lvlText w:val="(%1)"/>
      <w:numFmt w:val="lowerLetter"/>
      <w:start w:val="1"/>
    </w:lvl>
  </w:abstractNum>
  <w:abstractNum w:abstractNumId="373">
    <w:nsid w:val="5AA8580E"/>
    <w:multiLevelType w:val="hybridMultilevel"/>
    <w:lvl w:ilvl="0">
      <w:lvlJc w:val="left"/>
      <w:lvlText w:val="(%1)"/>
      <w:numFmt w:val="lowerLetter"/>
      <w:start w:val="2"/>
    </w:lvl>
  </w:abstractNum>
  <w:abstractNum w:abstractNumId="374">
    <w:nsid w:val="68FA8D0D"/>
    <w:multiLevelType w:val="hybridMultilevel"/>
    <w:lvl w:ilvl="0">
      <w:lvlJc w:val="left"/>
      <w:lvlText w:val="(%1)"/>
      <w:numFmt w:val="lowerLetter"/>
      <w:start w:val="3"/>
    </w:lvl>
  </w:abstractNum>
  <w:abstractNum w:abstractNumId="375">
    <w:nsid w:val="40F2CBD2"/>
    <w:multiLevelType w:val="hybridMultilevel"/>
    <w:lvl w:ilvl="0">
      <w:lvlJc w:val="left"/>
      <w:lvlText w:val="(%1)"/>
      <w:numFmt w:val="lowerLetter"/>
      <w:start w:val="4"/>
    </w:lvl>
  </w:abstractNum>
  <w:abstractNum w:abstractNumId="376">
    <w:nsid w:val="3BD615EB"/>
    <w:multiLevelType w:val="hybridMultilevel"/>
    <w:lvl w:ilvl="0">
      <w:lvlJc w:val="left"/>
      <w:lvlText w:val="(%1)"/>
      <w:numFmt w:val="lowerLetter"/>
      <w:start w:val="5"/>
    </w:lvl>
  </w:abstractNum>
  <w:abstractNum w:abstractNumId="377">
    <w:nsid w:val="A045AB2"/>
    <w:multiLevelType w:val="hybridMultilevel"/>
    <w:lvl w:ilvl="0">
      <w:lvlJc w:val="left"/>
      <w:lvlText w:val="(%1)"/>
      <w:numFmt w:val="lowerLetter"/>
      <w:start w:val="6"/>
    </w:lvl>
  </w:abstractNum>
  <w:abstractNum w:abstractNumId="378">
    <w:nsid w:val="1872261F"/>
    <w:multiLevelType w:val="hybridMultilevel"/>
    <w:lvl w:ilvl="0">
      <w:lvlJc w:val="left"/>
      <w:lvlText w:val="(%1)"/>
      <w:numFmt w:val="lowerLetter"/>
      <w:start w:val="7"/>
    </w:lvl>
  </w:abstractNum>
  <w:abstractNum w:abstractNumId="379">
    <w:nsid w:val="3DE8306C"/>
    <w:multiLevelType w:val="hybridMultilevel"/>
    <w:lvl w:ilvl="0">
      <w:lvlJc w:val="left"/>
      <w:lvlText w:val="(%1)"/>
      <w:numFmt w:val="lowerLetter"/>
      <w:start w:val="8"/>
    </w:lvl>
  </w:abstractNum>
  <w:abstractNum w:abstractNumId="380">
    <w:nsid w:val="7631573A"/>
    <w:multiLevelType w:val="hybridMultilevel"/>
    <w:lvl w:ilvl="0">
      <w:lvlJc w:val="left"/>
      <w:lvlText w:val="(%1)"/>
      <w:numFmt w:val="lowerRoman"/>
      <w:start w:val="1"/>
    </w:lvl>
  </w:abstractNum>
  <w:abstractNum w:abstractNumId="381">
    <w:nsid w:val="58DF53B"/>
    <w:multiLevelType w:val="hybridMultilevel"/>
    <w:lvl w:ilvl="0">
      <w:lvlJc w:val="left"/>
      <w:lvlText w:val="(%1)"/>
      <w:numFmt w:val="lowerLetter"/>
      <w:start w:val="10"/>
    </w:lvl>
  </w:abstractNum>
  <w:abstractNum w:abstractNumId="382">
    <w:nsid w:val="ACDFAC0"/>
    <w:multiLevelType w:val="hybridMultilevel"/>
    <w:lvl w:ilvl="0">
      <w:lvlJc w:val="left"/>
      <w:lvlText w:val="(%1)"/>
      <w:numFmt w:val="lowerLetter"/>
      <w:start w:val="11"/>
    </w:lvl>
  </w:abstractNum>
  <w:abstractNum w:abstractNumId="383">
    <w:nsid w:val="1F578454"/>
    <w:multiLevelType w:val="hybridMultilevel"/>
    <w:lvl w:ilvl="0">
      <w:lvlJc w:val="left"/>
      <w:lvlText w:val="(%1)"/>
      <w:numFmt w:val="lowerLetter"/>
      <w:start w:val="12"/>
    </w:lvl>
  </w:abstractNum>
  <w:abstractNum w:abstractNumId="384">
    <w:nsid w:val="5B0DAD2A"/>
    <w:multiLevelType w:val="hybridMultilevel"/>
    <w:lvl w:ilvl="0">
      <w:lvlJc w:val="left"/>
      <w:lvlText w:val="(%1)"/>
      <w:numFmt w:val="lowerLetter"/>
      <w:start w:val="13"/>
    </w:lvl>
  </w:abstractNum>
  <w:abstractNum w:abstractNumId="385">
    <w:nsid w:val="4E3D26AB"/>
    <w:multiLevelType w:val="hybridMultilevel"/>
    <w:lvl w:ilvl="0">
      <w:lvlJc w:val="left"/>
      <w:lvlText w:val="%1."/>
      <w:numFmt w:val="decimal"/>
      <w:start w:val="1"/>
    </w:lvl>
  </w:abstractNum>
  <w:abstractNum w:abstractNumId="386">
    <w:nsid w:val="BE2C8BA"/>
    <w:multiLevelType w:val="hybridMultilevel"/>
    <w:lvl w:ilvl="0">
      <w:lvlJc w:val="left"/>
      <w:lvlText w:val="(%1)"/>
      <w:numFmt w:val="lowerLetter"/>
      <w:start w:val="1"/>
    </w:lvl>
  </w:abstractNum>
  <w:abstractNum w:abstractNumId="387">
    <w:nsid w:val="7B14914E"/>
    <w:multiLevelType w:val="hybridMultilevel"/>
    <w:lvl w:ilvl="0">
      <w:lvlJc w:val="left"/>
      <w:lvlText w:val="%1."/>
      <w:numFmt w:val="decimal"/>
      <w:start w:val="2"/>
    </w:lvl>
  </w:abstractNum>
  <w:abstractNum w:abstractNumId="388">
    <w:nsid w:val="6F0939F8"/>
    <w:multiLevelType w:val="hybridMultilevel"/>
    <w:lvl w:ilvl="0">
      <w:lvlJc w:val="left"/>
      <w:lvlText w:val="%1."/>
      <w:numFmt w:val="decimal"/>
      <w:start w:val="3"/>
    </w:lvl>
  </w:abstractNum>
  <w:abstractNum w:abstractNumId="389">
    <w:nsid w:val="154291F6"/>
    <w:multiLevelType w:val="hybridMultilevel"/>
    <w:lvl w:ilvl="0">
      <w:lvlJc w:val="left"/>
      <w:lvlText w:val="%1."/>
      <w:numFmt w:val="decimal"/>
      <w:start w:val="1"/>
    </w:lvl>
  </w:abstractNum>
  <w:abstractNum w:abstractNumId="390">
    <w:nsid w:val="3CEBD7C7"/>
    <w:multiLevelType w:val="hybridMultilevel"/>
    <w:lvl w:ilvl="0">
      <w:lvlJc w:val="left"/>
      <w:lvlText w:val="(%1)"/>
      <w:numFmt w:val="lowerLetter"/>
      <w:start w:val="1"/>
    </w:lvl>
  </w:abstractNum>
  <w:abstractNum w:abstractNumId="391">
    <w:nsid w:val="60EE9C16"/>
    <w:multiLevelType w:val="hybridMultilevel"/>
    <w:lvl w:ilvl="0">
      <w:lvlJc w:val="left"/>
      <w:lvlText w:val="%1"/>
      <w:numFmt w:val="decimal"/>
      <w:start w:val="1"/>
    </w:lvl>
    <w:lvl w:ilvl="1">
      <w:lvlJc w:val="left"/>
      <w:lvlText w:val="(%2)"/>
      <w:numFmt w:val="lowerLetter"/>
      <w:start w:val="2"/>
    </w:lvl>
  </w:abstractNum>
  <w:abstractNum w:abstractNumId="392">
    <w:nsid w:val="6385489E"/>
    <w:multiLevelType w:val="hybridMultilevel"/>
    <w:lvl w:ilvl="0">
      <w:lvlJc w:val="left"/>
      <w:lvlText w:val="%1."/>
      <w:numFmt w:val="decimal"/>
      <w:start w:val="2"/>
    </w:lvl>
    <w:lvl w:ilvl="1">
      <w:lvlJc w:val="left"/>
      <w:lvlText w:val="%2"/>
      <w:numFmt w:val="lowerLetter"/>
      <w:start w:val="1"/>
    </w:lvl>
  </w:abstractNum>
  <w:abstractNum w:abstractNumId="393">
    <w:nsid w:val="E4B973"/>
    <w:multiLevelType w:val="hybridMultilevel"/>
    <w:lvl w:ilvl="0">
      <w:lvlJc w:val="left"/>
      <w:lvlText w:val="(%1)"/>
      <w:numFmt w:val="lowerLetter"/>
      <w:start w:val="1"/>
    </w:lvl>
  </w:abstractNum>
  <w:abstractNum w:abstractNumId="394">
    <w:nsid w:val="4A0FFA11"/>
    <w:multiLevelType w:val="hybridMultilevel"/>
    <w:lvl w:ilvl="0">
      <w:lvlJc w:val="left"/>
      <w:lvlText w:val="%1."/>
      <w:numFmt w:val="decimal"/>
      <w:start w:val="2"/>
    </w:lvl>
  </w:abstractNum>
  <w:abstractNum w:abstractNumId="395">
    <w:nsid w:val="5E446208"/>
    <w:multiLevelType w:val="hybridMultilevel"/>
    <w:lvl w:ilvl="0">
      <w:lvlJc w:val="left"/>
      <w:lvlText w:val="(%1)"/>
      <w:numFmt w:val="lowerLetter"/>
      <w:start w:val="1"/>
    </w:lvl>
  </w:abstractNum>
  <w:abstractNum w:abstractNumId="396">
    <w:nsid w:val="5F3272DB"/>
    <w:multiLevelType w:val="hybridMultilevel"/>
    <w:lvl w:ilvl="0">
      <w:lvlJc w:val="left"/>
      <w:lvlText w:val="%1."/>
      <w:numFmt w:val="decimal"/>
      <w:start w:val="1"/>
    </w:lvl>
  </w:abstractNum>
  <w:abstractNum w:abstractNumId="397">
    <w:nsid w:val="7616D704"/>
    <w:multiLevelType w:val="hybridMultilevel"/>
    <w:lvl w:ilvl="0">
      <w:lvlJc w:val="left"/>
      <w:lvlText w:val="%1."/>
      <w:numFmt w:val="decimal"/>
      <w:start w:val="4"/>
    </w:lvl>
  </w:abstractNum>
  <w:abstractNum w:abstractNumId="398">
    <w:nsid w:val="C56F860"/>
    <w:multiLevelType w:val="hybridMultilevel"/>
    <w:lvl w:ilvl="0">
      <w:lvlJc w:val="left"/>
      <w:lvlText w:val="%1."/>
      <w:numFmt w:val="decimal"/>
      <w:start w:val="1"/>
    </w:lvl>
  </w:abstractNum>
  <w:abstractNum w:abstractNumId="399">
    <w:nsid w:val="64D17722"/>
    <w:multiLevelType w:val="hybridMultilevel"/>
    <w:lvl w:ilvl="0">
      <w:lvlJc w:val="left"/>
      <w:lvlText w:val="%1."/>
      <w:numFmt w:val="decimal"/>
      <w:start w:val="6"/>
    </w:lvl>
  </w:abstractNum>
  <w:abstractNum w:abstractNumId="400">
    <w:nsid w:val="7924CA0A"/>
    <w:multiLevelType w:val="hybridMultilevel"/>
    <w:lvl w:ilvl="0">
      <w:lvlJc w:val="left"/>
      <w:lvlText w:val="%1."/>
      <w:numFmt w:val="decimal"/>
      <w:start w:val="1"/>
    </w:lvl>
  </w:abstractNum>
  <w:abstractNum w:abstractNumId="401">
    <w:nsid w:val="CFD4EA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2019-12-15T12:58:36Z</dcterms:created>
  <dcterms:modified xsi:type="dcterms:W3CDTF">2019-12-15T12:58:36Z</dcterms:modified>
</cp:coreProperties>
</file>