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00"/>
        <w:spacing w:after="0" w:line="250" w:lineRule="auto"/>
        <w:rPr>
          <w:sz w:val="20"/>
          <w:szCs w:val="20"/>
          <w:color w:val="auto"/>
        </w:rPr>
      </w:pPr>
      <w:r>
        <w:rPr>
          <w:rFonts w:ascii="Arial" w:cs="Arial" w:eastAsia="Arial" w:hAnsi="Arial"/>
          <w:sz w:val="22"/>
          <w:szCs w:val="22"/>
          <w:color w:val="auto"/>
        </w:rPr>
        <w:t>On December 2, 2016, PennantPark Investment Corporation issued a press release announcing first fiscal quarter 2017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December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02, 2016</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December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NEW YORK, NY -- (Marketwired - December 02, 2016) - PennantPark Investment Corporation (the "Company") (NASDAQ: PNNT) declares first fiscal quarter 2017 distribution of $0.28 per share, payable on January 3, 2017 to stockholders of record as of December 22,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2020-05-05T15:07:31Z</dcterms:created>
  <dcterms:modified xsi:type="dcterms:W3CDTF">2020-05-05T15:07:31Z</dcterms:modified>
</cp:coreProperties>
</file>