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November 13, 2013</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40"/>
        <w:spacing w:after="0"/>
        <w:rPr>
          <w:sz w:val="20"/>
          <w:szCs w:val="20"/>
          <w:color w:val="auto"/>
        </w:rPr>
      </w:pPr>
      <w:r>
        <w:rPr>
          <w:rFonts w:ascii="Arial" w:cs="Arial" w:eastAsia="Arial" w:hAnsi="Arial"/>
          <w:sz w:val="22"/>
          <w:szCs w:val="22"/>
          <w:color w:val="auto"/>
        </w:rPr>
        <w:t>On November 13, 2013, PennantPark Investment Corporation issued a press release announcing financial results for the fourth quarter and fiscal year ended September 30, 2013.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2"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(d) Exhibits</w:t>
      </w:r>
    </w:p>
    <w:p>
      <w:pPr>
        <w:spacing w:after="0" w:line="14"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November 13, 2013</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200"/>
          </w:cols>
          <w:pgMar w:left="320" w:top="828" w:right="379" w:bottom="76"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980" w:type="dxa"/>
            <w:vAlign w:val="bottom"/>
          </w:tcPr>
          <w:p>
            <w:pPr>
              <w:spacing w:after="0"/>
              <w:rPr>
                <w:sz w:val="20"/>
                <w:szCs w:val="20"/>
                <w:color w:val="auto"/>
              </w:rPr>
            </w:pPr>
            <w:r>
              <w:rPr>
                <w:rFonts w:ascii="Arial" w:cs="Arial" w:eastAsia="Arial" w:hAnsi="Arial"/>
                <w:sz w:val="22"/>
                <w:szCs w:val="22"/>
                <w:color w:val="auto"/>
              </w:rPr>
              <w:t>Dated: November 13, 2013</w:t>
            </w:r>
          </w:p>
        </w:tc>
        <w:tc>
          <w:tcPr>
            <w:tcW w:w="6460" w:type="dxa"/>
            <w:vAlign w:val="bottom"/>
            <w:gridSpan w:val="3"/>
          </w:tcPr>
          <w:p>
            <w:pPr>
              <w:ind w:left="164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980" w:type="dxa"/>
            <w:vAlign w:val="bottom"/>
          </w:tcPr>
          <w:p>
            <w:pPr>
              <w:spacing w:after="0"/>
              <w:rPr>
                <w:sz w:val="24"/>
                <w:szCs w:val="24"/>
                <w:color w:val="auto"/>
              </w:rPr>
            </w:pPr>
          </w:p>
        </w:tc>
        <w:tc>
          <w:tcPr>
            <w:tcW w:w="6460" w:type="dxa"/>
            <w:vAlign w:val="bottom"/>
            <w:gridSpan w:val="3"/>
          </w:tcPr>
          <w:p>
            <w:pPr>
              <w:ind w:left="1640"/>
              <w:spacing w:after="0"/>
              <w:rPr>
                <w:sz w:val="20"/>
                <w:szCs w:val="20"/>
                <w:color w:val="auto"/>
              </w:rPr>
            </w:pPr>
            <w:r>
              <w:rPr>
                <w:rFonts w:ascii="Arial" w:cs="Arial" w:eastAsia="Arial" w:hAnsi="Arial"/>
                <w:sz w:val="22"/>
                <w:szCs w:val="22"/>
                <w:color w:val="auto"/>
              </w:rPr>
              <w:t>By: /s/ Aviv Efrat</w:t>
            </w:r>
          </w:p>
        </w:tc>
      </w:tr>
      <w:tr>
        <w:trPr>
          <w:trHeight w:val="20"/>
        </w:trPr>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980" w:type="dxa"/>
            <w:vAlign w:val="bottom"/>
          </w:tcPr>
          <w:p>
            <w:pPr>
              <w:spacing w:after="0"/>
              <w:rPr>
                <w:sz w:val="21"/>
                <w:szCs w:val="21"/>
                <w:color w:val="auto"/>
              </w:rPr>
            </w:pPr>
          </w:p>
        </w:tc>
        <w:tc>
          <w:tcPr>
            <w:tcW w:w="6460" w:type="dxa"/>
            <w:vAlign w:val="bottom"/>
            <w:gridSpan w:val="3"/>
          </w:tcPr>
          <w:p>
            <w:pPr>
              <w:ind w:left="18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80" w:type="dxa"/>
            <w:vAlign w:val="bottom"/>
          </w:tcPr>
          <w:p>
            <w:pPr>
              <w:spacing w:after="0"/>
              <w:rPr>
                <w:sz w:val="23"/>
                <w:szCs w:val="23"/>
                <w:color w:val="auto"/>
              </w:rPr>
            </w:pPr>
          </w:p>
        </w:tc>
        <w:tc>
          <w:tcPr>
            <w:tcW w:w="6460" w:type="dxa"/>
            <w:vAlign w:val="bottom"/>
            <w:gridSpan w:val="3"/>
          </w:tcPr>
          <w:p>
            <w:pPr>
              <w:ind w:left="190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9"/>
              </w:rPr>
              <w:t>November 13,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line="88" w:lineRule="exact"/>
        <w:rPr>
          <w:sz w:val="20"/>
          <w:szCs w:val="20"/>
          <w:color w:val="auto"/>
        </w:rPr>
      </w:pPr>
    </w:p>
    <w:p>
      <w:pPr>
        <w:ind w:right="640"/>
        <w:spacing w:after="0" w:line="257" w:lineRule="auto"/>
        <w:rPr>
          <w:sz w:val="20"/>
          <w:szCs w:val="20"/>
          <w:color w:val="auto"/>
        </w:rPr>
      </w:pPr>
      <w:r>
        <w:rPr>
          <w:rFonts w:ascii="Arial" w:cs="Arial" w:eastAsia="Arial" w:hAnsi="Arial"/>
          <w:sz w:val="22"/>
          <w:szCs w:val="22"/>
          <w:b w:val="1"/>
          <w:bCs w:val="1"/>
          <w:color w:val="auto"/>
        </w:rPr>
        <w:t>PennantPark Investment Corporation Announces Financial Results for the Fourth Quarter and Fiscal Year Ended September 30, 2013</w:t>
      </w:r>
    </w:p>
    <w:p>
      <w:pPr>
        <w:spacing w:after="0" w:line="167"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NEW YORK, NY -- (Marketwired - November 13, 2013) - PennantPark Investment Corporation (NASDAQ: PNNT) announced today financial results for its fourth quarter and fiscal year ended September 30, 2013.</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HIGHLIGHTS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Quarter ended September 30, 2013</w:t>
      </w:r>
    </w:p>
    <w:p>
      <w:pPr>
        <w:spacing w:after="0" w:line="238" w:lineRule="auto"/>
        <w:rPr>
          <w:sz w:val="20"/>
          <w:szCs w:val="20"/>
          <w:color w:val="auto"/>
        </w:rPr>
      </w:pPr>
      <w:r>
        <w:rPr>
          <w:rFonts w:ascii="Courier New" w:cs="Courier New" w:eastAsia="Courier New" w:hAnsi="Courier New"/>
          <w:sz w:val="18"/>
          <w:szCs w:val="18"/>
          <w:color w:val="auto"/>
        </w:rPr>
        <w:t>($ in millions,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1,078.2</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697.5</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10.49</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5380" w:type="dxa"/>
            <w:vAlign w:val="bottom"/>
          </w:tcPr>
          <w:p>
            <w:pPr>
              <w:ind w:left="220"/>
              <w:spacing w:after="0"/>
              <w:rPr>
                <w:sz w:val="20"/>
                <w:szCs w:val="20"/>
                <w:color w:val="auto"/>
              </w:rPr>
            </w:pPr>
            <w:r>
              <w:rPr>
                <w:rFonts w:ascii="Courier New" w:cs="Courier New" w:eastAsia="Courier New" w:hAnsi="Courier New"/>
                <w:sz w:val="18"/>
                <w:szCs w:val="18"/>
                <w:color w:val="auto"/>
              </w:rPr>
              <w:t>Credit Facility (cost $145.5)</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145.5</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2025 Notes (cost $71.3)</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68.4</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SBA debentures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13.0%</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420" w:type="dxa"/>
            <w:vAlign w:val="bottom"/>
          </w:tcPr>
          <w:p>
            <w:pPr>
              <w:spacing w:after="0"/>
              <w:rPr>
                <w:sz w:val="24"/>
                <w:szCs w:val="24"/>
                <w:color w:val="auto"/>
              </w:rPr>
            </w:pP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Year</w:t>
            </w:r>
          </w:p>
        </w:tc>
        <w:tc>
          <w:tcPr>
            <w:tcW w:w="260" w:type="dxa"/>
            <w:vAlign w:val="bottom"/>
          </w:tcPr>
          <w:p>
            <w:pPr>
              <w:spacing w:after="0"/>
              <w:rPr>
                <w:sz w:val="24"/>
                <w:szCs w:val="24"/>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8"/>
                <w:szCs w:val="18"/>
                <w:color w:val="auto"/>
              </w:rPr>
              <w:t>Quarter</w:t>
            </w:r>
          </w:p>
        </w:tc>
      </w:tr>
      <w:tr>
        <w:trPr>
          <w:trHeight w:val="203"/>
        </w:trPr>
        <w:tc>
          <w:tcPr>
            <w:tcW w:w="5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Ended</w:t>
            </w:r>
          </w:p>
        </w:tc>
        <w:tc>
          <w:tcPr>
            <w:tcW w:w="260" w:type="dxa"/>
            <w:vAlign w:val="bottom"/>
          </w:tcPr>
          <w:p>
            <w:pPr>
              <w:spacing w:after="0"/>
              <w:rPr>
                <w:sz w:val="17"/>
                <w:szCs w:val="17"/>
                <w:color w:val="auto"/>
              </w:rPr>
            </w:pPr>
          </w:p>
        </w:tc>
        <w:tc>
          <w:tcPr>
            <w:tcW w:w="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538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67.0</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0.26</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1.12</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0.28</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504.4</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187.2</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investments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437.1</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166.0</w:t>
            </w:r>
          </w:p>
        </w:tc>
      </w:tr>
      <w:tr>
        <w:trPr>
          <w:trHeight w:val="405"/>
        </w:trPr>
        <w:tc>
          <w:tcPr>
            <w:tcW w:w="5380" w:type="dxa"/>
            <w:vAlign w:val="bottom"/>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42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4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portfolio companies</w:t>
            </w:r>
          </w:p>
        </w:tc>
        <w:tc>
          <w:tcPr>
            <w:tcW w:w="42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NOVEMBER 14, 2013</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PennantPark Investment Corporation ("we," "our," "us" or "Company") will host a conference call at 10:00 a.m. (Eastern Time) on Thursday, November 14, 2013 to discuss its financial results. All interested parties are welcome to participate. You can access the conference call by dialing (800) 967-7138 approximately 5-10 minutes prior to the call. International callers should dial (719) 325-2199. All callers should reference PennantPark Investment Corporation. An archived replay of the call will be available through November 28, 2013 by calling (888) 203-1112. International callers please dial (719) 457-0820. For all phone replays, please reference conference ID #7110711.</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As of September 30, 2013, our portfolio totaled $1,078.2 million and consisted of $299.5 million of senior secured loans, $357.5 million of second lien secured debt, $302.5 million of subordinated debt and $118.7 million of preferred and common equity investments. Our debt portfolio consisted of 52% fixed-rate and 48% variable-rate investments (including 44% with a London Interbank Offered Rate, or LIBOR, or prime floor). Our overall portfolio consisted of 61 companies with an average investment size of $17.7 million, had a weighted average yield on debt investments of 13.0% and was invested 28% in senior secured loans, 33% in second lien secured debt, 28% in subordinated debt and 11% in preferred and common equity investments. On September 30, 2013 we had no non-accruing securities in our portfolio.</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color w:val="auto"/>
        </w:rPr>
        <w:t>As of September 30, 2012, our portfolio totaled $990.5 million and consisted of $291.7 million of senior secured loans, $191.3 million of second lien secured debt, $400.7 million of subordinated debt and $106.8 million of preferred and common equity investments. Our debt portfolio consisted of 69% fixed-rate and 31% variable-rate investments (including 26% with a LIBOR or prime floor). As of September 30, 2012, we had one non-accrual debt investment, representing 3.2% and 1.1% of our overall portfolio on a cost and fair value basis, respectively. Our overall portfolio consisted of 54 companies with an average investment size of $18.3 million, had a weighted average yield on debt investments of 13.2% and was invested 30% in senior secured loans, 19% in second lien secured debt, 40% in subordinated debt and 11% in preferred and common equity investments.</w:t>
      </w:r>
    </w:p>
    <w:p>
      <w:pPr>
        <w:spacing w:after="0" w:line="152"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For the three months ended September 30, 2013, we purchased $187.2 million in six new and seven existing portfolio companies with a weighted average yield on debt investments of 12.4%. Sales and repayments of investments for the same period totaled $166.0 million. This compares to the three months ended September 30, 2012, in which we purchased $84.5 million in four new and four existing portfolio companies with a weighted average yield on debt investments of 12.2%. Sales and repayments of investments for the same period totaled $27.8 million.</w:t>
      </w:r>
    </w:p>
    <w:p>
      <w:pPr>
        <w:spacing w:after="0" w:line="178"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For the fiscal year ended September 30, 2013, we purchased $504.4 million in 14 new and 26 existing portfolio companies with a weighted average yield on debt investments of 12.7%. Sales and repayments of investments for the same period totaled $437.1</w:t>
      </w:r>
    </w:p>
    <w:p>
      <w:pPr>
        <w:sectPr>
          <w:pgSz w:w="11900" w:h="16927" w:orient="portrait"/>
          <w:cols w:equalWidth="0" w:num="1">
            <w:col w:w="11200"/>
          </w:cols>
          <w:pgMar w:left="320" w:top="111" w:right="379" w:bottom="0" w:gutter="0" w:footer="0" w:header="0"/>
        </w:sectPr>
      </w:pPr>
    </w:p>
    <w:bookmarkStart w:id="3" w:name="page4"/>
    <w:bookmarkEnd w:id="3"/>
    <w:p>
      <w:pPr>
        <w:ind w:right="160"/>
        <w:spacing w:after="0"/>
        <w:rPr>
          <w:sz w:val="20"/>
          <w:szCs w:val="20"/>
          <w:color w:val="auto"/>
        </w:rPr>
      </w:pPr>
      <w:r>
        <w:rPr>
          <w:rFonts w:ascii="Arial" w:cs="Arial" w:eastAsia="Arial" w:hAnsi="Arial"/>
          <w:sz w:val="22"/>
          <w:szCs w:val="22"/>
          <w:color w:val="auto"/>
        </w:rPr>
        <w:t>million. This compares to the fiscal year ended September 30, 2012, in which we purchased $328.3 million in 13 new and 17 existing portfolio companies with a weighted average yield on debt investments of 13.3%. Sales and repayments of investments for the same period totaled $201.7 million.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Set forth below are the results of operations for the three months and fiscal years ended September 30, 2013 and 2012.</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Investment income for the three months ended September 30, 2013 and 2012 was $31.5 million and $30.8 million, respectively, and was primarily attributable to $9.3 million and $12.8 million from senior secured loans, $9.0 million and $7.9 million from second lien secured debt investments, and $11.2 million and $10.1 million from subordinated debt investments and $2.0 million and zero from preferred and common equity, respectively.</w:t>
      </w:r>
    </w:p>
    <w:p>
      <w:pPr>
        <w:spacing w:after="0" w:line="185"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Investment income for the fiscal years ended September 30, 2013 and 2012 was $129.2 million and $113.4 million, respectively, and was attributable to $38.9 million and $42.8 million from senior secured loans, $31.9 million and $21.2 million from second lien secured debt investments, and $55.1 million and $49.4 million from subordinated debt investments and $3.3 million and zero from preferred and common equity, respectively. The increase in investment income over the prior year was due to the growth of our portfolio which was driven by reinvesting proceeds from the rotation in our portfolio and the investment of the proceeds from our equity and debt offerings.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Expenses for the three months ended September 30, 2013 and 2012 totaled $14.4 million and $14.1 million, respectively. Base management fees totaled $5.4 million and $4.8 million, incentive fees totaled $4.3 million and $4.2 million, our debt related interest and expenses totaled $4.1 and $3.4 million, general and administrative expenses and excise taxes totaled $0.6 million and $1.7 million, respectively, for the same periods.</w:t>
      </w:r>
    </w:p>
    <w:p>
      <w:pPr>
        <w:spacing w:after="0" w:line="185" w:lineRule="exact"/>
        <w:rPr>
          <w:sz w:val="20"/>
          <w:szCs w:val="20"/>
          <w:color w:val="auto"/>
        </w:rPr>
      </w:pPr>
    </w:p>
    <w:p>
      <w:pPr>
        <w:ind w:right="100"/>
        <w:spacing w:after="0" w:line="246" w:lineRule="auto"/>
        <w:rPr>
          <w:sz w:val="20"/>
          <w:szCs w:val="20"/>
          <w:color w:val="auto"/>
        </w:rPr>
      </w:pPr>
      <w:r>
        <w:rPr>
          <w:rFonts w:ascii="Arial" w:cs="Arial" w:eastAsia="Arial" w:hAnsi="Arial"/>
          <w:sz w:val="21"/>
          <w:szCs w:val="21"/>
          <w:color w:val="auto"/>
        </w:rPr>
        <w:t>Expenses for the fiscal years ended September 30, 2013 and 2012 totaled $62.2 million and $56.3 million, respectively. Base management fees totaled $21.3 million and $17.5 million, incentive fees totaled $16.8 million and $14.2 million, debt related interest and expenses totaled $18.1 million (including $2.8 million associated with the 6.25% senior notes due 2025, or 2025 Notes and expanding our multi-currency, senior secured revolving credit facility, or Credit Facility) and $17.1 million (including $5.4 million associated with amending and extending our Credit Facility), general and administrative expenses and excise taxes totaled $6.0 million and $7.5 million, respectively, for the same periods. The increase in expenses over the prior year was primarily due to increased borrowing costs and the growth of our portfolio.</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760"/>
        <w:spacing w:after="0" w:line="250" w:lineRule="auto"/>
        <w:rPr>
          <w:sz w:val="20"/>
          <w:szCs w:val="20"/>
          <w:color w:val="auto"/>
        </w:rPr>
      </w:pPr>
      <w:r>
        <w:rPr>
          <w:rFonts w:ascii="Arial" w:cs="Arial" w:eastAsia="Arial" w:hAnsi="Arial"/>
          <w:sz w:val="22"/>
          <w:szCs w:val="22"/>
          <w:color w:val="auto"/>
        </w:rPr>
        <w:t>Net investment income totaled $17.1 million and $16.7 million, or $0.26 and $0.30 per share, for the three months ended September 30, 2013 and 2012, respectively.</w:t>
      </w:r>
    </w:p>
    <w:p>
      <w:pPr>
        <w:spacing w:after="0" w:line="175"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Net investment income totaled $67.0 million and $57.1 million, or $1.01 and $1.08 per share, for the fiscal years ended September 30, 2013 and 2012, respectively. The increase in net investment income was the result of the growth of our portfolio, while the per share net investment income decrease was the result of share issuances.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140"/>
        <w:spacing w:after="0" w:line="328" w:lineRule="auto"/>
        <w:rPr>
          <w:sz w:val="20"/>
          <w:szCs w:val="20"/>
          <w:color w:val="auto"/>
        </w:rPr>
      </w:pPr>
      <w:r>
        <w:rPr>
          <w:rFonts w:ascii="Arial" w:cs="Arial" w:eastAsia="Arial" w:hAnsi="Arial"/>
          <w:sz w:val="19"/>
          <w:szCs w:val="19"/>
          <w:color w:val="auto"/>
        </w:rPr>
        <w:t>Sales and repayments of investments for the three months ended September 30, 2013 and 2012 totaled $166.0 million and $27.8 million, respectively, and net realized gains (losses) totaled $3.0 million and $(2.3) million, respectively, for the same periods.</w:t>
      </w:r>
    </w:p>
    <w:p>
      <w:pPr>
        <w:spacing w:after="0" w:line="105" w:lineRule="exact"/>
        <w:rPr>
          <w:sz w:val="20"/>
          <w:szCs w:val="20"/>
          <w:color w:val="auto"/>
        </w:rPr>
      </w:pPr>
    </w:p>
    <w:p>
      <w:pPr>
        <w:jc w:val="both"/>
        <w:ind w:right="100"/>
        <w:spacing w:after="0" w:line="297" w:lineRule="auto"/>
        <w:rPr>
          <w:sz w:val="20"/>
          <w:szCs w:val="20"/>
          <w:color w:val="auto"/>
        </w:rPr>
      </w:pPr>
      <w:r>
        <w:rPr>
          <w:rFonts w:ascii="Arial" w:cs="Arial" w:eastAsia="Arial" w:hAnsi="Arial"/>
          <w:sz w:val="19"/>
          <w:szCs w:val="19"/>
          <w:color w:val="auto"/>
        </w:rPr>
        <w:t>Sales and repayments of investments for the fiscal years ended September 30, 2013 and 2012 totaled $437.1 million and $201.7 million, respectively, and net realized gains (losses) totaled $17.7 million and $(12.8) million, respectively, for the same periods. Net realized gains increased over the prior year primarily due to sales, restructurings and repayments of our investments.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Unrealized Appreciation or Depreciation on Investments, Credit Facility and 2025 Notes</w:t>
      </w:r>
    </w:p>
    <w:p>
      <w:pPr>
        <w:spacing w:after="0" w:line="212" w:lineRule="exact"/>
        <w:rPr>
          <w:sz w:val="20"/>
          <w:szCs w:val="20"/>
          <w:color w:val="auto"/>
        </w:rPr>
      </w:pPr>
    </w:p>
    <w:p>
      <w:pPr>
        <w:ind w:right="380"/>
        <w:spacing w:after="0" w:line="257" w:lineRule="auto"/>
        <w:rPr>
          <w:sz w:val="20"/>
          <w:szCs w:val="20"/>
          <w:color w:val="auto"/>
        </w:rPr>
      </w:pPr>
      <w:r>
        <w:rPr>
          <w:rFonts w:ascii="Arial" w:cs="Arial" w:eastAsia="Arial" w:hAnsi="Arial"/>
          <w:sz w:val="21"/>
          <w:szCs w:val="21"/>
          <w:color w:val="auto"/>
        </w:rPr>
        <w:t>For the three months ended September 30, 2013 and 2012, our investments had a net change in unrealized (depreciation) appreciation of $(0.4) million and $3.6 million, respectively. Net change in unrealized appreciation on our Credit Facility and 2025 Notes totaled $2.8 million and $0.4 million, respectively, for the same periods.</w:t>
      </w:r>
    </w:p>
    <w:p>
      <w:pPr>
        <w:spacing w:after="0" w:line="169"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For the fiscal years ended September 30, 2013 and 2012, our investments had a net change in unrealized appreciation of $4.8 million and $20.6 million, respectively. Net change in unrealized depreciation (appreciation) on our Credit Facility and 2025 Notes totaled $2.3 million and $(1.6) million, respectively, for the same periods. The decrease in net unrealized change in appreciation on investments from the fiscal year ended September 30, 2012 to the fiscal year ended September 30, 2013 was due to the overall variations in the leveraged finance markets. The increase in net unrealized change in depreciation (appreciation) on our Credit Facility and 2025 Notes was the result of the fluctuating interest rate environment.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Increase in Net Assets Resulting from Operations</w:t>
      </w:r>
    </w:p>
    <w:p>
      <w:pPr>
        <w:sectPr>
          <w:pgSz w:w="11900" w:h="16838" w:orient="portrait"/>
          <w:cols w:equalWidth="0" w:num="1">
            <w:col w:w="11220"/>
          </w:cols>
          <w:pgMar w:left="320" w:top="118" w:right="359" w:bottom="0" w:gutter="0" w:footer="0" w:header="0"/>
        </w:sectPr>
      </w:pPr>
    </w:p>
    <w:bookmarkStart w:id="4" w:name="page5"/>
    <w:bookmarkEnd w:id="4"/>
    <w:p>
      <w:pPr>
        <w:spacing w:after="0" w:line="10" w:lineRule="exact"/>
        <w:rPr>
          <w:sz w:val="20"/>
          <w:szCs w:val="20"/>
          <w:color w:val="auto"/>
        </w:rPr>
      </w:pPr>
    </w:p>
    <w:p>
      <w:pPr>
        <w:jc w:val="both"/>
        <w:ind w:right="120"/>
        <w:spacing w:after="0" w:line="251" w:lineRule="auto"/>
        <w:rPr>
          <w:sz w:val="20"/>
          <w:szCs w:val="20"/>
          <w:color w:val="auto"/>
        </w:rPr>
      </w:pPr>
      <w:r>
        <w:rPr>
          <w:rFonts w:ascii="Arial" w:cs="Arial" w:eastAsia="Arial" w:hAnsi="Arial"/>
          <w:sz w:val="22"/>
          <w:szCs w:val="22"/>
          <w:color w:val="auto"/>
        </w:rPr>
        <w:t>Net increase in net assets resulting from operations totaled $22.5 million and $17.7 million, or $0.34 and $0.31 per share, for the three months ended September 30, 2013 and 2012, respectively.</w:t>
      </w:r>
    </w:p>
    <w:p>
      <w:pPr>
        <w:spacing w:after="0" w:line="173" w:lineRule="exact"/>
        <w:rPr>
          <w:sz w:val="20"/>
          <w:szCs w:val="20"/>
          <w:color w:val="auto"/>
        </w:rPr>
      </w:pPr>
    </w:p>
    <w:p>
      <w:pPr>
        <w:jc w:val="both"/>
        <w:ind w:right="120"/>
        <w:spacing w:after="0" w:line="297" w:lineRule="auto"/>
        <w:rPr>
          <w:sz w:val="20"/>
          <w:szCs w:val="20"/>
          <w:color w:val="auto"/>
        </w:rPr>
      </w:pPr>
      <w:r>
        <w:rPr>
          <w:rFonts w:ascii="Arial" w:cs="Arial" w:eastAsia="Arial" w:hAnsi="Arial"/>
          <w:sz w:val="19"/>
          <w:szCs w:val="19"/>
          <w:color w:val="auto"/>
        </w:rPr>
        <w:t>Net increase in net assets resulting from operations totaled $91.8 million and $63.4 million, or $1.39 and $1.20 per share, for the fiscal years ended September 30, 2013 and 2012, respectively. The net increase in net assets from operations was higher than in the prior year primarily due to realized gains and continued growth in net investment income.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140"/>
        <w:spacing w:after="0" w:line="248" w:lineRule="auto"/>
        <w:rPr>
          <w:sz w:val="20"/>
          <w:szCs w:val="20"/>
          <w:color w:val="auto"/>
        </w:rPr>
      </w:pPr>
      <w:r>
        <w:rPr>
          <w:rFonts w:ascii="Arial" w:cs="Arial" w:eastAsia="Arial" w:hAnsi="Arial"/>
          <w:sz w:val="21"/>
          <w:szCs w:val="21"/>
          <w:color w:val="auto"/>
        </w:rPr>
        <w:t>Our liquidity and capital resources are derived primarily from proceeds of securities offerings, debt capital and cash flows from operations, including investment sales and repayments, and income earned. As of September 30, 2013 our cash balance of $58.4 million was primarily the result of repayments in PennantPark SBIC LP, or SBIC LP.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77"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On September 30, 2013 and 2012, there was $145.5 million (including a temporary draw of $28.0 million) and $145.0 million (including a temporary draw of $35.5 million), respectively, in outstanding borrowings under the Credit Facility, with a weighted average interest rate of 3.33% and 3.49%, respectively, exclusive of the fee on undrawn commitments of 0.50%.</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On September 30, 2013, we had $71.3 million of 2025 Notes outstanding with a fixed interest rate of 6.25%.</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On September 30, 2013 and 2012, our $150.0 million in Small Business Administration, or SBA, debt commitments were fully drawn with a weighted average interest rate of 3.70%, exclusive of the 3.43% in upfront fees (4.04% after upfront fees). The SBA debentures upfront fees of 3.43% consist of a commitment fee of 1.00% and an issuance at a 2.43% discount to face. Both fees will be amortized over the lives of the loans.</w:t>
      </w:r>
    </w:p>
    <w:p>
      <w:pPr>
        <w:spacing w:after="0" w:line="185" w:lineRule="exact"/>
        <w:rPr>
          <w:sz w:val="20"/>
          <w:szCs w:val="20"/>
          <w:color w:val="auto"/>
        </w:rPr>
      </w:pPr>
    </w:p>
    <w:p>
      <w:pPr>
        <w:ind w:right="100"/>
        <w:spacing w:after="0" w:line="328" w:lineRule="auto"/>
        <w:rPr>
          <w:sz w:val="20"/>
          <w:szCs w:val="20"/>
          <w:color w:val="auto"/>
        </w:rPr>
      </w:pPr>
      <w:r>
        <w:rPr>
          <w:rFonts w:ascii="Arial" w:cs="Arial" w:eastAsia="Arial" w:hAnsi="Arial"/>
          <w:sz w:val="19"/>
          <w:szCs w:val="19"/>
          <w:color w:val="auto"/>
        </w:rPr>
        <w:t>The weighted average interest rate on the total debt outstanding as of September 30, 2013 was 4.05%, exclusive of the fee on the undrawn commitment of 0.50% on the Credit Facility and 3.43% of upfront fees on SBIC LP's SBA debentures.</w:t>
      </w:r>
    </w:p>
    <w:p>
      <w:pPr>
        <w:spacing w:after="0" w:line="105" w:lineRule="exact"/>
        <w:rPr>
          <w:sz w:val="20"/>
          <w:szCs w:val="20"/>
          <w:color w:val="auto"/>
        </w:rPr>
      </w:pPr>
    </w:p>
    <w:p>
      <w:pPr>
        <w:ind w:right="80"/>
        <w:spacing w:after="0" w:line="257" w:lineRule="auto"/>
        <w:rPr>
          <w:sz w:val="20"/>
          <w:szCs w:val="20"/>
          <w:color w:val="auto"/>
        </w:rPr>
      </w:pPr>
      <w:r>
        <w:rPr>
          <w:rFonts w:ascii="Arial" w:cs="Arial" w:eastAsia="Arial" w:hAnsi="Arial"/>
          <w:sz w:val="21"/>
          <w:szCs w:val="21"/>
          <w:color w:val="auto"/>
        </w:rPr>
        <w:t>Our operating activities provided cash of $40.3 million for the fiscal year ended September 30, 2013, and our financing activities provided cash proceeds of $10.6 million for the same period. Our operating activities used cash primarily for investing that was offset by proceeds from sales and repayments on our investments and issuance of the 2025 Notes.</w:t>
      </w:r>
    </w:p>
    <w:p>
      <w:pPr>
        <w:spacing w:after="0" w:line="169" w:lineRule="exact"/>
        <w:rPr>
          <w:sz w:val="20"/>
          <w:szCs w:val="20"/>
          <w:color w:val="auto"/>
        </w:rPr>
      </w:pPr>
    </w:p>
    <w:p>
      <w:pPr>
        <w:ind w:right="220"/>
        <w:spacing w:after="0" w:line="257" w:lineRule="auto"/>
        <w:rPr>
          <w:sz w:val="20"/>
          <w:szCs w:val="20"/>
          <w:color w:val="auto"/>
        </w:rPr>
      </w:pPr>
      <w:r>
        <w:rPr>
          <w:rFonts w:ascii="Arial" w:cs="Arial" w:eastAsia="Arial" w:hAnsi="Arial"/>
          <w:sz w:val="21"/>
          <w:szCs w:val="21"/>
          <w:color w:val="auto"/>
        </w:rPr>
        <w:t>Our operating activities used cash of $115.3 million for the fiscal year ended September 30, 2012, and our financing activities provided cash proceeds of $51.3 million for the same period. Our operating activities used cash primarily for investing that was provided primarily from proceeds from our follow-on public offerings of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During the three months ended September 30, 2013 and 2012, we declared distributions of $0.28 per share for total distributions of $18.6 million and $15.8 million, respectively. During the fiscal years ended September 30, 2013 and 2012, we declared distributions of $1.12 per share, for total distributions of $74.4 million and $60.1 million, respectively. Distributions are paid from taxable earnings and may include a return of capital and/or capital gains. The specific tax characteristics of the distributions will be reported to stockholders on Form 1099-DIV after the end of the calendar year and in our periodic reports filed with the Securities and Exchange Commission.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The Company makes available on its website its report on Form 10-K filed with the Securities and Exchange Commission and stockholders may find the report on our website at www.pennantpark.com.</w:t>
      </w:r>
    </w:p>
    <w:p>
      <w:pPr>
        <w:spacing w:after="0" w:line="200" w:lineRule="exact"/>
        <w:rPr>
          <w:sz w:val="20"/>
          <w:szCs w:val="20"/>
          <w:color w:val="auto"/>
        </w:rPr>
      </w:pPr>
    </w:p>
    <w:p>
      <w:pPr>
        <w:spacing w:after="0" w:line="398"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8"/>
          <w:szCs w:val="18"/>
          <w:color w:val="auto"/>
        </w:rPr>
        <w:t>PENNANTPARK INVESTMENT CORPORATION AND SUBSIDIARIES</w:t>
      </w:r>
    </w:p>
    <w:p>
      <w:pPr>
        <w:jc w:val="center"/>
        <w:ind w:right="332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1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September 30,</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4700" w:type="dxa"/>
            <w:vAlign w:val="bottom"/>
          </w:tcPr>
          <w:p>
            <w:pPr>
              <w:spacing w:after="0"/>
              <w:rPr>
                <w:sz w:val="17"/>
                <w:szCs w:val="17"/>
                <w:color w:val="auto"/>
              </w:rPr>
            </w:pPr>
          </w:p>
        </w:tc>
        <w:tc>
          <w:tcPr>
            <w:tcW w:w="16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2013</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2012</w:t>
            </w:r>
          </w:p>
        </w:tc>
      </w:tr>
      <w:tr>
        <w:trPr>
          <w:trHeight w:val="203"/>
        </w:trPr>
        <w:tc>
          <w:tcPr>
            <w:tcW w:w="470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2"/>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at fair value (cost--</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$928,078,589 and $871,867,953,</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968,471,042</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871,892,745</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Non-controlled, affiliated investments, at</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2"/>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fair value (cost--$99,021,141 and</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2"/>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$72,576,858, respectively)</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76,735,800</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80,955,257</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Controlled, affiliated investments, at</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fair value (cost--$64,418,155 and</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2"/>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$64,167,051, respectively)</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32,968,711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37,631,708</w:t>
            </w:r>
          </w:p>
        </w:tc>
      </w:tr>
      <w:tr>
        <w:trPr>
          <w:trHeight w:val="202"/>
        </w:trPr>
        <w:tc>
          <w:tcPr>
            <w:tcW w:w="470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49" w:orient="portrait"/>
          <w:cols w:equalWidth="0" w:num="1">
            <w:col w:w="11240"/>
          </w:cols>
          <w:pgMar w:left="320" w:top="118"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ind w:left="220"/>
              <w:spacing w:after="0"/>
              <w:rPr>
                <w:sz w:val="20"/>
                <w:szCs w:val="20"/>
                <w:color w:val="auto"/>
              </w:rPr>
            </w:pPr>
            <w:r>
              <w:rPr>
                <w:rFonts w:ascii="Courier New" w:cs="Courier New" w:eastAsia="Courier New" w:hAnsi="Courier New"/>
                <w:sz w:val="18"/>
                <w:szCs w:val="18"/>
                <w:color w:val="auto"/>
                <w:w w:val="98"/>
              </w:rPr>
              <w:t>Total of investments, at fair value (cost-</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-$1,091,517,885 and $1,008,611,862,</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1,078,175,553</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990,479,710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58,440,829</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7,559,453</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10,894,893</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14,928,862</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5,815,817</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5,999,506</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$1,153,327,092</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1,018,967,531</w:t>
            </w:r>
          </w:p>
        </w:tc>
      </w:tr>
      <w:tr>
        <w:trPr>
          <w:trHeight w:val="202"/>
        </w:trPr>
        <w:tc>
          <w:tcPr>
            <w:tcW w:w="470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18,619,812</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15,824,061</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52,544,704</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7,241,667</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26,935,270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(cost--$145,500,000</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$145,000,000, respectively)</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145,500,000</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144,452,500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SBA debentures payable (cost--$150,000,000)</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150,000,000</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150,000,000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2025 Notes payable (cost--$71,250,000)</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68,400,000</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5,419,557</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4,791,913</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4,274,881</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4,206,989</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debt</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1,810,466</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854,725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2,009,806</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2,185,026</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455,820,893</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349,250,484</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66,499,327 and 65,514,503</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 Par value $0.001 per share</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100,000,000 shares authorized.</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66,499</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65,514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756,017,096</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744,704,825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in excess of) Undistributed</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3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(4,675,217)</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2,804,397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Accumulated net realized loss on investments</w:t>
            </w:r>
          </w:p>
        </w:tc>
        <w:tc>
          <w:tcPr>
            <w:tcW w:w="3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(43,409,847)</w:t>
            </w:r>
          </w:p>
        </w:tc>
        <w:tc>
          <w:tcPr>
            <w:tcW w:w="1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(60,273,037)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investments</w:t>
            </w:r>
          </w:p>
        </w:tc>
        <w:tc>
          <w:tcPr>
            <w:tcW w:w="3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(13,342,332)</w:t>
            </w:r>
          </w:p>
        </w:tc>
        <w:tc>
          <w:tcPr>
            <w:tcW w:w="1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(18,132,152)</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debt</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2,850,000</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547,500</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697,506,199</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669,717,047</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$1,153,327,092</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$1,018,967,531</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10.49</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10.22</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810"/>
        </w:trPr>
        <w:tc>
          <w:tcPr>
            <w:tcW w:w="8020" w:type="dxa"/>
            <w:vAlign w:val="bottom"/>
            <w:gridSpan w:val="5"/>
          </w:tcPr>
          <w:p>
            <w:pPr>
              <w:jc w:val="right"/>
              <w:ind w:right="1192"/>
              <w:spacing w:after="0"/>
              <w:rPr>
                <w:sz w:val="20"/>
                <w:szCs w:val="20"/>
                <w:color w:val="auto"/>
              </w:rPr>
            </w:pPr>
            <w:r>
              <w:rPr>
                <w:rFonts w:ascii="Courier New" w:cs="Courier New" w:eastAsia="Courier New" w:hAnsi="Courier New"/>
                <w:sz w:val="18"/>
                <w:szCs w:val="18"/>
                <w:color w:val="auto"/>
              </w:rPr>
              <w:t>PENNANTPARK INVESTMENT CORPORATION AND SUBSIDIARIES</w:t>
            </w:r>
          </w:p>
        </w:tc>
      </w:tr>
      <w:tr>
        <w:trPr>
          <w:trHeight w:val="203"/>
        </w:trPr>
        <w:tc>
          <w:tcPr>
            <w:tcW w:w="644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CONSOLIDATED STATEMENTS OF OPERATIONS</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05"/>
        </w:trPr>
        <w:tc>
          <w:tcPr>
            <w:tcW w:w="4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6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Years Ended September 30,</w:t>
            </w:r>
          </w:p>
        </w:tc>
      </w:tr>
      <w:tr>
        <w:trPr>
          <w:trHeight w:val="202"/>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2013</w:t>
            </w:r>
          </w:p>
        </w:tc>
        <w:tc>
          <w:tcPr>
            <w:tcW w:w="10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2012</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From non-controlled, non-affiliated investments: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$107,058,958</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$ 99,663,198</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10,883,261</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8,486,387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From non-controlled, affiliated investments:</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5,841,127</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3,542,583</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597,400</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controlled, affiliated investments:</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4,806,329</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1,700,222</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129,187,075</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113,392,390</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21,288,728</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17,507,262</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 incentive fee</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16,793,089</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14,223,777</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expenses on debt</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15,384,208</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11,680,634</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3,161,158</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3,745,741</w:t>
            </w:r>
          </w:p>
        </w:tc>
      </w:tr>
      <w:tr>
        <w:trPr>
          <w:trHeight w:val="202"/>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 administrative expenses</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2,857,739</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3,496,326</w:t>
            </w:r>
          </w:p>
        </w:tc>
      </w:tr>
      <w:tr>
        <w:trPr>
          <w:trHeight w:val="202"/>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Expenses before taxes and debt issuance costs</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59,484,922</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50,653,740</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 expense</w:t>
            </w:r>
          </w:p>
        </w:tc>
        <w:tc>
          <w:tcPr>
            <w:tcW w:w="36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(53,468)</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307,990</w:t>
            </w:r>
          </w:p>
        </w:tc>
      </w:tr>
      <w:tr>
        <w:trPr>
          <w:trHeight w:val="202"/>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issuance costs</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2,757,500</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5,361,319</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62,188,954</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56,323,049</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66,998,121</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57,069,341</w:t>
            </w:r>
          </w:p>
        </w:tc>
      </w:tr>
      <w:tr>
        <w:trPr>
          <w:trHeight w:val="202"/>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 gain (loss) on</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debt:</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gain (loss) on investments</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17,687,211</w:t>
            </w:r>
          </w:p>
        </w:tc>
        <w:tc>
          <w:tcPr>
            <w:tcW w:w="1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(12,798,035)</w:t>
            </w:r>
          </w:p>
        </w:tc>
      </w:tr>
    </w:tbl>
    <w:p>
      <w:pPr>
        <w:sectPr>
          <w:pgSz w:w="11900" w:h="16838" w:orient="portrait"/>
          <w:cols w:equalWidth="0" w:num="1">
            <w:col w:w="10139"/>
          </w:cols>
          <w:pgMar w:left="32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0" w:type="dxa"/>
            <w:vAlign w:val="bottom"/>
          </w:tcPr>
          <w:p>
            <w:pPr>
              <w:spacing w:after="0"/>
              <w:rPr>
                <w:sz w:val="20"/>
                <w:szCs w:val="20"/>
                <w:color w:val="auto"/>
              </w:rPr>
            </w:pPr>
            <w:r>
              <w:rPr>
                <w:rFonts w:ascii="Courier New" w:cs="Courier New" w:eastAsia="Courier New" w:hAnsi="Courier New"/>
                <w:sz w:val="18"/>
                <w:szCs w:val="18"/>
                <w:color w:val="auto"/>
              </w:rPr>
              <w:t>Net change in unrealized appreciation</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on:</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 investments</w:t>
            </w:r>
          </w:p>
        </w:tc>
        <w:tc>
          <w:tcPr>
            <w:tcW w:w="28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17,932,839</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42,727,722</w:t>
            </w:r>
          </w:p>
        </w:tc>
      </w:tr>
      <w:tr>
        <w:trPr>
          <w:trHeight w:val="203"/>
        </w:trPr>
        <w:tc>
          <w:tcPr>
            <w:tcW w:w="5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and controlled, affiliated</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2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(13,143,019)</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(22,085,553)</w:t>
            </w:r>
          </w:p>
        </w:tc>
      </w:tr>
      <w:tr>
        <w:trPr>
          <w:trHeight w:val="203"/>
        </w:trPr>
        <w:tc>
          <w:tcPr>
            <w:tcW w:w="5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depreciation (appreciation)</w:t>
            </w:r>
          </w:p>
        </w:tc>
        <w:tc>
          <w:tcPr>
            <w:tcW w:w="28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2,302,500</w:t>
            </w:r>
          </w:p>
        </w:tc>
        <w:tc>
          <w:tcPr>
            <w:tcW w:w="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(1,560,375)</w:t>
            </w:r>
          </w:p>
        </w:tc>
      </w:tr>
      <w:tr>
        <w:trPr>
          <w:trHeight w:val="203"/>
        </w:trPr>
        <w:tc>
          <w:tcPr>
            <w:tcW w:w="5000" w:type="dxa"/>
            <w:vAlign w:val="bottom"/>
          </w:tcPr>
          <w:p>
            <w:pPr>
              <w:spacing w:after="0"/>
              <w:rPr>
                <w:sz w:val="17"/>
                <w:szCs w:val="17"/>
                <w:color w:val="auto"/>
              </w:rPr>
            </w:pPr>
          </w:p>
        </w:tc>
        <w:tc>
          <w:tcPr>
            <w:tcW w:w="15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w:t>
            </w:r>
          </w:p>
        </w:tc>
        <w:tc>
          <w:tcPr>
            <w:tcW w:w="28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7,092,320</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19,081,794</w:t>
            </w:r>
          </w:p>
        </w:tc>
      </w:tr>
      <w:tr>
        <w:trPr>
          <w:trHeight w:val="203"/>
        </w:trPr>
        <w:tc>
          <w:tcPr>
            <w:tcW w:w="5000" w:type="dxa"/>
            <w:vAlign w:val="bottom"/>
          </w:tcPr>
          <w:p>
            <w:pPr>
              <w:spacing w:after="0"/>
              <w:rPr>
                <w:sz w:val="17"/>
                <w:szCs w:val="17"/>
                <w:color w:val="auto"/>
              </w:rPr>
            </w:pPr>
          </w:p>
        </w:tc>
        <w:tc>
          <w:tcPr>
            <w:tcW w:w="15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 unrealized gain (loss) from</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debt</w:t>
            </w:r>
          </w:p>
        </w:tc>
        <w:tc>
          <w:tcPr>
            <w:tcW w:w="28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24,779,531</w:t>
            </w:r>
          </w:p>
        </w:tc>
        <w:tc>
          <w:tcPr>
            <w:tcW w:w="1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6,283,759</w:t>
            </w:r>
          </w:p>
        </w:tc>
      </w:tr>
      <w:tr>
        <w:trPr>
          <w:trHeight w:val="203"/>
        </w:trPr>
        <w:tc>
          <w:tcPr>
            <w:tcW w:w="5000" w:type="dxa"/>
            <w:vAlign w:val="bottom"/>
          </w:tcPr>
          <w:p>
            <w:pPr>
              <w:spacing w:after="0"/>
              <w:rPr>
                <w:sz w:val="17"/>
                <w:szCs w:val="17"/>
                <w:color w:val="auto"/>
              </w:rPr>
            </w:pPr>
          </w:p>
        </w:tc>
        <w:tc>
          <w:tcPr>
            <w:tcW w:w="15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5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$ 91,777,652</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$ 63,353,100</w:t>
            </w:r>
          </w:p>
        </w:tc>
      </w:tr>
      <w:tr>
        <w:trPr>
          <w:trHeight w:val="203"/>
        </w:trPr>
        <w:tc>
          <w:tcPr>
            <w:tcW w:w="5000" w:type="dxa"/>
            <w:vAlign w:val="bottom"/>
          </w:tcPr>
          <w:p>
            <w:pPr>
              <w:spacing w:after="0"/>
              <w:rPr>
                <w:sz w:val="17"/>
                <w:szCs w:val="17"/>
                <w:color w:val="auto"/>
              </w:rPr>
            </w:pPr>
          </w:p>
        </w:tc>
        <w:tc>
          <w:tcPr>
            <w:tcW w:w="15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operations per common share basic and diluted</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5000" w:type="dxa"/>
            <w:vAlign w:val="bottom"/>
          </w:tcPr>
          <w:p>
            <w:pPr>
              <w:spacing w:after="0"/>
              <w:rPr>
                <w:sz w:val="17"/>
                <w:szCs w:val="17"/>
                <w:color w:val="auto"/>
              </w:rPr>
            </w:pPr>
          </w:p>
        </w:tc>
        <w:tc>
          <w:tcPr>
            <w:tcW w:w="15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 per common share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1.08</w:t>
            </w:r>
          </w:p>
        </w:tc>
      </w:tr>
      <w:tr>
        <w:trPr>
          <w:trHeight w:val="203"/>
        </w:trPr>
        <w:tc>
          <w:tcPr>
            <w:tcW w:w="5000" w:type="dxa"/>
            <w:vAlign w:val="bottom"/>
          </w:tcPr>
          <w:p>
            <w:pPr>
              <w:spacing w:after="0"/>
              <w:rPr>
                <w:sz w:val="17"/>
                <w:szCs w:val="17"/>
                <w:color w:val="auto"/>
              </w:rPr>
            </w:pPr>
          </w:p>
        </w:tc>
        <w:tc>
          <w:tcPr>
            <w:tcW w:w="15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14"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84"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Undue reliance should not be placed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20"/>
      </w:cols>
      <w:pgMar w:left="320" w:top="13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2020-05-05T15:07:25Z</dcterms:created>
  <dcterms:modified xsi:type="dcterms:W3CDTF">2020-05-05T15:07:25Z</dcterms:modified>
</cp:coreProperties>
</file>