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60" w:hanging="552"/>
        <w:spacing w:after="0" w:line="23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0"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 ENDED DECEMBER 31, 2007</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560" w:right="6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1" w:lineRule="exact"/>
        <w:rPr>
          <w:sz w:val="24"/>
          <w:szCs w:val="24"/>
          <w:color w:val="auto"/>
        </w:rPr>
      </w:pPr>
    </w:p>
    <w:p>
      <w:pPr>
        <w:ind w:left="560"/>
        <w:spacing w:after="0"/>
        <w:tabs>
          <w:tab w:leader="none" w:pos="4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-10160</wp:posOffset>
            </wp:positionV>
            <wp:extent cx="855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194945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187325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45"/>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6"/>
              </w:rPr>
              <w:t>590 Madison Avenue, 15</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5060" w:type="dxa"/>
            <w:vAlign w:val="bottom"/>
          </w:tcPr>
          <w:p>
            <w:pPr>
              <w:spacing w:after="0"/>
              <w:rPr>
                <w:sz w:val="24"/>
                <w:szCs w:val="24"/>
                <w:color w:val="auto"/>
              </w:rPr>
            </w:pPr>
          </w:p>
        </w:tc>
      </w:tr>
      <w:tr>
        <w:trPr>
          <w:trHeight w:val="23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40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40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171450</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18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jc w:val="center"/>
        <w:ind w:right="-139"/>
        <w:spacing w:after="0" w:line="207" w:lineRule="exact"/>
        <w:tabs>
          <w:tab w:leader="none" w:pos="160" w:val="left"/>
          <w:tab w:leader="none" w:pos="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71" w:lineRule="exact"/>
        <w:rPr>
          <w:sz w:val="24"/>
          <w:szCs w:val="24"/>
          <w:color w:val="auto"/>
        </w:rPr>
      </w:pPr>
    </w:p>
    <w:p>
      <w:pPr>
        <w:ind w:left="460"/>
        <w:spacing w:after="0" w:line="207" w:lineRule="exact"/>
        <w:tabs>
          <w:tab w:leader="none" w:pos="8560" w:val="left"/>
          <w:tab w:leader="none" w:pos="92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issuer’s common stock, $0.001 par value, outstanding as of February 7, 2008 was 21,068,772.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 of Assets and Liabilities as of December 31, 2007 and September 30, 2007</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 of Operations for the three months ended December 31, 2007</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6"/>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Statement of Changes in Net Assets for the three months ended December 31, 2007 and for the period January 11, 2007 (inception) through</w:t>
              </w:r>
            </w:hyperlink>
          </w:p>
        </w:tc>
        <w:tc>
          <w:tcPr>
            <w:tcW w:w="58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2007</w:t>
              </w:r>
            </w:hyperlink>
          </w:p>
        </w:tc>
        <w:tc>
          <w:tcPr>
            <w:tcW w:w="4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3"/>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 of Cash Flows for the three months ended December 31, 2007</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Schedule of Investments as of December 31, 2007 and September 30, 2007</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Notes to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Report of Independent Registered Public Accounting Firm</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Forward-Looking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Overview</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3"/>
          </w:tcPr>
          <w:p>
            <w:pPr>
              <w:ind w:left="2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Investments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3"/>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Revenues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3"/>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Expenses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Portfolio and Investment Activity</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Critical Accounting Policies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4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Liquidity and Capital Resources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3"/>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Contractual Obligations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3"/>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Off-Balance Sheet Arrangements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3"/>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Distributions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3. 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4. 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0" w:type="dxa"/>
            <w:vAlign w:val="bottom"/>
            <w:gridSpan w:val="2"/>
          </w:tcPr>
          <w:p>
            <w:pPr>
              <w:ind w:left="202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OTHER INFORMATION</w:t>
              </w:r>
            </w:hyperlink>
          </w:p>
        </w:tc>
        <w:tc>
          <w:tcPr>
            <w:tcW w:w="580" w:type="dxa"/>
            <w:vAlign w:val="bottom"/>
          </w:tcPr>
          <w:p>
            <w:pPr>
              <w:spacing w:after="0"/>
              <w:rPr>
                <w:sz w:val="24"/>
                <w:szCs w:val="24"/>
                <w:color w:val="auto"/>
              </w:rPr>
            </w:pP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1. Legal Proceedings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1A. Risk Factors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2. 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3. Defaults Upon Senior Securities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4. Submission of Matters to a Vote of Security Holders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5. Other Information</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6. Exhibits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10660" w:type="dxa"/>
            <w:vAlign w:val="bottom"/>
            <w:gridSpan w:val="5"/>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SIGNATURES</w:t>
              </w:r>
            </w:hyperlink>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“our” and “us” refer to PennantPark Investment Corporation unless the context otherwise requires.</w:t>
      </w:r>
    </w:p>
    <w:p>
      <w:pPr>
        <w:sectPr>
          <w:pgSz w:w="11900" w:h="16838" w:orient="portrait"/>
          <w:cols w:equalWidth="0" w:num="1">
            <w:col w:w="10960"/>
          </w:cols>
          <w:pgMar w:left="320" w:top="45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6"/>
        </w:trPr>
        <w:tc>
          <w:tcPr>
            <w:tcW w:w="900" w:type="dxa"/>
            <w:vAlign w:val="bottom"/>
          </w:tcPr>
          <w:p>
            <w:pPr>
              <w:spacing w:after="0"/>
              <w:rPr>
                <w:sz w:val="24"/>
                <w:szCs w:val="24"/>
                <w:color w:val="auto"/>
              </w:rPr>
            </w:pPr>
          </w:p>
        </w:tc>
        <w:tc>
          <w:tcPr>
            <w:tcW w:w="8040" w:type="dxa"/>
            <w:vAlign w:val="bottom"/>
          </w:tcPr>
          <w:p>
            <w:pPr>
              <w:jc w:val="center"/>
              <w:ind w:left="1312"/>
              <w:spacing w:after="0"/>
              <w:rPr>
                <w:sz w:val="20"/>
                <w:szCs w:val="20"/>
                <w:color w:val="auto"/>
              </w:rPr>
            </w:pPr>
            <w:r>
              <w:rPr>
                <w:rFonts w:ascii="Arial" w:cs="Arial" w:eastAsia="Arial" w:hAnsi="Arial"/>
                <w:sz w:val="18"/>
                <w:szCs w:val="18"/>
                <w:b w:val="1"/>
                <w:bCs w:val="1"/>
                <w:color w:val="auto"/>
                <w:w w:val="98"/>
              </w:rPr>
              <w:t>PENNANTPARK INVESTMENT CORPORATION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900" w:type="dxa"/>
            <w:vAlign w:val="bottom"/>
          </w:tcPr>
          <w:p>
            <w:pPr>
              <w:spacing w:after="0"/>
              <w:rPr>
                <w:sz w:val="19"/>
                <w:szCs w:val="19"/>
                <w:color w:val="auto"/>
              </w:rPr>
            </w:pPr>
          </w:p>
        </w:tc>
        <w:tc>
          <w:tcPr>
            <w:tcW w:w="8040" w:type="dxa"/>
            <w:vAlign w:val="bottom"/>
          </w:tcPr>
          <w:p>
            <w:pPr>
              <w:jc w:val="center"/>
              <w:ind w:left="1312"/>
              <w:spacing w:after="0"/>
              <w:rPr>
                <w:sz w:val="20"/>
                <w:szCs w:val="20"/>
                <w:color w:val="auto"/>
              </w:rPr>
            </w:pPr>
            <w:r>
              <w:rPr>
                <w:rFonts w:ascii="Arial" w:cs="Arial" w:eastAsia="Arial" w:hAnsi="Arial"/>
                <w:sz w:val="18"/>
                <w:szCs w:val="18"/>
                <w:b w:val="1"/>
                <w:bCs w:val="1"/>
                <w:color w:val="auto"/>
                <w:w w:val="97"/>
              </w:rPr>
              <w:t>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40"/>
        </w:trPr>
        <w:tc>
          <w:tcPr>
            <w:tcW w:w="9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90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auto"/>
                <w:w w:val="89"/>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8"/>
              </w:rPr>
              <w:t>September 30,</w:t>
            </w:r>
          </w:p>
        </w:tc>
      </w:tr>
      <w:tr>
        <w:trPr>
          <w:trHeight w:val="161"/>
        </w:trPr>
        <w:tc>
          <w:tcPr>
            <w:tcW w:w="90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4"/>
                <w:szCs w:val="14"/>
                <w:color w:val="auto"/>
              </w:rPr>
            </w:pPr>
          </w:p>
        </w:tc>
      </w:tr>
      <w:tr>
        <w:trPr>
          <w:trHeight w:val="210"/>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8940" w:type="dxa"/>
            <w:vAlign w:val="bottom"/>
            <w:gridSpan w:val="2"/>
          </w:tcPr>
          <w:p>
            <w:pPr>
              <w:spacing w:after="0" w:line="256" w:lineRule="exact"/>
              <w:rPr>
                <w:sz w:val="20"/>
                <w:szCs w:val="20"/>
                <w:color w:val="auto"/>
              </w:rPr>
            </w:pPr>
            <w:r>
              <w:rPr>
                <w:rFonts w:ascii="Arial" w:cs="Arial" w:eastAsia="Arial" w:hAnsi="Arial"/>
                <w:sz w:val="18"/>
                <w:szCs w:val="18"/>
                <w:color w:val="auto"/>
              </w:rPr>
              <w:t>Investments, at fair value (cost—$382,162,705 and $314,881,870 respectively)</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342,190,612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291,016,608</w:t>
            </w:r>
          </w:p>
        </w:tc>
        <w:tc>
          <w:tcPr>
            <w:tcW w:w="60" w:type="dxa"/>
            <w:vAlign w:val="bottom"/>
          </w:tcPr>
          <w:p>
            <w:pPr>
              <w:spacing w:after="0"/>
              <w:rPr>
                <w:sz w:val="22"/>
                <w:szCs w:val="22"/>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(cost—$81,788,219 and $258,016,351 respectively)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81,780,690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257,959,635</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4,263,953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4,517,850</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429,678,981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555,007,676</w:t>
            </w:r>
          </w:p>
        </w:tc>
        <w:tc>
          <w:tcPr>
            <w:tcW w:w="60" w:type="dxa"/>
            <w:vAlign w:val="bottom"/>
          </w:tcPr>
          <w:p>
            <w:pPr>
              <w:spacing w:after="0"/>
              <w:rPr>
                <w:sz w:val="19"/>
                <w:szCs w:val="19"/>
                <w:color w:val="auto"/>
              </w:rPr>
            </w:pPr>
          </w:p>
        </w:tc>
      </w:tr>
      <w:tr>
        <w:trPr>
          <w:trHeight w:val="116"/>
        </w:trPr>
        <w:tc>
          <w:tcPr>
            <w:tcW w:w="90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79,406,889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252,759,931</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16,583,921</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3,091,264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3,989,948</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91,500,000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769,889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170,989</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175,457,673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284,614,582</w:t>
            </w:r>
          </w:p>
        </w:tc>
        <w:tc>
          <w:tcPr>
            <w:tcW w:w="60" w:type="dxa"/>
            <w:vAlign w:val="bottom"/>
          </w:tcPr>
          <w:p>
            <w:pPr>
              <w:spacing w:after="0"/>
              <w:rPr>
                <w:sz w:val="19"/>
                <w:szCs w:val="19"/>
                <w:color w:val="auto"/>
              </w:rPr>
            </w:pPr>
          </w:p>
        </w:tc>
      </w:tr>
      <w:tr>
        <w:trPr>
          <w:trHeight w:val="116"/>
        </w:trPr>
        <w:tc>
          <w:tcPr>
            <w:tcW w:w="90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Assets</w:t>
            </w:r>
          </w:p>
        </w:tc>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w w:val="91"/>
              </w:rPr>
              <w:t>Common stock, par value $.001 per share, 100,000,000 shares authorized and 21,068,772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21,069</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294,586,604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294,586,604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(196,769)</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(95,832)</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(39,979,622)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(23,921,978)</w:t>
            </w: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254,221,308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429,678,981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555,007,676</w:t>
            </w:r>
          </w:p>
        </w:tc>
        <w:tc>
          <w:tcPr>
            <w:tcW w:w="60" w:type="dxa"/>
            <w:vAlign w:val="bottom"/>
          </w:tcPr>
          <w:p>
            <w:pPr>
              <w:spacing w:after="0"/>
              <w:rPr>
                <w:sz w:val="20"/>
                <w:szCs w:val="20"/>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07" w:lineRule="exact"/>
        <w:rPr>
          <w:sz w:val="20"/>
          <w:szCs w:val="20"/>
          <w:color w:val="auto"/>
        </w:rPr>
      </w:pPr>
    </w:p>
    <w:p>
      <w:pPr>
        <w:ind w:left="220" w:right="360" w:hanging="212"/>
        <w:spacing w:after="0" w:line="252" w:lineRule="auto"/>
        <w:tabs>
          <w:tab w:leader="none" w:pos="220" w:val="left"/>
        </w:tabs>
        <w:numPr>
          <w:ilvl w:val="0"/>
          <w:numId w:val="3"/>
        </w:numPr>
        <w:rPr>
          <w:rFonts w:ascii="Arial" w:cs="Arial" w:eastAsia="Arial" w:hAnsi="Arial"/>
          <w:sz w:val="15"/>
          <w:szCs w:val="15"/>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 (the “1940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tcPr>
          <w:p>
            <w:pPr>
              <w:jc w:val="center"/>
              <w:ind w:left="1072"/>
              <w:spacing w:after="0"/>
              <w:rPr>
                <w:sz w:val="20"/>
                <w:szCs w:val="20"/>
                <w:color w:val="auto"/>
              </w:rPr>
            </w:pPr>
            <w:r>
              <w:rPr>
                <w:rFonts w:ascii="Arial" w:cs="Arial" w:eastAsia="Arial" w:hAnsi="Arial"/>
                <w:sz w:val="18"/>
                <w:szCs w:val="18"/>
                <w:b w:val="1"/>
                <w:bCs w:val="1"/>
                <w:color w:val="auto"/>
                <w:w w:val="98"/>
              </w:rPr>
              <w:t>PENNANTPARK INVESTMENT CORPORATION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jc w:val="center"/>
              <w:ind w:left="1072"/>
              <w:spacing w:after="0"/>
              <w:rPr>
                <w:sz w:val="20"/>
                <w:szCs w:val="20"/>
                <w:color w:val="auto"/>
              </w:rPr>
            </w:pPr>
            <w:r>
              <w:rPr>
                <w:rFonts w:ascii="Arial" w:cs="Arial" w:eastAsia="Arial" w:hAnsi="Arial"/>
                <w:sz w:val="18"/>
                <w:szCs w:val="18"/>
                <w:b w:val="1"/>
                <w:bCs w:val="1"/>
                <w:color w:val="auto"/>
                <w:w w:val="96"/>
              </w:rPr>
              <w:t>STATEMENT OF OPERATIONS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80" w:type="dxa"/>
            <w:vAlign w:val="bottom"/>
          </w:tcPr>
          <w:p>
            <w:pPr>
              <w:jc w:val="center"/>
              <w:ind w:left="1092"/>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Three</w:t>
            </w:r>
          </w:p>
        </w:tc>
        <w:tc>
          <w:tcPr>
            <w:tcW w:w="0" w:type="dxa"/>
            <w:vAlign w:val="bottom"/>
          </w:tcPr>
          <w:p>
            <w:pPr>
              <w:spacing w:after="0"/>
              <w:rPr>
                <w:sz w:val="1"/>
                <w:szCs w:val="1"/>
                <w:color w:val="auto"/>
              </w:rPr>
            </w:pPr>
          </w:p>
        </w:tc>
      </w:tr>
      <w:tr>
        <w:trPr>
          <w:trHeight w:val="148"/>
        </w:trPr>
        <w:tc>
          <w:tcPr>
            <w:tcW w:w="10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months ended</w:t>
            </w:r>
          </w:p>
        </w:tc>
        <w:tc>
          <w:tcPr>
            <w:tcW w:w="0" w:type="dxa"/>
            <w:vAlign w:val="bottom"/>
          </w:tcPr>
          <w:p>
            <w:pPr>
              <w:spacing w:after="0"/>
              <w:rPr>
                <w:sz w:val="1"/>
                <w:szCs w:val="1"/>
                <w:color w:val="auto"/>
              </w:rPr>
            </w:pPr>
          </w:p>
        </w:tc>
      </w:tr>
      <w:tr>
        <w:trPr>
          <w:trHeight w:val="161"/>
        </w:trPr>
        <w:tc>
          <w:tcPr>
            <w:tcW w:w="10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w w:val="97"/>
              </w:rPr>
              <w:t>December 31, 2007</w:t>
            </w:r>
          </w:p>
        </w:tc>
        <w:tc>
          <w:tcPr>
            <w:tcW w:w="0" w:type="dxa"/>
            <w:vAlign w:val="bottom"/>
          </w:tcPr>
          <w:p>
            <w:pPr>
              <w:spacing w:after="0"/>
              <w:rPr>
                <w:sz w:val="1"/>
                <w:szCs w:val="1"/>
                <w:color w:val="auto"/>
              </w:rPr>
            </w:pPr>
          </w:p>
        </w:tc>
      </w:tr>
      <w:tr>
        <w:trPr>
          <w:trHeight w:val="209"/>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8,983,636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80" w:type="dxa"/>
            <w:vAlign w:val="bottom"/>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9,003,608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1,640,365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1,097,107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80" w:type="dxa"/>
            <w:vAlign w:val="bottom"/>
          </w:tcPr>
          <w:p>
            <w:pPr>
              <w:ind w:left="88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4,476,776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waiver</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(205,047)</w:t>
            </w:r>
          </w:p>
        </w:tc>
        <w:tc>
          <w:tcPr>
            <w:tcW w:w="0" w:type="dxa"/>
            <w:vAlign w:val="bottom"/>
          </w:tcPr>
          <w:p>
            <w:pPr>
              <w:spacing w:after="0"/>
              <w:rPr>
                <w:sz w:val="1"/>
                <w:szCs w:val="1"/>
                <w:color w:val="auto"/>
              </w:rPr>
            </w:pPr>
          </w:p>
        </w:tc>
      </w:tr>
      <w:tr>
        <w:trPr>
          <w:trHeight w:val="230"/>
        </w:trPr>
        <w:tc>
          <w:tcPr>
            <w:tcW w:w="10080" w:type="dxa"/>
            <w:vAlign w:val="bottom"/>
          </w:tcPr>
          <w:p>
            <w:pPr>
              <w:ind w:left="88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4,271,729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80" w:type="dxa"/>
            <w:vAlign w:val="bottom"/>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(210,891)</w:t>
            </w: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(16,057,644)</w:t>
            </w:r>
          </w:p>
        </w:tc>
        <w:tc>
          <w:tcPr>
            <w:tcW w:w="0" w:type="dxa"/>
            <w:vAlign w:val="bottom"/>
          </w:tcPr>
          <w:p>
            <w:pPr>
              <w:spacing w:after="0"/>
              <w:rPr>
                <w:sz w:val="1"/>
                <w:szCs w:val="1"/>
                <w:color w:val="auto"/>
              </w:rPr>
            </w:pPr>
          </w:p>
        </w:tc>
      </w:tr>
      <w:tr>
        <w:trPr>
          <w:trHeight w:val="27"/>
        </w:trPr>
        <w:tc>
          <w:tcPr>
            <w:tcW w:w="10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(16,268,535)</w:t>
            </w: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(11,536,656)</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(see note 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Three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9"/>
              </w:rPr>
              <w:t>months ended</w:t>
            </w:r>
          </w:p>
        </w:tc>
        <w:tc>
          <w:tcPr>
            <w:tcW w:w="160" w:type="dxa"/>
            <w:vAlign w:val="bottom"/>
          </w:tcPr>
          <w:p>
            <w:pPr>
              <w:spacing w:after="0"/>
              <w:rPr>
                <w:sz w:val="12"/>
                <w:szCs w:val="12"/>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December 31, 2007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4,731,879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7,304,496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(210,891)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(16,057,644)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(23,921,978)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(11,536,656)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(16,699,251)</w:t>
            </w:r>
          </w:p>
        </w:tc>
        <w:tc>
          <w:tcPr>
            <w:tcW w:w="0" w:type="dxa"/>
            <w:vAlign w:val="bottom"/>
          </w:tcPr>
          <w:p>
            <w:pPr>
              <w:spacing w:after="0"/>
              <w:rPr>
                <w:sz w:val="1"/>
                <w:szCs w:val="1"/>
                <w:color w:val="auto"/>
              </w:rPr>
            </w:pPr>
          </w:p>
        </w:tc>
      </w:tr>
      <w:tr>
        <w:trPr>
          <w:trHeight w:val="330"/>
        </w:trPr>
        <w:tc>
          <w:tcPr>
            <w:tcW w:w="720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(4,635,130)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(7,545,458)</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(4,635,130)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(7,573,814)</w:t>
            </w:r>
          </w:p>
        </w:tc>
        <w:tc>
          <w:tcPr>
            <w:tcW w:w="0" w:type="dxa"/>
            <w:vAlign w:val="bottom"/>
          </w:tcPr>
          <w:p>
            <w:pPr>
              <w:spacing w:after="0"/>
              <w:rPr>
                <w:sz w:val="1"/>
                <w:szCs w:val="1"/>
                <w:color w:val="auto"/>
              </w:rPr>
            </w:pPr>
          </w:p>
        </w:tc>
      </w:tr>
      <w:tr>
        <w:trPr>
          <w:trHeight w:val="330"/>
        </w:trPr>
        <w:tc>
          <w:tcPr>
            <w:tcW w:w="720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315,375,000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(21,309,375)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294,666,159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(16,171,786)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270,393,094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40"/>
              <w:spacing w:after="0"/>
              <w:rPr>
                <w:sz w:val="20"/>
                <w:szCs w:val="20"/>
                <w:color w:val="auto"/>
              </w:rPr>
            </w:pPr>
            <w:r>
              <w:rPr>
                <w:rFonts w:ascii="Arial" w:cs="Arial" w:eastAsia="Arial" w:hAnsi="Arial"/>
                <w:sz w:val="18"/>
                <w:szCs w:val="18"/>
                <w:color w:val="auto"/>
              </w:rPr>
              <w:t>End of Period</w:t>
            </w: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254,221,308</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increase in capital shares</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21,068,772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Three</w:t>
            </w:r>
          </w:p>
        </w:tc>
        <w:tc>
          <w:tcPr>
            <w:tcW w:w="0" w:type="dxa"/>
            <w:vAlign w:val="bottom"/>
          </w:tcPr>
          <w:p>
            <w:pPr>
              <w:spacing w:after="0"/>
              <w:rPr>
                <w:sz w:val="1"/>
                <w:szCs w:val="1"/>
                <w:color w:val="auto"/>
              </w:rPr>
            </w:pPr>
          </w:p>
        </w:tc>
      </w:tr>
      <w:tr>
        <w:trPr>
          <w:trHeight w:val="148"/>
        </w:trPr>
        <w:tc>
          <w:tcPr>
            <w:tcW w:w="10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months ended</w:t>
            </w:r>
          </w:p>
        </w:tc>
        <w:tc>
          <w:tcPr>
            <w:tcW w:w="0" w:type="dxa"/>
            <w:vAlign w:val="bottom"/>
          </w:tcPr>
          <w:p>
            <w:pPr>
              <w:spacing w:after="0"/>
              <w:rPr>
                <w:sz w:val="1"/>
                <w:szCs w:val="1"/>
                <w:color w:val="auto"/>
              </w:rPr>
            </w:pPr>
          </w:p>
        </w:tc>
      </w:tr>
      <w:tr>
        <w:trPr>
          <w:trHeight w:val="161"/>
        </w:trPr>
        <w:tc>
          <w:tcPr>
            <w:tcW w:w="10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w w:val="97"/>
              </w:rPr>
              <w:t>December 31, 2007</w:t>
            </w:r>
          </w:p>
        </w:tc>
        <w:tc>
          <w:tcPr>
            <w:tcW w:w="0" w:type="dxa"/>
            <w:vAlign w:val="bottom"/>
          </w:tcPr>
          <w:p>
            <w:pPr>
              <w:spacing w:after="0"/>
              <w:rPr>
                <w:sz w:val="1"/>
                <w:szCs w:val="1"/>
                <w:color w:val="auto"/>
              </w:rPr>
            </w:pPr>
          </w:p>
        </w:tc>
      </w:tr>
      <w:tr>
        <w:trPr>
          <w:trHeight w:val="209"/>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(11,536,656)</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 operating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16,057,644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(229,966)</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(70,955,314)</w:t>
            </w: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Payment-in-kind interest</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(586,297)</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Decrease in interest receivable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payables for cash equivalents purchased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(173,353,042)</w:t>
            </w: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Decrease in payables for investments purchased</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(16,583,921)</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(898,684)</w:t>
            </w: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Decrease in accrued expenses</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(420,162)</w:t>
            </w:r>
          </w:p>
        </w:tc>
        <w:tc>
          <w:tcPr>
            <w:tcW w:w="0" w:type="dxa"/>
            <w:vAlign w:val="bottom"/>
          </w:tcPr>
          <w:p>
            <w:pPr>
              <w:spacing w:after="0"/>
              <w:rPr>
                <w:sz w:val="1"/>
                <w:szCs w:val="1"/>
                <w:color w:val="auto"/>
              </w:rPr>
            </w:pPr>
          </w:p>
        </w:tc>
      </w:tr>
      <w:tr>
        <w:trPr>
          <w:trHeight w:val="27"/>
        </w:trPr>
        <w:tc>
          <w:tcPr>
            <w:tcW w:w="10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(253,043,815)</w:t>
            </w:r>
          </w:p>
        </w:tc>
        <w:tc>
          <w:tcPr>
            <w:tcW w:w="0" w:type="dxa"/>
            <w:vAlign w:val="bottom"/>
          </w:tcPr>
          <w:p>
            <w:pPr>
              <w:spacing w:after="0"/>
              <w:rPr>
                <w:sz w:val="1"/>
                <w:szCs w:val="1"/>
                <w:color w:val="auto"/>
              </w:rPr>
            </w:pPr>
          </w:p>
        </w:tc>
      </w:tr>
      <w:tr>
        <w:trPr>
          <w:trHeight w:val="222"/>
        </w:trPr>
        <w:tc>
          <w:tcPr>
            <w:tcW w:w="10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(4,635,130)</w:t>
            </w:r>
          </w:p>
        </w:tc>
        <w:tc>
          <w:tcPr>
            <w:tcW w:w="0" w:type="dxa"/>
            <w:vAlign w:val="bottom"/>
          </w:tcPr>
          <w:p>
            <w:pPr>
              <w:spacing w:after="0"/>
              <w:rPr>
                <w:sz w:val="1"/>
                <w:szCs w:val="1"/>
                <w:color w:val="auto"/>
              </w:rPr>
            </w:pPr>
          </w:p>
        </w:tc>
      </w:tr>
      <w:tr>
        <w:trPr>
          <w:trHeight w:val="216"/>
        </w:trPr>
        <w:tc>
          <w:tcPr>
            <w:tcW w:w="1008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140,500,000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(59,000,000)</w:t>
            </w:r>
          </w:p>
        </w:tc>
        <w:tc>
          <w:tcPr>
            <w:tcW w:w="0" w:type="dxa"/>
            <w:vAlign w:val="bottom"/>
          </w:tcPr>
          <w:p>
            <w:pPr>
              <w:spacing w:after="0"/>
              <w:rPr>
                <w:sz w:val="1"/>
                <w:szCs w:val="1"/>
                <w:color w:val="auto"/>
              </w:rPr>
            </w:pPr>
          </w:p>
        </w:tc>
      </w:tr>
      <w:tr>
        <w:trPr>
          <w:trHeight w:val="230"/>
        </w:trPr>
        <w:tc>
          <w:tcPr>
            <w:tcW w:w="1008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76,864,870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(176,178,945)</w:t>
            </w:r>
          </w:p>
        </w:tc>
        <w:tc>
          <w:tcPr>
            <w:tcW w:w="0" w:type="dxa"/>
            <w:vAlign w:val="bottom"/>
          </w:tcPr>
          <w:p>
            <w:pPr>
              <w:spacing w:after="0"/>
              <w:rPr>
                <w:sz w:val="1"/>
                <w:szCs w:val="1"/>
                <w:color w:val="auto"/>
              </w:rPr>
            </w:pPr>
          </w:p>
        </w:tc>
      </w:tr>
      <w:tr>
        <w:trPr>
          <w:trHeight w:val="223"/>
        </w:trPr>
        <w:tc>
          <w:tcPr>
            <w:tcW w:w="100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257,959,635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81,780,690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paid during the three months ended December 31, 2007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ind w:left="880"/>
              <w:spacing w:after="0"/>
              <w:rPr>
                <w:sz w:val="20"/>
                <w:szCs w:val="20"/>
                <w:color w:val="auto"/>
              </w:rPr>
            </w:pPr>
            <w:r>
              <w:rPr>
                <w:rFonts w:ascii="Arial" w:cs="Arial" w:eastAsia="Arial" w:hAnsi="Arial"/>
                <w:sz w:val="18"/>
                <w:szCs w:val="18"/>
                <w:color w:val="auto"/>
              </w:rPr>
              <w:t>Non-cash financing activities consisting of the reinvestment of dividends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8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Basis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Point</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Spread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54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Current</w:t>
            </w: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Above</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280" w:type="dxa"/>
            <w:vAlign w:val="bottom"/>
          </w:tcPr>
          <w:p>
            <w:pPr>
              <w:spacing w:after="0"/>
              <w:rPr>
                <w:sz w:val="15"/>
                <w:szCs w:val="15"/>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Subordinated Debt / Corporate Notes –</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28.8%</w:t>
            </w:r>
          </w:p>
        </w:tc>
        <w:tc>
          <w:tcPr>
            <w:tcW w:w="2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11/30/2015</w:t>
            </w:r>
          </w:p>
        </w:tc>
        <w:tc>
          <w:tcPr>
            <w:tcW w:w="14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11.84%*</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L+700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$ 15,030,273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$ 15,030,273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1"/>
              </w:rPr>
              <w:t>$ 14,654,516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03/01/2012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11.68%*</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L+625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18,128,846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05/20/2012</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13.75%</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19,464,060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07/02/2014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14.25%*</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3,974,292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3,735,200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line="207" w:lineRule="exact"/>
              <w:rPr>
                <w:sz w:val="20"/>
                <w:szCs w:val="20"/>
                <w:color w:val="auto"/>
              </w:rPr>
            </w:pPr>
            <w:r>
              <w:rPr>
                <w:rFonts w:ascii="Arial" w:cs="Arial" w:eastAsia="Arial" w:hAnsi="Arial"/>
                <w:sz w:val="15"/>
                <w:szCs w:val="15"/>
                <w:color w:val="auto"/>
              </w:rPr>
              <w:t>R</w:t>
            </w:r>
            <w:r>
              <w:rPr>
                <w:rFonts w:ascii="Arial" w:cs="Arial" w:eastAsia="Arial" w:hAnsi="Arial"/>
                <w:sz w:val="12"/>
                <w:szCs w:val="12"/>
                <w:color w:val="auto"/>
              </w:rPr>
              <w:t>EALOGY</w:t>
            </w:r>
            <w:r>
              <w:rPr>
                <w:rFonts w:ascii="Arial" w:cs="Arial" w:eastAsia="Arial" w:hAnsi="Arial"/>
                <w:sz w:val="15"/>
                <w:szCs w:val="15"/>
                <w:color w:val="auto"/>
              </w:rPr>
              <w:t xml:space="preserve"> C</w:t>
            </w:r>
            <w:r>
              <w:rPr>
                <w:rFonts w:ascii="Arial" w:cs="Arial" w:eastAsia="Arial" w:hAnsi="Arial"/>
                <w:sz w:val="12"/>
                <w:szCs w:val="12"/>
                <w:color w:val="auto"/>
              </w:rPr>
              <w:t>ORP</w:t>
            </w:r>
            <w:r>
              <w:rPr>
                <w:rFonts w:ascii="Arial" w:cs="Arial" w:eastAsia="Arial" w:hAnsi="Arial"/>
                <w:sz w:val="15"/>
                <w:szCs w:val="15"/>
                <w:color w:val="auto"/>
              </w:rPr>
              <w:t>.</w:t>
            </w:r>
            <w:r>
              <w:rPr>
                <w:rFonts w:ascii="Arial" w:cs="Arial" w:eastAsia="Arial" w:hAnsi="Arial"/>
                <w:sz w:val="24"/>
                <w:szCs w:val="24"/>
                <w:color w:val="auto"/>
                <w:vertAlign w:val="superscript"/>
              </w:rPr>
              <w:t>(5)</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04/15/2015</w:t>
            </w:r>
          </w:p>
        </w:tc>
        <w:tc>
          <w:tcPr>
            <w:tcW w:w="144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12.38%</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28,000,000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26,171,601</w:t>
            </w:r>
          </w:p>
        </w:tc>
        <w:tc>
          <w:tcPr>
            <w:tcW w:w="28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17,640,000</w:t>
            </w:r>
          </w:p>
        </w:tc>
        <w:tc>
          <w:tcPr>
            <w:tcW w:w="0" w:type="dxa"/>
            <w:vAlign w:val="bottom"/>
          </w:tcPr>
          <w:p>
            <w:pPr>
              <w:spacing w:after="0"/>
              <w:rPr>
                <w:sz w:val="1"/>
                <w:szCs w:val="1"/>
                <w:color w:val="auto"/>
              </w:rPr>
            </w:pPr>
          </w:p>
        </w:tc>
      </w:tr>
      <w:tr>
        <w:trPr>
          <w:trHeight w:val="231"/>
        </w:trPr>
        <w:tc>
          <w:tcPr>
            <w:tcW w:w="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E</w:t>
            </w:r>
            <w:r>
              <w:rPr>
                <w:rFonts w:ascii="Arial" w:cs="Arial" w:eastAsia="Arial" w:hAnsi="Arial"/>
                <w:sz w:val="14"/>
                <w:szCs w:val="14"/>
                <w:color w:val="auto"/>
                <w:w w:val="94"/>
              </w:rPr>
              <w:t>STATE</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Subordinated Debt / Corporate</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Notes</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85,504,565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82,529,980</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73,304,219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Second Lien Secured Debt – 44.7%</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02/07/2015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NERGY</w:t>
            </w:r>
            <w:r>
              <w:rPr>
                <w:rFonts w:ascii="Arial" w:cs="Arial" w:eastAsia="Arial" w:hAnsi="Arial"/>
                <w:sz w:val="18"/>
                <w:szCs w:val="18"/>
                <w:color w:val="auto"/>
                <w:w w:val="97"/>
              </w:rPr>
              <w:t xml:space="preserve"> /</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11.10%</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L+600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11,600,000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11,244,938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02/07/2015</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NERGY</w:t>
            </w:r>
            <w:r>
              <w:rPr>
                <w:rFonts w:ascii="Arial" w:cs="Arial" w:eastAsia="Arial" w:hAnsi="Arial"/>
                <w:sz w:val="18"/>
                <w:szCs w:val="18"/>
                <w:color w:val="auto"/>
                <w:w w:val="97"/>
              </w:rPr>
              <w:t xml:space="preserve"> /</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12.00%</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L+700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12,000,000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11,645,602</w:t>
            </w:r>
          </w:p>
        </w:tc>
        <w:tc>
          <w:tcPr>
            <w:tcW w:w="980" w:type="dxa"/>
            <w:vAlign w:val="bottom"/>
          </w:tcPr>
          <w:p>
            <w:pPr>
              <w:jc w:val="right"/>
              <w:spacing w:after="0"/>
              <w:rPr>
                <w:sz w:val="20"/>
                <w:szCs w:val="20"/>
                <w:color w:val="auto"/>
              </w:rPr>
            </w:pPr>
            <w:r>
              <w:rPr>
                <w:rFonts w:ascii="Arial" w:cs="Arial" w:eastAsia="Arial" w:hAnsi="Arial"/>
                <w:sz w:val="18"/>
                <w:szCs w:val="18"/>
                <w:color w:val="auto"/>
              </w:rPr>
              <w:t>11,460,000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05/19/2015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12.33%</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L+750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11,941,028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07/02/2013</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10.66%</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L+575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8,570,625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11/04/2014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11.63%</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L+650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line="25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05/15/2015</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12.62%</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L+775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9,937,031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5,162,500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05/15/2017</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12.50%</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16,290,019</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06/15/2015</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10.97%*</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L+575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12,500,000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11,765,679</w:t>
            </w:r>
          </w:p>
        </w:tc>
        <w:tc>
          <w:tcPr>
            <w:tcW w:w="980" w:type="dxa"/>
            <w:vAlign w:val="bottom"/>
          </w:tcPr>
          <w:p>
            <w:pPr>
              <w:jc w:val="right"/>
              <w:spacing w:after="0"/>
              <w:rPr>
                <w:sz w:val="20"/>
                <w:szCs w:val="20"/>
                <w:color w:val="auto"/>
              </w:rPr>
            </w:pPr>
            <w:r>
              <w:rPr>
                <w:rFonts w:ascii="Arial" w:cs="Arial" w:eastAsia="Arial" w:hAnsi="Arial"/>
                <w:sz w:val="18"/>
                <w:szCs w:val="18"/>
                <w:color w:val="auto"/>
              </w:rPr>
              <w:t>11,640,625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12/15/2014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11.85%*</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L+700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22,484,193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LASTICS</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UBBER</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06/15/2015</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USINESS</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10.83%*</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L+600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ERVICES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12,889,791</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12,220,000</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Second Lien Secured Debt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131,350,000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126,948,281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113,499,500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Basis</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Point</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54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Current</w:t>
            </w: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Above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6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3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Shares</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4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 2.6%</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SS</w:t>
            </w:r>
            <w:r>
              <w:rPr>
                <w:rFonts w:ascii="Arial" w:cs="Arial" w:eastAsia="Arial" w:hAnsi="Arial"/>
                <w:sz w:val="18"/>
                <w:szCs w:val="18"/>
                <w:color w:val="auto"/>
              </w:rPr>
              <w:t>-A</w:t>
            </w:r>
            <w:r>
              <w:rPr>
                <w:rFonts w:ascii="Arial" w:cs="Arial" w:eastAsia="Arial" w:hAnsi="Arial"/>
                <w:sz w:val="14"/>
                <w:szCs w:val="14"/>
                <w:color w:val="auto"/>
              </w:rPr>
              <w:t>HC</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7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2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$ 3,000,000</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$ 3,170,325</w:t>
            </w: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3,434,606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Equity</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40,500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6,750,000</w:t>
            </w:r>
          </w:p>
        </w:tc>
        <w:tc>
          <w:tcPr>
            <w:tcW w:w="900" w:type="dxa"/>
            <w:vAlign w:val="bottom"/>
          </w:tcPr>
          <w:p>
            <w:pPr>
              <w:jc w:val="right"/>
              <w:spacing w:after="0"/>
              <w:rPr>
                <w:sz w:val="20"/>
                <w:szCs w:val="20"/>
                <w:color w:val="auto"/>
              </w:rPr>
            </w:pPr>
            <w:r>
              <w:rPr>
                <w:rFonts w:ascii="Arial" w:cs="Arial" w:eastAsia="Arial" w:hAnsi="Arial"/>
                <w:sz w:val="18"/>
                <w:szCs w:val="18"/>
                <w:color w:val="auto"/>
              </w:rPr>
              <w:t>6,604,931</w:t>
            </w: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58.5%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Par</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88"/>
              </w:rPr>
              <w:t>04/03/2015</w:t>
            </w:r>
          </w:p>
        </w:tc>
        <w:tc>
          <w:tcPr>
            <w:tcW w:w="1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102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7.16%</w:t>
            </w:r>
          </w:p>
        </w:tc>
        <w:tc>
          <w:tcPr>
            <w:tcW w:w="80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4"/>
              </w:rPr>
              <w:t>L+200</w:t>
            </w:r>
          </w:p>
        </w:tc>
        <w:tc>
          <w:tcPr>
            <w:tcW w:w="11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0"/>
              </w:rPr>
              <w:t>$ 7,443,750</w:t>
            </w: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7,443,750</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6,943,366</w:t>
            </w: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02/07/2014</w:t>
            </w:r>
          </w:p>
        </w:tc>
        <w:tc>
          <w:tcPr>
            <w:tcW w:w="17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7.14%</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1,985,000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1,985,000</w:t>
            </w:r>
          </w:p>
        </w:tc>
        <w:tc>
          <w:tcPr>
            <w:tcW w:w="900" w:type="dxa"/>
            <w:vAlign w:val="bottom"/>
          </w:tcPr>
          <w:p>
            <w:pPr>
              <w:jc w:val="right"/>
              <w:spacing w:after="0"/>
              <w:rPr>
                <w:sz w:val="20"/>
                <w:szCs w:val="20"/>
                <w:color w:val="auto"/>
              </w:rPr>
            </w:pPr>
            <w:r>
              <w:rPr>
                <w:rFonts w:ascii="Arial" w:cs="Arial" w:eastAsia="Arial" w:hAnsi="Arial"/>
                <w:sz w:val="18"/>
                <w:szCs w:val="18"/>
                <w:color w:val="auto"/>
              </w:rPr>
              <w:t>1,872,516</w:t>
            </w:r>
          </w:p>
        </w:tc>
        <w:tc>
          <w:tcPr>
            <w:tcW w:w="0" w:type="dxa"/>
            <w:vAlign w:val="bottom"/>
          </w:tcPr>
          <w:p>
            <w:pPr>
              <w:spacing w:after="0"/>
              <w:rPr>
                <w:sz w:val="1"/>
                <w:szCs w:val="1"/>
                <w:color w:val="auto"/>
              </w:rPr>
            </w:pPr>
          </w:p>
        </w:tc>
      </w:tr>
      <w:tr>
        <w:trPr>
          <w:trHeight w:val="222"/>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05/28/2013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7.32%</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7,896,473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7,887,934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6,931,350</w:t>
            </w:r>
          </w:p>
        </w:tc>
        <w:tc>
          <w:tcPr>
            <w:tcW w:w="0" w:type="dxa"/>
            <w:vAlign w:val="bottom"/>
          </w:tcPr>
          <w:p>
            <w:pPr>
              <w:spacing w:after="0"/>
              <w:rPr>
                <w:sz w:val="1"/>
                <w:szCs w:val="1"/>
                <w:color w:val="auto"/>
              </w:rPr>
            </w:pPr>
          </w:p>
        </w:tc>
      </w:tr>
      <w:tr>
        <w:trPr>
          <w:trHeight w:val="224"/>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03/06/2014</w:t>
            </w:r>
          </w:p>
        </w:tc>
        <w:tc>
          <w:tcPr>
            <w:tcW w:w="17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6.99%</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14,993,023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14,001,930</w:t>
            </w:r>
          </w:p>
        </w:tc>
        <w:tc>
          <w:tcPr>
            <w:tcW w:w="0" w:type="dxa"/>
            <w:vAlign w:val="bottom"/>
          </w:tcPr>
          <w:p>
            <w:pPr>
              <w:spacing w:after="0"/>
              <w:rPr>
                <w:sz w:val="1"/>
                <w:szCs w:val="1"/>
                <w:color w:val="auto"/>
              </w:rPr>
            </w:pPr>
          </w:p>
        </w:tc>
      </w:tr>
      <w:tr>
        <w:trPr>
          <w:trHeight w:val="222"/>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01/31/2013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2,977,500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2,084,250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08/28/2014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7.12%</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7,000,000</w:t>
            </w:r>
          </w:p>
        </w:tc>
        <w:tc>
          <w:tcPr>
            <w:tcW w:w="900" w:type="dxa"/>
            <w:vAlign w:val="bottom"/>
          </w:tcPr>
          <w:p>
            <w:pPr>
              <w:jc w:val="right"/>
              <w:spacing w:after="0"/>
              <w:rPr>
                <w:sz w:val="20"/>
                <w:szCs w:val="20"/>
                <w:color w:val="auto"/>
              </w:rPr>
            </w:pPr>
            <w:r>
              <w:rPr>
                <w:rFonts w:ascii="Arial" w:cs="Arial" w:eastAsia="Arial" w:hAnsi="Arial"/>
                <w:sz w:val="18"/>
                <w:szCs w:val="18"/>
                <w:color w:val="auto"/>
              </w:rPr>
              <w:t>5,957,000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09/16/2013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6,451,250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6,455,120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5,889,991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12/19/2013</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8.33%</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L+350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6,930,000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6,930,000</w:t>
            </w:r>
          </w:p>
        </w:tc>
        <w:tc>
          <w:tcPr>
            <w:tcW w:w="900" w:type="dxa"/>
            <w:vAlign w:val="bottom"/>
          </w:tcPr>
          <w:p>
            <w:pPr>
              <w:jc w:val="right"/>
              <w:spacing w:after="0"/>
              <w:rPr>
                <w:sz w:val="20"/>
                <w:szCs w:val="20"/>
                <w:color w:val="auto"/>
              </w:rPr>
            </w:pPr>
            <w:r>
              <w:rPr>
                <w:rFonts w:ascii="Arial" w:cs="Arial" w:eastAsia="Arial" w:hAnsi="Arial"/>
                <w:sz w:val="18"/>
                <w:szCs w:val="18"/>
                <w:color w:val="auto"/>
              </w:rPr>
              <w:t>5,725,913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7.48%</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8,955,000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7,141,613</w:t>
            </w: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03/28/2014</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6.78%</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1,986,170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1,986,170</w:t>
            </w:r>
          </w:p>
        </w:tc>
        <w:tc>
          <w:tcPr>
            <w:tcW w:w="900" w:type="dxa"/>
            <w:vAlign w:val="bottom"/>
          </w:tcPr>
          <w:p>
            <w:pPr>
              <w:jc w:val="right"/>
              <w:spacing w:after="0"/>
              <w:rPr>
                <w:sz w:val="20"/>
                <w:szCs w:val="20"/>
                <w:color w:val="auto"/>
              </w:rPr>
            </w:pPr>
            <w:r>
              <w:rPr>
                <w:rFonts w:ascii="Arial" w:cs="Arial" w:eastAsia="Arial" w:hAnsi="Arial"/>
                <w:sz w:val="18"/>
                <w:szCs w:val="18"/>
                <w:color w:val="auto"/>
              </w:rPr>
              <w:t>1,884,379</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L+175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9,925,000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9,241,277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04/15/2014</w:t>
            </w:r>
          </w:p>
        </w:tc>
        <w:tc>
          <w:tcPr>
            <w:tcW w:w="17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7.56%</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900" w:type="dxa"/>
            <w:vAlign w:val="bottom"/>
          </w:tcPr>
          <w:p>
            <w:pPr>
              <w:jc w:val="right"/>
              <w:spacing w:after="0"/>
              <w:rPr>
                <w:sz w:val="20"/>
                <w:szCs w:val="20"/>
                <w:color w:val="auto"/>
              </w:rPr>
            </w:pPr>
            <w:r>
              <w:rPr>
                <w:rFonts w:ascii="Arial" w:cs="Arial" w:eastAsia="Arial" w:hAnsi="Arial"/>
                <w:sz w:val="18"/>
                <w:szCs w:val="18"/>
                <w:color w:val="auto"/>
              </w:rPr>
              <w:t>4,425,000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Basis</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Point</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194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Current</w:t>
            </w: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Above</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3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280" w:type="dxa"/>
            <w:vAlign w:val="bottom"/>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Par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First Lien Secured Debt –</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(Continued)</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400" w:type="dxa"/>
            <w:vAlign w:val="bottom"/>
            <w:gridSpan w:val="3"/>
          </w:tcPr>
          <w:p>
            <w:pPr>
              <w:ind w:left="20"/>
              <w:spacing w:after="0"/>
              <w:rPr>
                <w:sz w:val="20"/>
                <w:szCs w:val="20"/>
                <w:color w:val="auto"/>
              </w:rPr>
            </w:pPr>
            <w:r>
              <w:rPr>
                <w:rFonts w:ascii="Arial" w:cs="Arial" w:eastAsia="Arial" w:hAnsi="Arial"/>
                <w:sz w:val="18"/>
                <w:szCs w:val="18"/>
                <w:color w:val="auto"/>
              </w:rPr>
              <w:t>02/07/2014   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r>
              <w:rPr>
                <w:rFonts w:ascii="Arial" w:cs="Arial" w:eastAsia="Arial" w:hAnsi="Arial"/>
                <w:sz w:val="18"/>
                <w:szCs w:val="18"/>
                <w:color w:val="auto"/>
              </w:rPr>
              <w:t xml:space="preserve"> F</w:t>
            </w:r>
            <w:r>
              <w:rPr>
                <w:rFonts w:ascii="Arial" w:cs="Arial" w:eastAsia="Arial" w:hAnsi="Arial"/>
                <w:sz w:val="14"/>
                <w:szCs w:val="14"/>
                <w:color w:val="auto"/>
              </w:rPr>
              <w:t>URNISHINGS</w:t>
            </w: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7.12%</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$ 9,963,514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$ 9,963,514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$ 8,678,220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03/08/2014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4,842,920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4,842,920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3,819,853</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02/28/2014</w:t>
            </w:r>
          </w:p>
        </w:tc>
        <w:tc>
          <w:tcPr>
            <w:tcW w:w="238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7.18%</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2,516,000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2,516,000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2,418,505</w:t>
            </w: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xml:space="preserve">, L.L.C. </w:t>
            </w:r>
            <w:r>
              <w:rPr>
                <w:rFonts w:ascii="Arial" w:cs="Arial" w:eastAsia="Arial" w:hAnsi="Arial"/>
                <w:sz w:val="29"/>
                <w:szCs w:val="29"/>
                <w:color w:val="auto"/>
                <w:vertAlign w:val="superscript"/>
              </w:rPr>
              <w:t>(4)</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02/28/2014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465,245</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02/22/2014</w:t>
            </w:r>
          </w:p>
        </w:tc>
        <w:tc>
          <w:tcPr>
            <w:tcW w:w="238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6.98%</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3,963,750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3,962,534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3,741,780</w:t>
            </w:r>
          </w:p>
        </w:tc>
        <w:tc>
          <w:tcPr>
            <w:tcW w:w="0" w:type="dxa"/>
            <w:vAlign w:val="bottom"/>
          </w:tcPr>
          <w:p>
            <w:pPr>
              <w:spacing w:after="0"/>
              <w:rPr>
                <w:sz w:val="1"/>
                <w:szCs w:val="1"/>
                <w:color w:val="auto"/>
              </w:rPr>
            </w:pPr>
          </w:p>
        </w:tc>
      </w:tr>
      <w:tr>
        <w:trPr>
          <w:trHeight w:val="208"/>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01/18/2014   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r>
              <w:rPr>
                <w:rFonts w:ascii="Arial" w:cs="Arial" w:eastAsia="Arial" w:hAnsi="Arial"/>
                <w:sz w:val="18"/>
                <w:szCs w:val="18"/>
                <w:color w:val="auto"/>
              </w:rPr>
              <w:t xml:space="preserve"> F</w:t>
            </w:r>
            <w:r>
              <w:rPr>
                <w:rFonts w:ascii="Arial" w:cs="Arial" w:eastAsia="Arial" w:hAnsi="Arial"/>
                <w:sz w:val="14"/>
                <w:szCs w:val="14"/>
                <w:color w:val="auto"/>
              </w:rPr>
              <w:t>URNISHINGS</w:t>
            </w: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3,980,025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3,980,025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3,383,021</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03/28/2014</w:t>
            </w:r>
          </w:p>
        </w:tc>
        <w:tc>
          <w:tcPr>
            <w:tcW w:w="238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6.84%</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3,970,000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3,970,000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3,662,325</w:t>
            </w:r>
          </w:p>
        </w:tc>
        <w:tc>
          <w:tcPr>
            <w:tcW w:w="0" w:type="dxa"/>
            <w:vAlign w:val="bottom"/>
          </w:tcPr>
          <w:p>
            <w:pPr>
              <w:spacing w:after="0"/>
              <w:rPr>
                <w:sz w:val="1"/>
                <w:szCs w:val="1"/>
                <w:color w:val="auto"/>
              </w:rPr>
            </w:pPr>
          </w:p>
        </w:tc>
      </w:tr>
      <w:tr>
        <w:trPr>
          <w:trHeight w:val="208"/>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08/31/2011   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r>
              <w:rPr>
                <w:rFonts w:ascii="Arial" w:cs="Arial" w:eastAsia="Arial" w:hAnsi="Arial"/>
                <w:sz w:val="18"/>
                <w:szCs w:val="18"/>
                <w:color w:val="auto"/>
              </w:rPr>
              <w:t xml:space="preserve"> F</w:t>
            </w:r>
            <w:r>
              <w:rPr>
                <w:rFonts w:ascii="Arial" w:cs="Arial" w:eastAsia="Arial" w:hAnsi="Arial"/>
                <w:sz w:val="14"/>
                <w:szCs w:val="14"/>
                <w:color w:val="auto"/>
              </w:rPr>
              <w:t>URNISHINGS</w:t>
            </w: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8.01%</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L+200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6,947,500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6,953,725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6,264,331</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02/01/2013</w:t>
            </w:r>
          </w:p>
        </w:tc>
        <w:tc>
          <w:tcPr>
            <w:tcW w:w="238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7.23%</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4,962,500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4,962,500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4,478,656</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03/16/2014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L+200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1,485,867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1,485,867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1,292,704</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05/04/2014</w:t>
            </w:r>
          </w:p>
        </w:tc>
        <w:tc>
          <w:tcPr>
            <w:tcW w:w="238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8.03%</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L+300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4,961,667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4,961,667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4,788,008</w:t>
            </w:r>
          </w:p>
        </w:tc>
        <w:tc>
          <w:tcPr>
            <w:tcW w:w="0" w:type="dxa"/>
            <w:vAlign w:val="bottom"/>
          </w:tcPr>
          <w:p>
            <w:pPr>
              <w:spacing w:after="0"/>
              <w:rPr>
                <w:sz w:val="1"/>
                <w:szCs w:val="1"/>
                <w:color w:val="auto"/>
              </w:rPr>
            </w:pPr>
          </w:p>
        </w:tc>
      </w:tr>
      <w:tr>
        <w:trPr>
          <w:trHeight w:val="208"/>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03/02/2014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L+200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995,003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995,003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898,819</w:t>
            </w:r>
          </w:p>
        </w:tc>
        <w:tc>
          <w:tcPr>
            <w:tcW w:w="0" w:type="dxa"/>
            <w:vAlign w:val="bottom"/>
          </w:tcPr>
          <w:p>
            <w:pPr>
              <w:spacing w:after="0"/>
              <w:rPr>
                <w:sz w:val="1"/>
                <w:szCs w:val="1"/>
                <w:color w:val="auto"/>
              </w:rPr>
            </w:pPr>
          </w:p>
        </w:tc>
      </w:tr>
      <w:tr>
        <w:trPr>
          <w:trHeight w:val="224"/>
        </w:trPr>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0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07/19/2013</w:t>
            </w:r>
          </w:p>
        </w:tc>
        <w:tc>
          <w:tcPr>
            <w:tcW w:w="238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7.40%</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4,937,500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4,937,500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4,783,203</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NDUSTRIES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01/30/2014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L+250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2,867,302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2,867,302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2,559,067</w:t>
            </w:r>
          </w:p>
        </w:tc>
        <w:tc>
          <w:tcPr>
            <w:tcW w:w="0" w:type="dxa"/>
            <w:vAlign w:val="bottom"/>
          </w:tcPr>
          <w:p>
            <w:pPr>
              <w:spacing w:after="0"/>
              <w:rPr>
                <w:sz w:val="1"/>
                <w:szCs w:val="1"/>
                <w:color w:val="auto"/>
              </w:rPr>
            </w:pPr>
          </w:p>
        </w:tc>
      </w:tr>
      <w:tr>
        <w:trPr>
          <w:trHeight w:val="208"/>
        </w:trPr>
        <w:tc>
          <w:tcPr>
            <w:tcW w:w="280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09/29/2014</w:t>
            </w:r>
          </w:p>
        </w:tc>
        <w:tc>
          <w:tcPr>
            <w:tcW w:w="238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7.21%</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L+225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14,496,644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14,496,644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13,197,991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09/29/2014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503,356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503,356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458,264</w:t>
            </w: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(4)</w:t>
            </w:r>
          </w:p>
        </w:tc>
        <w:tc>
          <w:tcPr>
            <w:tcW w:w="1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03/02/2014</w:t>
            </w:r>
          </w:p>
        </w:tc>
        <w:tc>
          <w:tcPr>
            <w:tcW w:w="238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6.58%</w:t>
            </w: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L+175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6,713,768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6,713,768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6,310,942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Basis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Point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Spread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20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Current</w:t>
            </w: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Above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Coupon</w:t>
            </w:r>
          </w:p>
        </w:tc>
        <w:tc>
          <w:tcPr>
            <w:tcW w:w="320" w:type="dxa"/>
            <w:vAlign w:val="bottom"/>
          </w:tcPr>
          <w:p>
            <w:pPr>
              <w:spacing w:after="0"/>
              <w:rPr>
                <w:sz w:val="15"/>
                <w:szCs w:val="15"/>
                <w:color w:val="auto"/>
              </w:rPr>
            </w:pPr>
          </w:p>
        </w:tc>
        <w:tc>
          <w:tcPr>
            <w:tcW w:w="640" w:type="dxa"/>
            <w:vAlign w:val="bottom"/>
            <w:gridSpan w:val="2"/>
          </w:tcPr>
          <w:p>
            <w:pPr>
              <w:jc w:val="center"/>
              <w:ind w:right="14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Arial" w:cs="Arial" w:eastAsia="Arial" w:hAnsi="Arial"/>
                <w:sz w:val="13"/>
                <w:szCs w:val="13"/>
                <w:b w:val="1"/>
                <w:bCs w:val="1"/>
                <w:color w:val="auto"/>
              </w:rPr>
              <w:t>Par</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First Lien Secured Debt – (Continued)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line="256" w:lineRule="exact"/>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9"/>
                <w:szCs w:val="29"/>
                <w:color w:val="auto"/>
                <w:vertAlign w:val="superscript"/>
              </w:rPr>
              <w:t>(4)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03/02/2014</w:t>
            </w:r>
          </w:p>
        </w:tc>
        <w:tc>
          <w:tcPr>
            <w:tcW w:w="18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180" w:type="dxa"/>
            <w:vAlign w:val="bottom"/>
          </w:tcPr>
          <w:p>
            <w:pPr>
              <w:spacing w:after="0"/>
              <w:rPr>
                <w:sz w:val="22"/>
                <w:szCs w:val="22"/>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2,103,908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2,103,908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1,977,674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05/30/2014</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3,695,714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3,695,714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First Lien Secured Debt</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165,941,081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165,934,444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148,781,962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134.6%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382,162,705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342,190,612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Cash Equivalents – 32.2%</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03/27/2008</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79,406,889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79,399,360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2,381,330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2,381,330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2,381,330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82,381,330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81,788,219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81,780,690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 and Cash</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gridSpan w:val="2"/>
          </w:tcPr>
          <w:p>
            <w:pPr>
              <w:ind w:left="220"/>
              <w:spacing w:after="0"/>
              <w:rPr>
                <w:sz w:val="20"/>
                <w:szCs w:val="20"/>
                <w:color w:val="auto"/>
              </w:rPr>
            </w:pPr>
            <w:r>
              <w:rPr>
                <w:rFonts w:ascii="Arial" w:cs="Arial" w:eastAsia="Arial" w:hAnsi="Arial"/>
                <w:sz w:val="18"/>
                <w:szCs w:val="18"/>
                <w:b w:val="1"/>
                <w:bCs w:val="1"/>
                <w:color w:val="auto"/>
              </w:rPr>
              <w:t>Equivalents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463,950,924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423,971,302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Liabilities in Excess of Other Assets –</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8"/>
              </w:rPr>
              <w:t>(66.8%)</w:t>
            </w:r>
          </w:p>
        </w:tc>
        <w:tc>
          <w:tcPr>
            <w:tcW w:w="2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(169,749,994)</w:t>
            </w: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Net Assets – 100.0%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254,221,308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36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1" w:lineRule="exact"/>
        <w:rPr>
          <w:sz w:val="20"/>
          <w:szCs w:val="20"/>
          <w:color w:val="auto"/>
        </w:rPr>
      </w:pPr>
    </w:p>
    <w:p>
      <w:pPr>
        <w:ind w:right="7680" w:firstLine="8"/>
        <w:spacing w:after="0" w:line="260" w:lineRule="auto"/>
        <w:tabs>
          <w:tab w:leader="none" w:pos="44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Basis</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Point</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188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Current</w:t>
            </w: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Above</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Par</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Subordinated Debt / Corporate</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Notes – 21.2%</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11/30/2015</w:t>
            </w:r>
          </w:p>
        </w:tc>
        <w:tc>
          <w:tcPr>
            <w:tcW w:w="22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12.20%*</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L+700</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$14,580,690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$14,580,690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$14,580,690</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03/01/2012</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L+625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18,106,103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17,760,000</w:t>
            </w:r>
          </w:p>
        </w:tc>
        <w:tc>
          <w:tcPr>
            <w:tcW w:w="0" w:type="dxa"/>
            <w:vAlign w:val="bottom"/>
          </w:tcPr>
          <w:p>
            <w:pPr>
              <w:spacing w:after="0"/>
              <w:rPr>
                <w:sz w:val="1"/>
                <w:szCs w:val="1"/>
                <w:color w:val="auto"/>
              </w:rPr>
            </w:pP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07/02/2014</w:t>
            </w:r>
          </w:p>
        </w:tc>
        <w:tc>
          <w:tcPr>
            <w:tcW w:w="226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14.25%*</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3,837,578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3,592,573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3,837,578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 xml:space="preserve"> &amp;</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740" w:type="dxa"/>
            <w:vAlign w:val="bottom"/>
            <w:gridSpan w:val="2"/>
            <w:shd w:val="clear" w:color="auto" w:fill="CCEEFF"/>
          </w:tcPr>
          <w:p>
            <w:pPr>
              <w:spacing w:after="0" w:line="258"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04/15/2015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r>
              <w:rPr>
                <w:rFonts w:ascii="Arial" w:cs="Arial" w:eastAsia="Arial" w:hAnsi="Arial"/>
                <w:sz w:val="18"/>
                <w:szCs w:val="18"/>
                <w:color w:val="auto"/>
              </w:rPr>
              <w:t xml:space="preserve"> E</w:t>
            </w:r>
            <w:r>
              <w:rPr>
                <w:rFonts w:ascii="Arial" w:cs="Arial" w:eastAsia="Arial" w:hAnsi="Arial"/>
                <w:sz w:val="14"/>
                <w:szCs w:val="14"/>
                <w:color w:val="auto"/>
              </w:rPr>
              <w:t>STATE</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12.38%</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26,117,780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21,140,000</w:t>
            </w:r>
          </w:p>
        </w:tc>
        <w:tc>
          <w:tcPr>
            <w:tcW w:w="0" w:type="dxa"/>
            <w:vAlign w:val="bottom"/>
          </w:tcPr>
          <w:p>
            <w:pPr>
              <w:spacing w:after="0"/>
              <w:rPr>
                <w:sz w:val="1"/>
                <w:szCs w:val="1"/>
                <w:color w:val="auto"/>
              </w:rPr>
            </w:pPr>
          </w:p>
        </w:tc>
      </w:tr>
      <w:tr>
        <w:trPr>
          <w:trHeight w:val="209"/>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Total Subordinated Debt /</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Corporate Notes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64,918,268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62,397,146</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57,318,268</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Second Lien Secured Debt –</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25.0%</w:t>
            </w:r>
          </w:p>
        </w:tc>
        <w:tc>
          <w:tcPr>
            <w:tcW w:w="1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07/02/2014</w:t>
            </w:r>
          </w:p>
        </w:tc>
        <w:tc>
          <w:tcPr>
            <w:tcW w:w="226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11.11%</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L+575</w:t>
            </w: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 xml:space="preserve"> &amp;</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11/04/2014</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12.08%</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L+650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0" w:type="dxa"/>
            <w:vAlign w:val="bottom"/>
          </w:tcPr>
          <w:p>
            <w:pPr>
              <w:spacing w:after="0"/>
              <w:rPr>
                <w:sz w:val="1"/>
                <w:szCs w:val="1"/>
                <w:color w:val="auto"/>
              </w:rPr>
            </w:pPr>
          </w:p>
        </w:tc>
      </w:tr>
      <w:tr>
        <w:trPr>
          <w:trHeight w:val="257"/>
        </w:trPr>
        <w:tc>
          <w:tcPr>
            <w:tcW w:w="2740" w:type="dxa"/>
            <w:vAlign w:val="bottom"/>
            <w:gridSpan w:val="2"/>
          </w:tcPr>
          <w:p>
            <w:pPr>
              <w:spacing w:after="0" w:line="25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05/15/2015</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13.31%</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L+775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9,932,321</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6,800,000</w:t>
            </w: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05/15/2017</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16,198,167</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12,730,000</w:t>
            </w:r>
          </w:p>
        </w:tc>
        <w:tc>
          <w:tcPr>
            <w:tcW w:w="0" w:type="dxa"/>
            <w:vAlign w:val="bottom"/>
          </w:tcPr>
          <w:p>
            <w:pPr>
              <w:spacing w:after="0"/>
              <w:rPr>
                <w:sz w:val="1"/>
                <w:szCs w:val="1"/>
                <w:color w:val="auto"/>
              </w:rPr>
            </w:pP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12/15/2014</w:t>
            </w:r>
          </w:p>
        </w:tc>
        <w:tc>
          <w:tcPr>
            <w:tcW w:w="226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12.13%</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L+700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17,493,750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17,237,500</w:t>
            </w:r>
          </w:p>
        </w:tc>
        <w:tc>
          <w:tcPr>
            <w:tcW w:w="0" w:type="dxa"/>
            <w:vAlign w:val="bottom"/>
          </w:tcPr>
          <w:p>
            <w:pPr>
              <w:spacing w:after="0"/>
              <w:rPr>
                <w:sz w:val="1"/>
                <w:szCs w:val="1"/>
                <w:color w:val="auto"/>
              </w:rPr>
            </w:pPr>
          </w:p>
        </w:tc>
      </w:tr>
      <w:tr>
        <w:trPr>
          <w:trHeight w:val="222"/>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UBBER</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06/15/2015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L+600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13,000,000</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12,886,250</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12,431,250</w:t>
            </w:r>
          </w:p>
        </w:tc>
        <w:tc>
          <w:tcPr>
            <w:tcW w:w="0" w:type="dxa"/>
            <w:vAlign w:val="bottom"/>
          </w:tcPr>
          <w:p>
            <w:pPr>
              <w:spacing w:after="0"/>
              <w:rPr>
                <w:sz w:val="1"/>
                <w:szCs w:val="1"/>
                <w:color w:val="auto"/>
              </w:rPr>
            </w:pPr>
          </w:p>
        </w:tc>
      </w:tr>
      <w:tr>
        <w:trPr>
          <w:trHeight w:val="22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w w:val="98"/>
              </w:rPr>
              <w:t>Total Second Lien Secured Debt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78,250,000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75,260,488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67,748,750</w:t>
            </w:r>
          </w:p>
        </w:tc>
        <w:tc>
          <w:tcPr>
            <w:tcW w:w="0" w:type="dxa"/>
            <w:vAlign w:val="bottom"/>
          </w:tcPr>
          <w:p>
            <w:pPr>
              <w:spacing w:after="0"/>
              <w:rPr>
                <w:sz w:val="1"/>
                <w:szCs w:val="1"/>
                <w:color w:val="auto"/>
              </w:rPr>
            </w:pPr>
          </w:p>
        </w:tc>
      </w:tr>
      <w:tr>
        <w:trPr>
          <w:trHeight w:val="453"/>
        </w:trPr>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2.6%</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SS</w:t>
            </w:r>
            <w:r>
              <w:rPr>
                <w:rFonts w:ascii="Arial" w:cs="Arial" w:eastAsia="Arial" w:hAnsi="Arial"/>
                <w:sz w:val="18"/>
                <w:szCs w:val="18"/>
                <w:color w:val="auto"/>
              </w:rPr>
              <w:t>-A</w:t>
            </w:r>
            <w:r>
              <w:rPr>
                <w:rFonts w:ascii="Arial" w:cs="Arial" w:eastAsia="Arial" w:hAnsi="Arial"/>
                <w:sz w:val="14"/>
                <w:szCs w:val="14"/>
                <w:color w:val="auto"/>
              </w:rPr>
              <w:t>HC</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2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3,269,685</w:t>
            </w:r>
          </w:p>
        </w:tc>
        <w:tc>
          <w:tcPr>
            <w:tcW w:w="0" w:type="dxa"/>
            <w:vAlign w:val="bottom"/>
          </w:tcPr>
          <w:p>
            <w:pPr>
              <w:spacing w:after="0"/>
              <w:rPr>
                <w:sz w:val="1"/>
                <w:szCs w:val="1"/>
                <w:color w:val="auto"/>
              </w:rPr>
            </w:pPr>
          </w:p>
        </w:tc>
      </w:tr>
      <w:tr>
        <w:trPr>
          <w:trHeight w:val="208"/>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 xml:space="preserve"> &amp;</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Total Common Equity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6,750,000</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7,019,685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Basis</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Point</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54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Current</w:t>
            </w: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Above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6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300" w:type="dxa"/>
            <w:vAlign w:val="bottom"/>
          </w:tcPr>
          <w:p>
            <w:pPr>
              <w:spacing w:after="0"/>
              <w:rPr>
                <w:sz w:val="15"/>
                <w:szCs w:val="15"/>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Par</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58.8%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04/03/2015</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7.34%</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$ 7,462,500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$ 7,462,500</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$ 7,274,602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05/28/2013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7,896,473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7,887,537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7,571,975</w:t>
            </w:r>
          </w:p>
        </w:tc>
        <w:tc>
          <w:tcPr>
            <w:tcW w:w="0" w:type="dxa"/>
            <w:vAlign w:val="bottom"/>
          </w:tcPr>
          <w:p>
            <w:pPr>
              <w:spacing w:after="0"/>
              <w:rPr>
                <w:sz w:val="1"/>
                <w:szCs w:val="1"/>
                <w:color w:val="auto"/>
              </w:rPr>
            </w:pPr>
          </w:p>
        </w:tc>
      </w:tr>
      <w:tr>
        <w:trPr>
          <w:trHeight w:val="224"/>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03/06/2014</w:t>
            </w:r>
          </w:p>
        </w:tc>
        <w:tc>
          <w:tcPr>
            <w:tcW w:w="17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14,992,740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14,468,310</w:t>
            </w:r>
          </w:p>
        </w:tc>
        <w:tc>
          <w:tcPr>
            <w:tcW w:w="0" w:type="dxa"/>
            <w:vAlign w:val="bottom"/>
          </w:tcPr>
          <w:p>
            <w:pPr>
              <w:spacing w:after="0"/>
              <w:rPr>
                <w:sz w:val="1"/>
                <w:szCs w:val="1"/>
                <w:color w:val="auto"/>
              </w:rPr>
            </w:pPr>
          </w:p>
        </w:tc>
      </w:tr>
      <w:tr>
        <w:trPr>
          <w:trHeight w:val="222"/>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01/31/2013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2,985,000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02/07/2014</w:t>
            </w:r>
          </w:p>
        </w:tc>
        <w:tc>
          <w:tcPr>
            <w:tcW w:w="17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7.53%</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1,990,000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1,990,000</w:t>
            </w:r>
          </w:p>
        </w:tc>
        <w:tc>
          <w:tcPr>
            <w:tcW w:w="900" w:type="dxa"/>
            <w:vAlign w:val="bottom"/>
          </w:tcPr>
          <w:p>
            <w:pPr>
              <w:jc w:val="right"/>
              <w:spacing w:after="0"/>
              <w:rPr>
                <w:sz w:val="20"/>
                <w:szCs w:val="20"/>
                <w:color w:val="auto"/>
              </w:rPr>
            </w:pPr>
            <w:r>
              <w:rPr>
                <w:rFonts w:ascii="Arial" w:cs="Arial" w:eastAsia="Arial" w:hAnsi="Arial"/>
                <w:sz w:val="18"/>
                <w:szCs w:val="18"/>
                <w:color w:val="auto"/>
              </w:rPr>
              <w:t>1,887,183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08/28/2014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6,405,000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09/16/2013</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6,483,750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6,487,788</w:t>
            </w:r>
          </w:p>
        </w:tc>
        <w:tc>
          <w:tcPr>
            <w:tcW w:w="900" w:type="dxa"/>
            <w:vAlign w:val="bottom"/>
          </w:tcPr>
          <w:p>
            <w:pPr>
              <w:jc w:val="right"/>
              <w:spacing w:after="0"/>
              <w:rPr>
                <w:sz w:val="20"/>
                <w:szCs w:val="20"/>
                <w:color w:val="auto"/>
              </w:rPr>
            </w:pPr>
            <w:r>
              <w:rPr>
                <w:rFonts w:ascii="Arial" w:cs="Arial" w:eastAsia="Arial" w:hAnsi="Arial"/>
                <w:sz w:val="18"/>
                <w:szCs w:val="18"/>
                <w:color w:val="auto"/>
              </w:rPr>
              <w:t>6,147,405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12/19/2013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L+350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6,947,500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6,079,062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7.60%</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9,000,000</w:t>
            </w:r>
          </w:p>
        </w:tc>
        <w:tc>
          <w:tcPr>
            <w:tcW w:w="900" w:type="dxa"/>
            <w:vAlign w:val="bottom"/>
          </w:tcPr>
          <w:p>
            <w:pPr>
              <w:jc w:val="right"/>
              <w:spacing w:after="0"/>
              <w:rPr>
                <w:sz w:val="20"/>
                <w:szCs w:val="20"/>
                <w:color w:val="auto"/>
              </w:rPr>
            </w:pPr>
            <w:r>
              <w:rPr>
                <w:rFonts w:ascii="Arial" w:cs="Arial" w:eastAsia="Arial" w:hAnsi="Arial"/>
                <w:sz w:val="18"/>
                <w:szCs w:val="18"/>
                <w:color w:val="auto"/>
              </w:rPr>
              <w:t>7,845,003</w:t>
            </w: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1,990,780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1,990,780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1,930,226</w:t>
            </w: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6.95%</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L+175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9,950,000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9,950,000</w:t>
            </w:r>
          </w:p>
        </w:tc>
        <w:tc>
          <w:tcPr>
            <w:tcW w:w="900" w:type="dxa"/>
            <w:vAlign w:val="bottom"/>
          </w:tcPr>
          <w:p>
            <w:pPr>
              <w:jc w:val="right"/>
              <w:spacing w:after="0"/>
              <w:rPr>
                <w:sz w:val="20"/>
                <w:szCs w:val="20"/>
                <w:color w:val="auto"/>
              </w:rPr>
            </w:pPr>
            <w:r>
              <w:rPr>
                <w:rFonts w:ascii="Arial" w:cs="Arial" w:eastAsia="Arial" w:hAnsi="Arial"/>
                <w:sz w:val="18"/>
                <w:szCs w:val="18"/>
                <w:color w:val="auto"/>
              </w:rPr>
              <w:t>9,441,615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04/15/2014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4,625,000</w:t>
            </w:r>
          </w:p>
        </w:tc>
        <w:tc>
          <w:tcPr>
            <w:tcW w:w="0" w:type="dxa"/>
            <w:vAlign w:val="bottom"/>
          </w:tcPr>
          <w:p>
            <w:pPr>
              <w:spacing w:after="0"/>
              <w:rPr>
                <w:sz w:val="1"/>
                <w:szCs w:val="1"/>
                <w:color w:val="auto"/>
              </w:rPr>
            </w:pPr>
          </w:p>
        </w:tc>
      </w:tr>
      <w:tr>
        <w:trPr>
          <w:trHeight w:val="208"/>
        </w:trPr>
        <w:tc>
          <w:tcPr>
            <w:tcW w:w="340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02/07/2014</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7.44%</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9,963,514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9,963,514</w:t>
            </w:r>
          </w:p>
        </w:tc>
        <w:tc>
          <w:tcPr>
            <w:tcW w:w="900" w:type="dxa"/>
            <w:vAlign w:val="bottom"/>
          </w:tcPr>
          <w:p>
            <w:pPr>
              <w:jc w:val="right"/>
              <w:spacing w:after="0"/>
              <w:rPr>
                <w:sz w:val="20"/>
                <w:szCs w:val="20"/>
                <w:color w:val="auto"/>
              </w:rPr>
            </w:pPr>
            <w:r>
              <w:rPr>
                <w:rFonts w:ascii="Arial" w:cs="Arial" w:eastAsia="Arial" w:hAnsi="Arial"/>
                <w:sz w:val="18"/>
                <w:szCs w:val="18"/>
                <w:color w:val="auto"/>
              </w:rPr>
              <w:t>8,947,235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5"/>
                <w:szCs w:val="15"/>
                <w:color w:val="auto"/>
                <w:w w:val="95"/>
              </w:rPr>
              <w:t xml:space="preserve">WARES </w:t>
            </w:r>
            <w:r>
              <w:rPr>
                <w:rFonts w:ascii="Arial" w:cs="Arial" w:eastAsia="Arial" w:hAnsi="Arial"/>
                <w:sz w:val="17"/>
                <w:szCs w:val="17"/>
                <w:color w:val="auto"/>
                <w:w w:val="95"/>
              </w:rPr>
              <w:t>&amp; D</w:t>
            </w:r>
            <w:r>
              <w:rPr>
                <w:rFonts w:ascii="Arial" w:cs="Arial" w:eastAsia="Arial" w:hAnsi="Arial"/>
                <w:sz w:val="15"/>
                <w:szCs w:val="15"/>
                <w:color w:val="auto"/>
                <w:w w:val="95"/>
              </w:rPr>
              <w:t>URABLES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03/13/2014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1,939,642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03/08/2014</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7.58%</w:t>
            </w: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4,842,920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4,842,920</w:t>
            </w:r>
          </w:p>
        </w:tc>
        <w:tc>
          <w:tcPr>
            <w:tcW w:w="900" w:type="dxa"/>
            <w:vAlign w:val="bottom"/>
          </w:tcPr>
          <w:p>
            <w:pPr>
              <w:jc w:val="right"/>
              <w:spacing w:after="0"/>
              <w:rPr>
                <w:sz w:val="20"/>
                <w:szCs w:val="20"/>
                <w:color w:val="auto"/>
              </w:rPr>
            </w:pPr>
            <w:r>
              <w:rPr>
                <w:rFonts w:ascii="Arial" w:cs="Arial" w:eastAsia="Arial" w:hAnsi="Arial"/>
                <w:sz w:val="18"/>
                <w:szCs w:val="18"/>
                <w:color w:val="auto"/>
              </w:rPr>
              <w:t>3,357,757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1,939,200</w:t>
            </w:r>
          </w:p>
        </w:tc>
        <w:tc>
          <w:tcPr>
            <w:tcW w:w="0" w:type="dxa"/>
            <w:vAlign w:val="bottom"/>
          </w:tcPr>
          <w:p>
            <w:pPr>
              <w:spacing w:after="0"/>
              <w:rPr>
                <w:sz w:val="1"/>
                <w:szCs w:val="1"/>
                <w:color w:val="auto"/>
              </w:rPr>
            </w:pPr>
          </w:p>
        </w:tc>
      </w:tr>
      <w:tr>
        <w:trPr>
          <w:trHeight w:val="256"/>
        </w:trPr>
        <w:tc>
          <w:tcPr>
            <w:tcW w:w="3400" w:type="dxa"/>
            <w:vAlign w:val="bottom"/>
            <w:gridSpan w:val="2"/>
          </w:tcPr>
          <w:p>
            <w:pPr>
              <w:spacing w:after="0" w:line="256" w:lineRule="exact"/>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r>
              <w:rPr>
                <w:rFonts w:ascii="Arial" w:cs="Arial" w:eastAsia="Arial" w:hAnsi="Arial"/>
                <w:sz w:val="29"/>
                <w:szCs w:val="29"/>
                <w:color w:val="auto"/>
                <w:vertAlign w:val="superscript"/>
              </w:rPr>
              <w:t>(4)</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200" w:type="dxa"/>
            <w:vAlign w:val="bottom"/>
          </w:tcPr>
          <w:p>
            <w:pPr>
              <w:spacing w:after="0"/>
              <w:rPr>
                <w:sz w:val="22"/>
                <w:szCs w:val="22"/>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980,000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980,000</w:t>
            </w:r>
          </w:p>
        </w:tc>
        <w:tc>
          <w:tcPr>
            <w:tcW w:w="900" w:type="dxa"/>
            <w:vAlign w:val="bottom"/>
          </w:tcPr>
          <w:p>
            <w:pPr>
              <w:jc w:val="right"/>
              <w:spacing w:after="0"/>
              <w:rPr>
                <w:sz w:val="20"/>
                <w:szCs w:val="20"/>
                <w:color w:val="auto"/>
              </w:rPr>
            </w:pPr>
            <w:r>
              <w:rPr>
                <w:rFonts w:ascii="Arial" w:cs="Arial" w:eastAsia="Arial" w:hAnsi="Arial"/>
                <w:sz w:val="18"/>
                <w:szCs w:val="18"/>
                <w:color w:val="auto"/>
              </w:rPr>
              <w:t>940,800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02/22/2014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L+200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3,972,813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3,971,545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3,845,683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Basis</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Point</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Spread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06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Above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360" w:type="dxa"/>
            <w:vAlign w:val="bottom"/>
          </w:tcPr>
          <w:p>
            <w:pPr>
              <w:spacing w:after="0"/>
              <w:rPr>
                <w:sz w:val="15"/>
                <w:szCs w:val="15"/>
                <w:color w:val="auto"/>
              </w:rPr>
            </w:pPr>
          </w:p>
        </w:tc>
        <w:tc>
          <w:tcPr>
            <w:tcW w:w="5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Par</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First Lien Secured Debt –</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(Continued)</w:t>
            </w: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01/18/2014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7.61%</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3,990,000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3,990,000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3,740,625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OUSE WARES</w:t>
            </w:r>
            <w:r>
              <w:rPr>
                <w:rFonts w:ascii="Arial" w:cs="Arial" w:eastAsia="Arial" w:hAnsi="Arial"/>
                <w:sz w:val="18"/>
                <w:szCs w:val="18"/>
                <w:color w:val="auto"/>
                <w:w w:val="99"/>
              </w:rPr>
              <w:t xml:space="preserve"> &amp;</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J</w:t>
            </w:r>
            <w:r>
              <w:rPr>
                <w:rFonts w:ascii="Arial" w:cs="Arial" w:eastAsia="Arial" w:hAnsi="Arial"/>
                <w:sz w:val="14"/>
                <w:szCs w:val="14"/>
                <w:color w:val="auto"/>
              </w:rPr>
              <w:t>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01/31/2014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982,525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982,525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03/28/2014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USINESS</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7.20%</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L+200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3,980,000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3,980,000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3,835,725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4"/>
                <w:szCs w:val="14"/>
                <w:color w:val="auto"/>
                <w:w w:val="92"/>
              </w:rPr>
              <w:t>ERVICES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08/31/2011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6,965,000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6,971,653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OUSE WARES</w:t>
            </w:r>
            <w:r>
              <w:rPr>
                <w:rFonts w:ascii="Arial" w:cs="Arial" w:eastAsia="Arial" w:hAnsi="Arial"/>
                <w:sz w:val="18"/>
                <w:szCs w:val="18"/>
                <w:color w:val="auto"/>
                <w:w w:val="99"/>
              </w:rPr>
              <w:t xml:space="preserve"> &amp;</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URABLES</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02/01/2013</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7.59%</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4,975,000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4,975,000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4,716,922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03/16/2014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7.36%</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1,493,333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1,493,333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L.L.C.</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02/09/2014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DUCATION</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8.20%</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L+300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955,833</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955,833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05/04/2014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L+300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4,974,167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4,974,167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03/02/2014</w:t>
            </w: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7.43%</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L+200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995,006</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995,006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07/19/2013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4,937,500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4,937,500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B</w:t>
            </w:r>
            <w:r>
              <w:rPr>
                <w:rFonts w:ascii="Arial" w:cs="Arial" w:eastAsia="Arial" w:hAnsi="Arial"/>
                <w:sz w:val="14"/>
                <w:szCs w:val="14"/>
                <w:color w:val="auto"/>
                <w:w w:val="98"/>
              </w:rPr>
              <w:t>ASIC</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NDUSTRIES</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01/30/2014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USINESS</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7.78%</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L+250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2,867,302</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2,867,302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2,680,927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4"/>
                <w:szCs w:val="14"/>
                <w:color w:val="auto"/>
                <w:w w:val="92"/>
              </w:rPr>
              <w:t>ERVICES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09/29/2014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14,093,960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14,093,960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09/29/2014</w:t>
            </w:r>
          </w:p>
        </w:tc>
        <w:tc>
          <w:tcPr>
            <w:tcW w:w="144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906,040</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906,040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20" w:type="dxa"/>
            <w:vAlign w:val="bottom"/>
            <w:gridSpan w:val="2"/>
          </w:tcPr>
          <w:p>
            <w:pPr>
              <w:ind w:left="220"/>
              <w:spacing w:after="0" w:line="265"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 xml:space="preserve">. </w:t>
            </w:r>
            <w:r>
              <w:rPr>
                <w:rFonts w:ascii="Arial" w:cs="Arial" w:eastAsia="Arial" w:hAnsi="Arial"/>
                <w:sz w:val="29"/>
                <w:szCs w:val="29"/>
                <w:color w:val="auto"/>
                <w:vertAlign w:val="superscript"/>
              </w:rPr>
              <w:t>(4)</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03/02/2014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L+175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7,061,899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7,061,899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03/02/2014</w:t>
            </w: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2,103,908</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2,103,908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20" w:type="dxa"/>
            <w:vAlign w:val="bottom"/>
            <w:gridSpan w:val="2"/>
          </w:tcPr>
          <w:p>
            <w:pPr>
              <w:ind w:left="220"/>
              <w:spacing w:after="0" w:line="265"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 xml:space="preserve">. </w:t>
            </w:r>
            <w:r>
              <w:rPr>
                <w:rFonts w:ascii="Arial" w:cs="Arial" w:eastAsia="Arial" w:hAnsi="Arial"/>
                <w:sz w:val="29"/>
                <w:szCs w:val="29"/>
                <w:color w:val="auto"/>
                <w:vertAlign w:val="superscript"/>
              </w:rPr>
              <w:t>(4)</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05/30/2014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L+175</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3,714,286</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3,714,286</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Total First Lien Secured Debt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170,481,009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170,474,236</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158,929,905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107.6%</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314,881,870</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291,016,608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COPRORATION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6"/>
              </w:rPr>
              <w:t>Basis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2"/>
              </w:rPr>
              <w:t>Point</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330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Current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Above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5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Industry   Coupon</w:t>
            </w:r>
          </w:p>
        </w:tc>
        <w:tc>
          <w:tcPr>
            <w:tcW w:w="5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3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5"/>
                <w:szCs w:val="15"/>
                <w:color w:val="auto"/>
              </w:rPr>
            </w:pPr>
          </w:p>
        </w:tc>
        <w:tc>
          <w:tcPr>
            <w:tcW w:w="960" w:type="dxa"/>
            <w:vAlign w:val="bottom"/>
          </w:tcPr>
          <w:p>
            <w:pPr>
              <w:jc w:val="right"/>
              <w:ind w:right="279"/>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Equivalents – 95.4%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12/27/2007</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3.64%</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$255,000,000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9"/>
              </w:rPr>
              <w:t>$252,759,931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$ 252,703,215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Total Cash Equivalents – 95.4%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260,256,420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258,016,351</w:t>
            </w: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573,946,197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572,898,221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in Excess of Other Assets – (103.0%)</w:t>
            </w: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360" w:hanging="452"/>
        <w:spacing w:after="0" w:line="25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Security is exempt from registration under Rule 144A promulgated under the Securities Act of 1933. The security may be resold in transactions that are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exempt from registration, normally to qualified institutional buyers.</w:t>
      </w:r>
    </w:p>
    <w:p>
      <w:pPr>
        <w:spacing w:after="0" w:line="9" w:lineRule="exact"/>
        <w:rPr>
          <w:sz w:val="20"/>
          <w:szCs w:val="20"/>
          <w:color w:val="auto"/>
        </w:rPr>
      </w:pPr>
    </w:p>
    <w:p>
      <w:pPr>
        <w:ind w:right="7680" w:firstLine="8"/>
        <w:spacing w:after="0" w:line="260" w:lineRule="auto"/>
        <w:tabs>
          <w:tab w:leader="none" w:pos="44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7"/>
        <w:spacing w:after="0" w:line="28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5"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440" w:hanging="447"/>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00" w:hanging="447"/>
        <w:spacing w:after="0" w:line="33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Investments purchased within 60 days of maturity are valued at cost plus accreted discount, or minus amortized premium, which approximates value.</w:t>
      </w:r>
    </w:p>
    <w:p>
      <w:pPr>
        <w:spacing w:after="0" w:line="113" w:lineRule="exact"/>
        <w:rPr>
          <w:rFonts w:ascii="Arial" w:cs="Arial" w:eastAsia="Arial" w:hAnsi="Arial"/>
          <w:sz w:val="16"/>
          <w:szCs w:val="16"/>
          <w:color w:val="auto"/>
        </w:rPr>
      </w:pPr>
    </w:p>
    <w:p>
      <w:pPr>
        <w:ind w:left="460" w:right="30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5" w:lineRule="exact"/>
        <w:rPr>
          <w:rFonts w:ascii="Arial" w:cs="Arial" w:eastAsia="Arial" w:hAnsi="Arial"/>
          <w:sz w:val="18"/>
          <w:szCs w:val="18"/>
          <w:color w:val="auto"/>
        </w:rPr>
      </w:pPr>
    </w:p>
    <w:p>
      <w:pPr>
        <w:ind w:left="460" w:hanging="452"/>
        <w:spacing w:after="0" w:line="314"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23" w:lineRule="exact"/>
        <w:rPr>
          <w:rFonts w:ascii="Arial" w:cs="Arial" w:eastAsia="Arial" w:hAnsi="Arial"/>
          <w:sz w:val="15"/>
          <w:szCs w:val="15"/>
          <w:color w:val="auto"/>
        </w:rPr>
      </w:pPr>
    </w:p>
    <w:p>
      <w:pPr>
        <w:ind w:left="460" w:right="40" w:hanging="452"/>
        <w:spacing w:after="0" w:line="287"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for the year ended September 30, 2007. These amounts were paid to the tax authorities in December 2007. Based upon PennantPark Investment’s qualification and election to be subject to tax as a RIC as of its next taxable year-end, we do not anticipate any material taxes in the future. The Company recognizes in its financial statements the effect of a tax position when it is more likely than not, based on the technical merits, that the position will be sustained upon examination.</w:t>
      </w:r>
    </w:p>
    <w:p>
      <w:pPr>
        <w:spacing w:after="0" w:line="40" w:lineRule="exact"/>
        <w:rPr>
          <w:rFonts w:ascii="Arial" w:cs="Arial" w:eastAsia="Arial" w:hAnsi="Arial"/>
          <w:sz w:val="16"/>
          <w:szCs w:val="16"/>
          <w:color w:val="auto"/>
        </w:rPr>
      </w:pPr>
    </w:p>
    <w:p>
      <w:pPr>
        <w:jc w:val="both"/>
        <w:ind w:left="460" w:right="1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SFAS 157 against its valuation policies to determine future applicability.</w:t>
      </w:r>
    </w:p>
    <w:p>
      <w:pPr>
        <w:spacing w:after="0" w:line="38"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2007, the FASB issued Statement No. 159, The Fair Value Option for Financial Assets and Financial Liabilities – 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right="340"/>
        <w:spacing w:after="0" w:line="331" w:lineRule="auto"/>
        <w:rPr>
          <w:sz w:val="20"/>
          <w:szCs w:val="20"/>
          <w:color w:val="auto"/>
        </w:rPr>
      </w:pPr>
      <w:r>
        <w:rPr>
          <w:rFonts w:ascii="Arial" w:cs="Arial" w:eastAsia="Arial" w:hAnsi="Arial"/>
          <w:sz w:val="16"/>
          <w:szCs w:val="16"/>
          <w:color w:val="auto"/>
        </w:rPr>
        <w:t>This statement is effective for fiscal years beginning after November 15, 2007, and interim periods within those fiscal years. The Company does not expect the adoption of this statement to have a significant effect on the Company’s financial position or its result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69"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LLC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31" w:lineRule="exact"/>
        <w:rPr>
          <w:sz w:val="20"/>
          <w:szCs w:val="20"/>
          <w:color w:val="auto"/>
        </w:rPr>
      </w:pPr>
    </w:p>
    <w:p>
      <w:pPr>
        <w:ind w:right="20" w:firstLine="449"/>
        <w:spacing w:after="0" w:line="307"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 from the commencement of operations to the consummation of the initial public offering there were no Management Fees. For services rendered under the Investment Management Agreement during the period commencing from the closing of the initial public offering through and including the first six months of operations, the base management fee is payable monthly in arrears. For services rendered under the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three months ended December 31, 2007, the Adviser received a base management fee of $1.4 million from the Company.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63" w:lineRule="exact"/>
        <w:rPr>
          <w:sz w:val="20"/>
          <w:szCs w:val="20"/>
          <w:color w:val="auto"/>
        </w:rPr>
      </w:pPr>
    </w:p>
    <w:p>
      <w:pPr>
        <w:ind w:firstLine="449"/>
        <w:spacing w:after="0" w:line="303"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8" w:lineRule="exact"/>
        <w:rPr>
          <w:sz w:val="20"/>
          <w:szCs w:val="20"/>
          <w:color w:val="auto"/>
        </w:rPr>
      </w:pPr>
    </w:p>
    <w:p>
      <w:pPr>
        <w:ind w:firstLine="457"/>
        <w:spacing w:after="0" w:line="294" w:lineRule="auto"/>
        <w:tabs>
          <w:tab w:leader="none" w:pos="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34" w:lineRule="exact"/>
        <w:rPr>
          <w:sz w:val="20"/>
          <w:szCs w:val="20"/>
          <w:color w:val="auto"/>
        </w:rPr>
      </w:pPr>
    </w:p>
    <w:p>
      <w:pPr>
        <w:ind w:right="180" w:firstLine="449"/>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 For the three months ended December 31, 2007, the Adviser received an Incentive Fee of approximately $447,000 from the Company.</w:t>
      </w:r>
    </w:p>
    <w:p>
      <w:pPr>
        <w:spacing w:after="0" w:line="37" w:lineRule="exact"/>
        <w:rPr>
          <w:sz w:val="20"/>
          <w:szCs w:val="20"/>
          <w:color w:val="auto"/>
        </w:rPr>
      </w:pPr>
    </w:p>
    <w:p>
      <w:pPr>
        <w:jc w:val="both"/>
        <w:ind w:right="20" w:firstLine="449"/>
        <w:spacing w:after="0" w:line="256" w:lineRule="auto"/>
        <w:rPr>
          <w:sz w:val="20"/>
          <w:szCs w:val="20"/>
          <w:color w:val="auto"/>
        </w:rPr>
      </w:pPr>
      <w:r>
        <w:rPr>
          <w:rFonts w:ascii="Arial" w:cs="Arial" w:eastAsia="Arial" w:hAnsi="Arial"/>
          <w:sz w:val="18"/>
          <w:szCs w:val="18"/>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months ended December 31, 2007, the Investment Adviser was reimbursed approximately $594,000 from the Company, including expenses it incurred on behalf of the Administrator, for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20" w:firstLine="449"/>
        <w:spacing w:after="0" w:line="369"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31, 2007, PennantPark Investment’s total net assets and net asset value per share were $254,221,308 and $12.07,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w w:val="99"/>
              </w:rPr>
              <w:t>Three Months Ended</w:t>
            </w:r>
          </w:p>
        </w:tc>
      </w:tr>
      <w:tr>
        <w:trPr>
          <w:trHeight w:val="161"/>
        </w:trPr>
        <w:tc>
          <w:tcPr>
            <w:tcW w:w="6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December 31,2007</w:t>
            </w:r>
          </w:p>
        </w:tc>
        <w:tc>
          <w:tcPr>
            <w:tcW w:w="80" w:type="dxa"/>
            <w:vAlign w:val="bottom"/>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decrease in net assets per share resulting from operations:</w:t>
            </w:r>
          </w:p>
        </w:tc>
        <w:tc>
          <w:tcPr>
            <w:tcW w:w="1360" w:type="dxa"/>
            <w:vAlign w:val="bottom"/>
            <w:gridSpan w:val="2"/>
            <w:shd w:val="clear" w:color="auto" w:fill="CCEEFF"/>
          </w:tcPr>
          <w:p>
            <w:pPr>
              <w:ind w:left="128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(11,536,656)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21,068,772</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360" w:type="dxa"/>
            <w:vAlign w:val="bottom"/>
            <w:gridSpan w:val="2"/>
            <w:shd w:val="clear" w:color="auto" w:fill="CCEEFF"/>
          </w:tcPr>
          <w:p>
            <w:pPr>
              <w:ind w:left="128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620" w:firstLine="449"/>
        <w:spacing w:after="0" w:line="268" w:lineRule="auto"/>
        <w:rPr>
          <w:sz w:val="20"/>
          <w:szCs w:val="20"/>
          <w:color w:val="auto"/>
        </w:rPr>
      </w:pPr>
      <w:r>
        <w:rPr>
          <w:rFonts w:ascii="Arial" w:cs="Arial" w:eastAsia="Arial" w:hAnsi="Arial"/>
          <w:sz w:val="18"/>
          <w:szCs w:val="18"/>
          <w:color w:val="auto"/>
        </w:rPr>
        <w:t>Purchases and sales/repayments of long-term investments for the three months ended December 31, 2007 totaled $71.5 million and $4.4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 2007</w:t>
            </w:r>
          </w:p>
        </w:tc>
        <w:tc>
          <w:tcPr>
            <w:tcW w:w="10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September 30, 2007</w:t>
            </w:r>
          </w:p>
        </w:tc>
      </w:tr>
      <w:tr>
        <w:trPr>
          <w:trHeight w:val="142"/>
        </w:trPr>
        <w:tc>
          <w:tcPr>
            <w:tcW w:w="6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81,788,219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81,780,690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$ 258,016,351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$ 257,959,635</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First lien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165,934,444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148,781,962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170,474,236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158,929,905</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126,948,281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113,499,500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Subordinated debt/corporate notes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82,529,980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73,304,219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62,397,146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6,604,931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463,950,924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423,971,302</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5"/>
              </w:rPr>
              <w:t>$ 572,898,221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$ 548,976,243</w:t>
            </w:r>
          </w:p>
        </w:tc>
      </w:tr>
      <w:tr>
        <w:trPr>
          <w:trHeight w:val="20"/>
        </w:trPr>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5540" w:right="1400" w:hanging="5078"/>
        <w:spacing w:after="0" w:line="440" w:lineRule="auto"/>
        <w:rPr>
          <w:sz w:val="20"/>
          <w:szCs w:val="20"/>
          <w:color w:val="auto"/>
        </w:rPr>
      </w:pPr>
      <w:r>
        <w:rPr>
          <w:rFonts w:ascii="Arial" w:cs="Arial" w:eastAsia="Arial" w:hAnsi="Arial"/>
          <w:sz w:val="18"/>
          <w:szCs w:val="18"/>
          <w:color w:val="auto"/>
        </w:rPr>
        <w:t>The cost represents the original cost adjusted for the accretion of discounts and amortization of premiums on debt investments, if any. 16</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2007 and September 30,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3"/>
                <w:szCs w:val="13"/>
                <w:b w:val="1"/>
                <w:bCs w:val="1"/>
                <w:color w:val="auto"/>
                <w:w w:val="92"/>
              </w:rPr>
              <w:t>December 31,</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Industry Classification</w:t>
            </w:r>
          </w:p>
        </w:tc>
        <w:tc>
          <w:tcPr>
            <w:tcW w:w="708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2007</w:t>
            </w:r>
          </w:p>
        </w:tc>
        <w:tc>
          <w:tcPr>
            <w:tcW w:w="98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4"/>
                <w:szCs w:val="14"/>
                <w:color w:val="auto"/>
              </w:rPr>
            </w:pPr>
          </w:p>
        </w:tc>
      </w:tr>
      <w:tr>
        <w:trPr>
          <w:trHeight w:val="209"/>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Media</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December 31,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Period from January 11,</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2007 (inception) through</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December 31, 2007</w:t>
            </w: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September 30, 2007</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16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and unrealized loss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and distributions to stockholders(1)</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asset value, end of period</w:t>
            </w:r>
          </w:p>
        </w:tc>
        <w:tc>
          <w:tcPr>
            <w:tcW w:w="1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6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12.07</w:t>
            </w:r>
          </w:p>
        </w:tc>
        <w:tc>
          <w:tcPr>
            <w:tcW w:w="10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6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Total return(2)*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102"/>
        </w:trPr>
        <w:tc>
          <w:tcPr>
            <w:tcW w:w="5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21,068,772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323"/>
        </w:trPr>
        <w:tc>
          <w:tcPr>
            <w:tcW w:w="58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assets**(3)</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 to average net assets**(3)</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110"/>
        </w:trPr>
        <w:tc>
          <w:tcPr>
            <w:tcW w:w="5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6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254,221,308</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270,393,094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6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59,038,043</w:t>
            </w:r>
          </w:p>
        </w:tc>
        <w:tc>
          <w:tcPr>
            <w:tcW w:w="10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817,610(4)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6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0.04(4)</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 w:lineRule="exact"/>
        <w:rPr>
          <w:sz w:val="20"/>
          <w:szCs w:val="20"/>
          <w:color w:val="auto"/>
        </w:rPr>
      </w:pPr>
    </w:p>
    <w:p>
      <w:pPr>
        <w:ind w:left="460" w:right="5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Dividends and distributions are determined based on taxable income calculated in accordance with income tax regulations which may differ from amounts determined under accounting principles generally accepted in the United States of America, or GAAP</w:t>
      </w:r>
    </w:p>
    <w:p>
      <w:pPr>
        <w:spacing w:after="0" w:line="1"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1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three months ended December 31, 2007, the ratio of operating expenses before management fee waiver to average net assets was 5.10%, and the ratio of total expenses before management fee waiver to average net assets was 6.75%. For the period from April 24, 2007 through September 30, 2007, the ratio of operating expenses before management fee waiver to average net assets was 4.28%, and the ratio of total expenses before management fee waiver to average net assets was 5.78%.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December 31, there was $91.5 million in outstanding borrowings under the Credit Agreement, with an average interest rate of 5.90%.</w:t>
      </w:r>
    </w:p>
    <w:p>
      <w:pPr>
        <w:spacing w:after="0" w:line="112"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jc w:val="both"/>
        <w:ind w:right="22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2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December 31, 2007, and the related statements of operations, changes in net assets and cash flows for the three month period then ended. These financial statements are the responsibility of the Company’s management.</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including the schedule of investments, as of September 30, 2007, and the related consolidated statements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25984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59840" cy="2743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2008</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320" w:firstLine="449"/>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Securities and Exchange Commission (“SEC”), including annual reports on Form 10-K, Reports on Form 10-Q and current reports on Form 8-K.</w:t>
      </w:r>
    </w:p>
    <w:p>
      <w:pPr>
        <w:spacing w:after="0" w:line="14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w:t>
      </w:r>
    </w:p>
    <w:p>
      <w:pPr>
        <w:spacing w:after="0" w:line="9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adjusted gross assets as well as an incentive fee based on our investment performance. We have also entered into an Administration Agreement with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We invest primarily in U.S. middle-market private companies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form of mezzanine debt, senior secured loans and equity investments, such as preferred stock, common stock, warrants or options received in connection with our debt investments or through direct investments. From time to time, we may also invest in public companies whose securities are thinly traded. We consider our core assets, by value and investment focus, to consist of subordinated debt, second lien secured debt and, to a lesser extent, equity investments.</w:t>
      </w:r>
    </w:p>
    <w:p>
      <w:pPr>
        <w:spacing w:after="0" w:line="88" w:lineRule="exact"/>
        <w:rPr>
          <w:sz w:val="20"/>
          <w:szCs w:val="20"/>
          <w:color w:val="auto"/>
        </w:rPr>
      </w:pPr>
    </w:p>
    <w:p>
      <w:pPr>
        <w:ind w:right="26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48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per portfolio company. We expect this investment size to vary proportionately with the size of our capital base.</w:t>
      </w:r>
    </w:p>
    <w:p>
      <w:pPr>
        <w:spacing w:after="0" w:line="132"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1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While our primary focus is to generate current income and capital appreciation through debt and equity investments in private or thinly traded public middle-market U.S. companies, we may invest up to 30% of the portfolio in opportunistic investments in order to seek to enhance returns to stockholders. Such investments may include investments in high-yield bonds, distressed debt, and other securities of public companies whose securities are not thinly traded and securities of middle-market companies located outside of the U.S. and private equity. We expect that these public companies generally will issue debt securities that are non-investment grade.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payment-in-kind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recorded on the ex-dividend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2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the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8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99" w:lineRule="exact"/>
        <w:rPr>
          <w:rFonts w:ascii="Arial" w:cs="Arial" w:eastAsia="Arial" w:hAnsi="Arial"/>
          <w:sz w:val="16"/>
          <w:szCs w:val="16"/>
          <w:color w:val="auto"/>
        </w:rPr>
      </w:pPr>
    </w:p>
    <w:p>
      <w:pPr>
        <w:ind w:left="880" w:right="160" w:hanging="319"/>
        <w:spacing w:after="0" w:line="25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69" w:lineRule="exact"/>
        <w:rPr>
          <w:sz w:val="20"/>
          <w:szCs w:val="20"/>
          <w:color w:val="auto"/>
        </w:rPr>
      </w:pPr>
    </w:p>
    <w:p>
      <w:pPr>
        <w:ind w:right="180" w:firstLine="449"/>
        <w:spacing w:after="0" w:line="287" w:lineRule="auto"/>
        <w:rPr>
          <w:sz w:val="20"/>
          <w:szCs w:val="20"/>
          <w:color w:val="auto"/>
        </w:rPr>
      </w:pPr>
      <w:r>
        <w:rPr>
          <w:rFonts w:ascii="Arial" w:cs="Arial" w:eastAsia="Arial" w:hAnsi="Arial"/>
          <w:sz w:val="16"/>
          <w:szCs w:val="16"/>
          <w:color w:val="auto"/>
        </w:rPr>
        <w:t>As of December 31, 2007, our portfolio consisted of $73.3 million of subordinated debt, $113.5 million of second lien secured debt, $6.6 million of equity investments and $148.8 million of senior secured loans. Our core assets totaled $193.4 million and consisted of investments in twelve different companies with an average investment size of $16.1 million per company and a weighted average yield of 12.8% on the debt investments. On December 31, 2007, our senior secured loan portfolio totaled $148.8 million and consisted of twenty-eight different companies (including two companies also in our core portfolio) with an average investment size of $5.3 million, and a weighted average yield of 7.2%. The overall portfolio had a weighted average yield on debt investments of 10.4%. Due to continued erosion in quoted prices of leveraged finance instruments, the portfolio had unrealized depreciation of $40.0 million. For the three months ended December 31, 2007, we invested 71.0 million across three new and two existing portfolio companies with an average yield of 12.9% on the debt investments. Sales and repayments of long term investments for the three months ended December 31, 2007 totaled $4.4 million. On December 31, 2007, our portfolio consisted of thirty-eight companies and was invested 21% in subordinated debt, 33% in second lien secured debt, 2% in equity investments and 44% in senior secured loans.</w:t>
      </w:r>
    </w:p>
    <w:p>
      <w:pPr>
        <w:spacing w:after="0" w:line="95" w:lineRule="exact"/>
        <w:rPr>
          <w:sz w:val="20"/>
          <w:szCs w:val="20"/>
          <w:color w:val="auto"/>
        </w:rPr>
      </w:pPr>
    </w:p>
    <w:p>
      <w:pPr>
        <w:ind w:right="40" w:firstLine="449"/>
        <w:spacing w:after="0" w:line="283" w:lineRule="auto"/>
        <w:rPr>
          <w:sz w:val="20"/>
          <w:szCs w:val="20"/>
          <w:color w:val="auto"/>
        </w:rPr>
      </w:pPr>
      <w:r>
        <w:rPr>
          <w:rFonts w:ascii="Arial" w:cs="Arial" w:eastAsia="Arial" w:hAnsi="Arial"/>
          <w:sz w:val="16"/>
          <w:szCs w:val="16"/>
          <w:color w:val="auto"/>
        </w:rPr>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w:t>
      </w:r>
    </w:p>
    <w:p>
      <w:pPr>
        <w:spacing w:after="0" w:line="2"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10.1%. Due to erosion in quoted prices of leveraged finance instruments, the portfolio had unrealized depreciation of $23.9 million. On September 30, 2007, our portfolio consisted of thirty-eight companies and was invested 20% in subordinated debt, 23% in second lien secured debt, 2% in equity investments and 55% in senior secured loans.</w:t>
      </w:r>
    </w:p>
    <w:p>
      <w:pPr>
        <w:spacing w:after="0" w:line="117"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We anticipate that our level of investment activity will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our types of investments. Depending on these factors and owing to the substantial due diligence and structuring involved in negotiated investments in illiquid securities, we anticipate that it may take up to two years from the date of our initial public offering to invest all of our assets in accordance with our investment objectives. We will consider selling senior secured loans and/or drawing on our credit facility for liquidity purposes.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6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discussion of our financial condition and results of operation is based upon our financial statements, which have been prepared in accordance with U.S. generally accepted accounting principles,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6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4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uses the pricing indicated by the external event to corroborate and/or assist us in our valuation.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880" w:right="30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880" w:right="400" w:hanging="319"/>
        <w:spacing w:after="0" w:line="306"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25" w:lineRule="exact"/>
        <w:rPr>
          <w:rFonts w:ascii="Arial" w:cs="Arial" w:eastAsia="Arial" w:hAnsi="Arial"/>
          <w:sz w:val="16"/>
          <w:szCs w:val="16"/>
          <w:color w:val="auto"/>
        </w:rPr>
      </w:pPr>
    </w:p>
    <w:p>
      <w:pPr>
        <w:ind w:left="880" w:right="120" w:hanging="319"/>
        <w:spacing w:after="0" w:line="33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88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in Kind Interest</w:t>
      </w:r>
    </w:p>
    <w:p>
      <w:pPr>
        <w:spacing w:after="0" w:line="9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the Company to maintain its status as a RIC, this income must be paid out to stockholders in the form of dividends, even though the Company has not collected any cash.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2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overall leveraged finance credit market experienced a substantial downturn during the second half of 2007 has resulted in unrealized depreciation on most of our existing assets, slowing of new investment activity and in an improved risk/reward environment for new investments. We did not experience any compromised liquidity during the recent turmoil in the global credit markets because of our ability to sell our senior secured loans and availability under our credit facility.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Investment income of $9.0 million for the three months ended December 31, 2007 was primarily attributable to $4.2 million of interest income from senior secured loans investments, which had stated interest rates between 6.6% and 8.3% and a weighted average yield of 7.2%. We recorded interest income of $2.8 million from our second lien secured debt investments, which had stated interest rates between 10.7% and 12.6% and a weighted average yield of 12.4%. We recorded interest income of $1.7 million from our subordinated debt investments, which had stated interest rates between 11.7% and 14.3% and a weighted average yield of 13.4%. The remaining investment income was primarily attributable to interest income from short-term investments and to accretion of discount and amortization of premium.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Net expenses totaled $4.3 million for the three months ended December 31, 2007. Of these totals, $1.1 million was attributable to credit facility related expenses, and $1.3 million to general and administrative expenses. Net base management fee totaled $1.4 million, and performance-based incentive fee totaled approximately $447,000 for the three months ended December 31, 2007.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net investment income totaled $4.7 million or $0.23 cents per share, for the three months ended December 31,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Sales and paydowns of long-term investments totaled $4.4 million, and net realized losses totaled approximately $211,000 for the three months ended December 31,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on Investments and cash equivalents</w:t>
      </w:r>
    </w:p>
    <w:p>
      <w:pPr>
        <w:spacing w:after="0" w:line="9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the three months ended December 31, 2007, the Company’s investments and cash equivalents had a net increase in depreciation of $16.1 million. On December 31, 2007, net unrealized depreciation on investments and cash equivalents totaled $40.0 million, primarily due to the continued downturn in the leveraged finance credit market during the second half of 2007.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From Operations</w:t>
      </w:r>
    </w:p>
    <w:p>
      <w:pPr>
        <w:spacing w:after="0" w:line="96" w:lineRule="exact"/>
        <w:rPr>
          <w:sz w:val="20"/>
          <w:szCs w:val="20"/>
          <w:color w:val="auto"/>
        </w:rPr>
      </w:pPr>
    </w:p>
    <w:p>
      <w:pPr>
        <w:ind w:right="320" w:firstLine="449"/>
        <w:spacing w:after="0" w:line="268" w:lineRule="auto"/>
        <w:rPr>
          <w:sz w:val="20"/>
          <w:szCs w:val="20"/>
          <w:color w:val="auto"/>
        </w:rPr>
      </w:pPr>
      <w:r>
        <w:rPr>
          <w:rFonts w:ascii="Arial" w:cs="Arial" w:eastAsia="Arial" w:hAnsi="Arial"/>
          <w:sz w:val="18"/>
          <w:szCs w:val="18"/>
          <w:color w:val="auto"/>
        </w:rPr>
        <w:t>Net decrease in net assets resulting from operations totaled $11.5 million and $16.7 million, or $0.54 and $0.80 per share, for the three months ended December 31, 2007 and January 11, 2007 (inception) through September 30, 2007,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December 31, 2007, we had outstanding borrowings of $91.5 million under the Credit Agreement, with an annual interest rate of 5.90%.</w:t>
      </w:r>
    </w:p>
    <w:p>
      <w:pPr>
        <w:spacing w:after="0" w:line="6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59" w:lineRule="exact"/>
        <w:rPr>
          <w:sz w:val="20"/>
          <w:szCs w:val="20"/>
          <w:color w:val="auto"/>
        </w:rPr>
      </w:pPr>
    </w:p>
    <w:p>
      <w:pPr>
        <w:jc w:val="both"/>
        <w:ind w:right="420" w:firstLine="449"/>
        <w:spacing w:after="0" w:line="259" w:lineRule="auto"/>
        <w:rPr>
          <w:sz w:val="20"/>
          <w:szCs w:val="20"/>
          <w:color w:val="auto"/>
        </w:rPr>
      </w:pPr>
      <w:r>
        <w:rPr>
          <w:rFonts w:ascii="Arial" w:cs="Arial" w:eastAsia="Arial" w:hAnsi="Arial"/>
          <w:sz w:val="18"/>
          <w:szCs w:val="18"/>
          <w:color w:val="auto"/>
        </w:rPr>
        <w:t>On December 31, 2007, we had $81.8 million in cash equivalents. During the three months ended December 31, 2007, we generated operating cash flows primarily from interest earned on debt investments, and our primary use of funds for operations during the same period consisted of investments in portfolio companies, payments of fees and other operating expenses incurred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60"/>
        <w:spacing w:after="0" w:line="331" w:lineRule="auto"/>
        <w:rPr>
          <w:sz w:val="20"/>
          <w:szCs w:val="20"/>
          <w:color w:val="auto"/>
        </w:rPr>
      </w:pPr>
      <w:r>
        <w:rPr>
          <w:rFonts w:ascii="Arial" w:cs="Arial" w:eastAsia="Arial" w:hAnsi="Arial"/>
          <w:sz w:val="16"/>
          <w:szCs w:val="16"/>
          <w:color w:val="auto"/>
        </w:rPr>
        <w:t>by the Company. Our operating activities resulted in a net use of cash of $253.0 million for the three months ended December 31, 2007, and our financing activities resulted in a net inflow of cash of $76.9 million for the same period, primarily from borrowings under our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180"/>
              <w:spacing w:after="0"/>
              <w:rPr>
                <w:sz w:val="20"/>
                <w:szCs w:val="20"/>
                <w:color w:val="auto"/>
              </w:rPr>
            </w:pPr>
            <w:r>
              <w:rPr>
                <w:rFonts w:ascii="Arial" w:cs="Arial" w:eastAsia="Arial" w:hAnsi="Arial"/>
                <w:sz w:val="13"/>
                <w:szCs w:val="13"/>
                <w:b w:val="1"/>
                <w:bCs w:val="1"/>
                <w:color w:val="auto"/>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Less than</w:t>
            </w:r>
          </w:p>
        </w:tc>
        <w:tc>
          <w:tcPr>
            <w:tcW w:w="740" w:type="dxa"/>
            <w:vAlign w:val="bottom"/>
            <w:gridSpan w:val="2"/>
          </w:tcPr>
          <w:p>
            <w:pPr>
              <w:ind w:left="480"/>
              <w:spacing w:after="0" w:line="129" w:lineRule="exact"/>
              <w:rPr>
                <w:sz w:val="20"/>
                <w:szCs w:val="20"/>
                <w:color w:val="auto"/>
              </w:rPr>
            </w:pPr>
            <w:r>
              <w:rPr>
                <w:rFonts w:ascii="Arial" w:cs="Arial" w:eastAsia="Arial" w:hAnsi="Arial"/>
                <w:sz w:val="13"/>
                <w:szCs w:val="13"/>
                <w:b w:val="1"/>
                <w:bCs w:val="1"/>
                <w:color w:val="auto"/>
              </w:rPr>
              <w:t>1-3</w:t>
            </w:r>
          </w:p>
        </w:tc>
        <w:tc>
          <w:tcPr>
            <w:tcW w:w="820" w:type="dxa"/>
            <w:vAlign w:val="bottom"/>
            <w:gridSpan w:val="2"/>
          </w:tcPr>
          <w:p>
            <w:pPr>
              <w:jc w:val="right"/>
              <w:ind w:right="53"/>
              <w:spacing w:after="0" w:line="129" w:lineRule="exact"/>
              <w:rPr>
                <w:sz w:val="20"/>
                <w:szCs w:val="20"/>
                <w:color w:val="auto"/>
              </w:rPr>
            </w:pPr>
            <w:r>
              <w:rPr>
                <w:rFonts w:ascii="Arial" w:cs="Arial" w:eastAsia="Arial" w:hAnsi="Arial"/>
                <w:sz w:val="13"/>
                <w:szCs w:val="13"/>
                <w:b w:val="1"/>
                <w:bCs w:val="1"/>
                <w:color w:val="auto"/>
              </w:rPr>
              <w:t>3-5</w:t>
            </w:r>
          </w:p>
        </w:tc>
        <w:tc>
          <w:tcPr>
            <w:tcW w:w="4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More than</w:t>
            </w:r>
          </w:p>
        </w:tc>
      </w:tr>
      <w:tr>
        <w:trPr>
          <w:trHeight w:val="161"/>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4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years</w:t>
            </w:r>
          </w:p>
        </w:tc>
        <w:tc>
          <w:tcPr>
            <w:tcW w:w="42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5 years</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 (1)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$91.5</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December 31, 2007, $208.5 million remained unused under our senior secured revolving credit facility.</w:t>
      </w:r>
    </w:p>
    <w:p>
      <w:pPr>
        <w:spacing w:after="0" w:line="171"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We have entered into certain contracts under which we have material future commitments. On April 17, 2007 we entered into an Investment Management Agreement with PennantPark Investment Advisers in accordance with the 1940 Act, effective as of the completion of our initial public offering. PennantPark Investment Advisers now serves as our investment adviser in accordance with the terms of the Investment Management Agreement. Payments under the Investment Management Agreement in each reporting period is equal to (1) a management fee equal to a percentage of the value of our gross assets and (2) an incentive fee based on our performance (see note 3 to our financial statements for more information).</w:t>
      </w:r>
    </w:p>
    <w:p>
      <w:pPr>
        <w:spacing w:after="0" w:line="115"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Pursuant to an Administration Agreement, dated April 17, 2007, the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w:t>
      </w:r>
    </w:p>
    <w:p>
      <w:pPr>
        <w:spacing w:after="0" w:line="120"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0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6" w:lineRule="exact"/>
        <w:rPr>
          <w:sz w:val="20"/>
          <w:szCs w:val="20"/>
          <w:color w:val="auto"/>
        </w:rPr>
      </w:pPr>
    </w:p>
    <w:p>
      <w:pPr>
        <w:ind w:right="320" w:firstLine="449"/>
        <w:spacing w:after="0" w:line="268" w:lineRule="auto"/>
        <w:rPr>
          <w:sz w:val="20"/>
          <w:szCs w:val="20"/>
          <w:color w:val="auto"/>
        </w:rPr>
      </w:pPr>
      <w:r>
        <w:rPr>
          <w:rFonts w:ascii="Arial" w:cs="Arial" w:eastAsia="Arial" w:hAnsi="Arial"/>
          <w:sz w:val="18"/>
          <w:szCs w:val="18"/>
          <w:color w:val="auto"/>
        </w:rPr>
        <w:t>During the three months ended December 31, 2007 we paid to stockholders distributions of $0.22 per share, for a total dividend of $4.6 million. Tax characteristics of all distributions will be reported to stockholders on Form 1099 after the end of the calendar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amount distributed on December 31, 2007, approximately $506,000 was reinvested under our dividend reinvestment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32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5" w:lineRule="exact"/>
        <w:rPr>
          <w:sz w:val="20"/>
          <w:szCs w:val="20"/>
          <w:color w:val="auto"/>
        </w:rPr>
      </w:pPr>
    </w:p>
    <w:p>
      <w:pPr>
        <w:ind w:right="160" w:firstLine="449"/>
        <w:spacing w:after="0" w:line="331" w:lineRule="auto"/>
        <w:rPr>
          <w:sz w:val="20"/>
          <w:szCs w:val="20"/>
          <w:color w:val="auto"/>
        </w:rPr>
      </w:pPr>
      <w:r>
        <w:rPr>
          <w:rFonts w:ascii="Arial" w:cs="Arial" w:eastAsia="Arial" w:hAnsi="Arial"/>
          <w:sz w:val="16"/>
          <w:szCs w:val="16"/>
          <w:color w:val="auto"/>
        </w:rPr>
        <w:t>We did not experience any compromised liquidity during the recent turmoil in the global credit markets because of our ability to liquidate our portfolio of senior secured loans, which totaled $148.8 million as of December 31, 2007, and availability under our credit facility.</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1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period covered by this report that have materially affected, or are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 xml:space="preserve">In addition to the other information set forth in this report, you should carefully consider the factors discussed in Part I, “Item 1A. Risk Factors” in our Annual Report on Form 10-K for the fiscal year ended September 30, 2007, which could materially affect our business, financial condition or operating results. The risks described in our Annual Report on Form 10-K are not the only risks facing our Company. Our annual report is posted on the SEC’s web 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on our web-site, </w:t>
      </w:r>
      <w:r>
        <w:rPr>
          <w:rFonts w:ascii="Arial" w:cs="Arial" w:eastAsia="Arial" w:hAnsi="Arial"/>
          <w:sz w:val="16"/>
          <w:szCs w:val="16"/>
          <w:u w:val="single" w:color="auto"/>
          <w:color w:val="auto"/>
        </w:rPr>
        <w:t>www.pennantpark.com</w:t>
      </w:r>
      <w:r>
        <w:rPr>
          <w:rFonts w:ascii="Arial" w:cs="Arial" w:eastAsia="Arial" w:hAnsi="Arial"/>
          <w:sz w:val="16"/>
          <w:szCs w:val="16"/>
          <w:color w:val="auto"/>
        </w:rPr>
        <w:t>. Additional risks and uncertainties not currently know to us or that we currently deem to be immaterial also may materially adversely affect our business, financial condition and/or operating results.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1440" w:right="60" w:hanging="775"/>
        <w:spacing w:after="0" w:line="268" w:lineRule="auto"/>
        <w:tabs>
          <w:tab w:leader="none" w:pos="1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1440" w:right="520" w:hanging="775"/>
        <w:spacing w:after="0" w:line="268" w:lineRule="auto"/>
        <w:tabs>
          <w:tab w:leader="none" w:pos="1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Exhibit 3.2 to the Registrants Annual Report on Form 10-K, filed on December 13, 2007).</w:t>
      </w:r>
    </w:p>
    <w:p>
      <w:pPr>
        <w:spacing w:after="0" w:line="78" w:lineRule="exact"/>
        <w:rPr>
          <w:sz w:val="20"/>
          <w:szCs w:val="20"/>
          <w:color w:val="auto"/>
        </w:rPr>
      </w:pPr>
    </w:p>
    <w:p>
      <w:pPr>
        <w:ind w:left="1440" w:right="660" w:hanging="775"/>
        <w:spacing w:after="0" w:line="268" w:lineRule="auto"/>
        <w:tabs>
          <w:tab w:leader="none" w:pos="1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Share Certificate (Incorporated by reference to the Registrant’s Exhibit Filing as Pre-Effective Amendment No. 3 to the Registration Statement on Form N-2 (File No. 333-140092), filed on April 5, 2007).</w:t>
      </w:r>
    </w:p>
    <w:p>
      <w:pPr>
        <w:spacing w:after="0" w:line="78" w:lineRule="exact"/>
        <w:rPr>
          <w:sz w:val="20"/>
          <w:szCs w:val="20"/>
          <w:color w:val="auto"/>
        </w:rPr>
      </w:pPr>
    </w:p>
    <w:p>
      <w:pPr>
        <w:ind w:left="1440" w:right="60" w:hanging="863"/>
        <w:spacing w:after="0" w:line="259" w:lineRule="auto"/>
        <w:tabs>
          <w:tab w:leader="none" w:pos="1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Investment Management Agreement between the Registrant and PennantPark Investment Advisers, LLC (Incorporated by reference to the Registrant’s Pre-Effective Amendment No. 1 to the Registration Statement on Form N-2 (File No. 333-140092), filed on March 5, 2007).</w:t>
      </w:r>
    </w:p>
    <w:p>
      <w:pPr>
        <w:spacing w:after="0" w:line="86" w:lineRule="exact"/>
        <w:rPr>
          <w:sz w:val="20"/>
          <w:szCs w:val="20"/>
          <w:color w:val="auto"/>
        </w:rPr>
      </w:pPr>
    </w:p>
    <w:p>
      <w:pPr>
        <w:ind w:left="1440" w:right="20" w:hanging="863"/>
        <w:spacing w:after="0" w:line="331" w:lineRule="auto"/>
        <w:tabs>
          <w:tab w:leader="none" w:pos="1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Custodian Agreement between the Registrant and LaSalle Bank National Association (Incorporated by reference to the Registrant’s Pre-Effective Amendment No. 1 to the Registration Statement on Form N-2 (File No. 333-140092), filed on March 5, 2007).</w:t>
      </w:r>
    </w:p>
    <w:p>
      <w:pPr>
        <w:spacing w:after="0" w:line="33" w:lineRule="exact"/>
        <w:rPr>
          <w:sz w:val="20"/>
          <w:szCs w:val="20"/>
          <w:color w:val="auto"/>
        </w:rPr>
      </w:pPr>
    </w:p>
    <w:p>
      <w:pPr>
        <w:ind w:left="1440" w:right="120" w:hanging="863"/>
        <w:spacing w:after="0" w:line="268" w:lineRule="auto"/>
        <w:tabs>
          <w:tab w:leader="none" w:pos="14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Administration Agreement between the Registrant and various lenders (Incorporated by reference to the Registrant’s Form 8-K Exhibit 99-2 (File No. 814-00736)), filed on June 28, 2007).</w:t>
      </w:r>
    </w:p>
    <w:p>
      <w:pPr>
        <w:spacing w:after="0" w:line="78" w:lineRule="exact"/>
        <w:rPr>
          <w:sz w:val="20"/>
          <w:szCs w:val="20"/>
          <w:color w:val="auto"/>
        </w:rPr>
      </w:pPr>
    </w:p>
    <w:p>
      <w:pPr>
        <w:ind w:left="1440" w:hanging="863"/>
        <w:spacing w:after="0" w:line="268" w:lineRule="auto"/>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Dividend Reinvestment Plan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1440" w:hanging="863"/>
        <w:spacing w:after="0" w:line="268" w:lineRule="auto"/>
        <w:tabs>
          <w:tab w:leader="none" w:pos="14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Senior Secured Revolving Credit Agreement between Registrant and various lenders (Incorporated by reference to the Report on Form 8-K. Exhibits 99.2 (File No. 814-00736), filed on June 28, 2007).</w:t>
      </w:r>
    </w:p>
    <w:p>
      <w:pPr>
        <w:spacing w:after="0" w:line="78" w:lineRule="exact"/>
        <w:rPr>
          <w:sz w:val="20"/>
          <w:szCs w:val="20"/>
          <w:color w:val="auto"/>
        </w:rPr>
      </w:pPr>
    </w:p>
    <w:p>
      <w:pPr>
        <w:ind w:left="1440" w:hanging="865"/>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unaudited financial statements contained in this Report).</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rFonts w:ascii="Arial" w:cs="Arial" w:eastAsia="Arial" w:hAnsi="Arial"/>
          <w:sz w:val="18"/>
          <w:szCs w:val="18"/>
          <w:color w:val="auto"/>
        </w:rPr>
      </w:pPr>
    </w:p>
    <w:p>
      <w:pPr>
        <w:ind w:right="5540" w:firstLine="567"/>
        <w:spacing w:after="0" w:line="422" w:lineRule="auto"/>
        <w:rPr>
          <w:rFonts w:ascii="Arial" w:cs="Arial" w:eastAsia="Arial" w:hAnsi="Arial"/>
          <w:sz w:val="18"/>
          <w:szCs w:val="18"/>
          <w:color w:val="auto"/>
        </w:rPr>
      </w:pPr>
      <w:r>
        <w:rPr>
          <w:rFonts w:ascii="Arial" w:cs="Arial" w:eastAsia="Arial" w:hAnsi="Arial"/>
          <w:sz w:val="18"/>
          <w:szCs w:val="18"/>
          <w:color w:val="auto"/>
        </w:rPr>
        <w:t>99.1 Privacy Policy of the Registrant, filed December 13, 2007.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1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February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219" w:lineRule="exact"/>
        <w:rPr>
          <w:sz w:val="20"/>
          <w:szCs w:val="20"/>
          <w:color w:val="auto"/>
        </w:rPr>
      </w:pPr>
    </w:p>
    <w:p>
      <w:pPr>
        <w:spacing w:after="0"/>
        <w:tabs>
          <w:tab w:leader="none" w:pos="5460" w:val="left"/>
          <w:tab w:leader="none" w:pos="8060" w:val="left"/>
        </w:tabs>
        <w:rPr>
          <w:sz w:val="20"/>
          <w:szCs w:val="20"/>
          <w:color w:val="auto"/>
        </w:rPr>
      </w:pPr>
      <w:r>
        <w:rPr>
          <w:rFonts w:ascii="Arial" w:cs="Arial" w:eastAsia="Arial" w:hAnsi="Arial"/>
          <w:sz w:val="18"/>
          <w:szCs w:val="18"/>
          <w:color w:val="auto"/>
        </w:rPr>
        <w:t>Date: February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w:t>
      </w:r>
    </w:p>
    <w:p>
      <w:pPr>
        <w:spacing w:after="0" w:line="139"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w:t>
      </w:r>
    </w:p>
    <w:p>
      <w:pPr>
        <w:spacing w:after="0" w:line="139"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2007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4" w:lineRule="exact"/>
        <w:rPr>
          <w:rFonts w:ascii="Arial" w:cs="Arial" w:eastAsia="Arial" w:hAnsi="Arial"/>
          <w:sz w:val="16"/>
          <w:szCs w:val="16"/>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2008</w:t>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2007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4" w:lineRule="exact"/>
        <w:rPr>
          <w:rFonts w:ascii="Arial" w:cs="Arial" w:eastAsia="Arial" w:hAnsi="Arial"/>
          <w:sz w:val="16"/>
          <w:szCs w:val="16"/>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2008</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lowerLetter"/>
      <w:start w:val="2"/>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lvl w:ilvl="1">
      <w:lvlJc w:val="left"/>
      <w:lvlText w:val="%2"/>
      <w:numFmt w:val="decimal"/>
      <w:start w:val="1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2020-05-05T15:07:52Z</dcterms:created>
  <dcterms:modified xsi:type="dcterms:W3CDTF">2020-05-05T15:07:52Z</dcterms:modified>
</cp:coreProperties>
</file>