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340" w:right="1980" w:hanging="3332"/>
        <w:spacing w:after="0" w:line="391" w:lineRule="auto"/>
        <w:tabs>
          <w:tab w:leader="none" w:pos="46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-409575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32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4218305</wp:posOffset>
            </wp:positionH>
            <wp:positionV relativeFrom="paragraph">
              <wp:posOffset>-7620</wp:posOffset>
            </wp:positionV>
            <wp:extent cx="848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jc w:val="center"/>
              <w:ind w:left="1349"/>
              <w:spacing w:after="0"/>
              <w:rPr>
                <w:sz w:val="20"/>
                <w:szCs w:val="20"/>
                <w:color w:val="auto"/>
              </w:rPr>
            </w:pPr>
            <w:r>
              <w:rPr>
                <w:rFonts w:ascii="Arial" w:cs="Arial" w:eastAsia="Arial" w:hAnsi="Arial"/>
                <w:sz w:val="14"/>
                <w:szCs w:val="14"/>
                <w:b w:val="1"/>
                <w:bCs w:val="1"/>
                <w:color w:val="auto"/>
              </w:rPr>
              <w:t>MARYLAND</w:t>
            </w:r>
          </w:p>
        </w:tc>
        <w:tc>
          <w:tcPr>
            <w:tcW w:w="3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jc w:val="right"/>
              <w:ind w:right="2328"/>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216"/>
        </w:trPr>
        <w:tc>
          <w:tcPr>
            <w:tcW w:w="7340" w:type="dxa"/>
            <w:vAlign w:val="bottom"/>
            <w:gridSpan w:val="2"/>
          </w:tcPr>
          <w:p>
            <w:pPr>
              <w:jc w:val="center"/>
              <w:ind w:right="1751"/>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900" w:type="dxa"/>
            <w:vAlign w:val="bottom"/>
            <w:gridSpan w:val="2"/>
          </w:tcPr>
          <w:p>
            <w:pPr>
              <w:jc w:val="center"/>
              <w:ind w:right="150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273"/>
        </w:trPr>
        <w:tc>
          <w:tcPr>
            <w:tcW w:w="4100" w:type="dxa"/>
            <w:vAlign w:val="bottom"/>
          </w:tcPr>
          <w:p>
            <w:pPr>
              <w:jc w:val="center"/>
              <w:ind w:left="1349"/>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380" w:type="dxa"/>
            <w:vAlign w:val="bottom"/>
            <w:vMerge w:val="restart"/>
          </w:tcPr>
          <w:p>
            <w:pPr>
              <w:jc w:val="right"/>
              <w:ind w:right="2488"/>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05"/>
        </w:trPr>
        <w:tc>
          <w:tcPr>
            <w:tcW w:w="4100" w:type="dxa"/>
            <w:vAlign w:val="bottom"/>
            <w:vMerge w:val="restart"/>
          </w:tcPr>
          <w:p>
            <w:pPr>
              <w:jc w:val="center"/>
              <w:ind w:left="1349"/>
              <w:spacing w:after="0"/>
              <w:rPr>
                <w:sz w:val="20"/>
                <w:szCs w:val="20"/>
                <w:color w:val="auto"/>
              </w:rPr>
            </w:pPr>
            <w:r>
              <w:rPr>
                <w:rFonts w:ascii="Arial" w:cs="Arial" w:eastAsia="Arial" w:hAnsi="Arial"/>
                <w:sz w:val="14"/>
                <w:szCs w:val="14"/>
                <w:b w:val="1"/>
                <w:bCs w:val="1"/>
                <w:color w:val="auto"/>
                <w:w w:val="97"/>
              </w:rPr>
              <w:t>New York, N.Y.</w:t>
            </w:r>
          </w:p>
        </w:tc>
        <w:tc>
          <w:tcPr>
            <w:tcW w:w="3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10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100" w:type="dxa"/>
            <w:vAlign w:val="bottom"/>
          </w:tcPr>
          <w:p>
            <w:pPr>
              <w:jc w:val="center"/>
              <w:ind w:left="136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14"/>
        </w:trPr>
        <w:tc>
          <w:tcPr>
            <w:tcW w:w="4100" w:type="dxa"/>
            <w:vAlign w:val="bottom"/>
          </w:tcPr>
          <w:p>
            <w:pPr>
              <w:spacing w:after="0"/>
              <w:rPr>
                <w:sz w:val="24"/>
                <w:szCs w:val="24"/>
                <w:color w:val="auto"/>
              </w:rPr>
            </w:pPr>
          </w:p>
        </w:tc>
        <w:tc>
          <w:tcPr>
            <w:tcW w:w="3240" w:type="dxa"/>
            <w:vAlign w:val="bottom"/>
          </w:tcPr>
          <w:p>
            <w:pPr>
              <w:jc w:val="center"/>
              <w:ind w:right="111"/>
              <w:spacing w:after="0"/>
              <w:rPr>
                <w:sz w:val="20"/>
                <w:szCs w:val="20"/>
                <w:color w:val="auto"/>
              </w:rPr>
            </w:pPr>
            <w:r>
              <w:rPr>
                <w:rFonts w:ascii="Arial" w:cs="Arial" w:eastAsia="Arial" w:hAnsi="Arial"/>
                <w:sz w:val="14"/>
                <w:szCs w:val="14"/>
                <w:b w:val="1"/>
                <w:bCs w:val="1"/>
                <w:color w:val="auto"/>
                <w:w w:val="93"/>
              </w:rPr>
              <w:t>(212) 905-1000</w:t>
            </w: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100" w:type="dxa"/>
            <w:vAlign w:val="bottom"/>
          </w:tcPr>
          <w:p>
            <w:pPr>
              <w:spacing w:after="0"/>
              <w:rPr>
                <w:sz w:val="13"/>
                <w:szCs w:val="13"/>
                <w:color w:val="auto"/>
              </w:rPr>
            </w:pPr>
          </w:p>
        </w:tc>
        <w:tc>
          <w:tcPr>
            <w:tcW w:w="3240" w:type="dxa"/>
            <w:vAlign w:val="bottom"/>
          </w:tcPr>
          <w:p>
            <w:pPr>
              <w:jc w:val="center"/>
              <w:ind w:right="13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5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10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41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00" w:type="dxa"/>
            <w:vAlign w:val="bottom"/>
          </w:tcPr>
          <w:p>
            <w:pPr>
              <w:jc w:val="center"/>
              <w:ind w:left="349"/>
              <w:spacing w:after="0"/>
              <w:rPr>
                <w:sz w:val="20"/>
                <w:szCs w:val="20"/>
                <w:color w:val="auto"/>
              </w:rPr>
            </w:pPr>
            <w:r>
              <w:rPr>
                <w:rFonts w:ascii="Arial" w:cs="Arial" w:eastAsia="Arial" w:hAnsi="Arial"/>
                <w:sz w:val="14"/>
                <w:szCs w:val="14"/>
                <w:b w:val="1"/>
                <w:bCs w:val="1"/>
                <w:color w:val="auto"/>
                <w:w w:val="93"/>
              </w:rPr>
              <w:t>Title of Each Class</w:t>
            </w:r>
          </w:p>
        </w:tc>
        <w:tc>
          <w:tcPr>
            <w:tcW w:w="3240" w:type="dxa"/>
            <w:vAlign w:val="bottom"/>
          </w:tcPr>
          <w:p>
            <w:pPr>
              <w:jc w:val="center"/>
              <w:ind w:right="111"/>
              <w:spacing w:after="0"/>
              <w:rPr>
                <w:sz w:val="20"/>
                <w:szCs w:val="20"/>
                <w:color w:val="auto"/>
              </w:rPr>
            </w:pPr>
            <w:r>
              <w:rPr>
                <w:rFonts w:ascii="Arial" w:cs="Arial" w:eastAsia="Arial" w:hAnsi="Arial"/>
                <w:sz w:val="14"/>
                <w:szCs w:val="14"/>
                <w:b w:val="1"/>
                <w:bCs w:val="1"/>
                <w:color w:val="auto"/>
                <w:w w:val="92"/>
              </w:rPr>
              <w:t>Trading Symbol(s)</w:t>
            </w:r>
          </w:p>
        </w:tc>
        <w:tc>
          <w:tcPr>
            <w:tcW w:w="390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48"/>
        </w:trPr>
        <w:tc>
          <w:tcPr>
            <w:tcW w:w="4100" w:type="dxa"/>
            <w:vAlign w:val="bottom"/>
          </w:tcPr>
          <w:p>
            <w:pPr>
              <w:jc w:val="center"/>
              <w:ind w:left="329"/>
              <w:spacing w:after="0" w:line="149" w:lineRule="exact"/>
              <w:rPr>
                <w:sz w:val="20"/>
                <w:szCs w:val="20"/>
                <w:color w:val="auto"/>
              </w:rPr>
            </w:pPr>
            <w:r>
              <w:rPr>
                <w:rFonts w:ascii="Arial" w:cs="Arial" w:eastAsia="Arial" w:hAnsi="Arial"/>
                <w:sz w:val="14"/>
                <w:szCs w:val="14"/>
                <w:color w:val="auto"/>
                <w:w w:val="92"/>
              </w:rPr>
              <w:t>Common Stock, par value $0.001 per share</w:t>
            </w:r>
          </w:p>
        </w:tc>
        <w:tc>
          <w:tcPr>
            <w:tcW w:w="3240" w:type="dxa"/>
            <w:vAlign w:val="bottom"/>
          </w:tcPr>
          <w:p>
            <w:pPr>
              <w:jc w:val="center"/>
              <w:ind w:right="111"/>
              <w:spacing w:after="0" w:line="149" w:lineRule="exact"/>
              <w:rPr>
                <w:sz w:val="20"/>
                <w:szCs w:val="20"/>
                <w:color w:val="auto"/>
              </w:rPr>
            </w:pPr>
            <w:r>
              <w:rPr>
                <w:rFonts w:ascii="Arial" w:cs="Arial" w:eastAsia="Arial" w:hAnsi="Arial"/>
                <w:sz w:val="14"/>
                <w:szCs w:val="14"/>
                <w:color w:val="auto"/>
                <w:w w:val="99"/>
              </w:rPr>
              <w:t>PNNT</w:t>
            </w:r>
          </w:p>
        </w:tc>
        <w:tc>
          <w:tcPr>
            <w:tcW w:w="520" w:type="dxa"/>
            <w:vAlign w:val="bottom"/>
          </w:tcPr>
          <w:p>
            <w:pPr>
              <w:spacing w:after="0"/>
              <w:rPr>
                <w:sz w:val="12"/>
                <w:szCs w:val="12"/>
                <w:color w:val="auto"/>
              </w:rPr>
            </w:pPr>
          </w:p>
        </w:tc>
        <w:tc>
          <w:tcPr>
            <w:tcW w:w="3380" w:type="dxa"/>
            <w:vAlign w:val="bottom"/>
          </w:tcPr>
          <w:p>
            <w:pPr>
              <w:jc w:val="center"/>
              <w:ind w:right="1028"/>
              <w:spacing w:after="0" w:line="149"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82"/>
        </w:trPr>
        <w:tc>
          <w:tcPr>
            <w:tcW w:w="4100" w:type="dxa"/>
            <w:vAlign w:val="bottom"/>
          </w:tcPr>
          <w:p>
            <w:pPr>
              <w:jc w:val="center"/>
              <w:ind w:left="349"/>
              <w:spacing w:after="0"/>
              <w:rPr>
                <w:sz w:val="20"/>
                <w:szCs w:val="20"/>
                <w:color w:val="auto"/>
              </w:rPr>
            </w:pPr>
            <w:r>
              <w:rPr>
                <w:rFonts w:ascii="Arial" w:cs="Arial" w:eastAsia="Arial" w:hAnsi="Arial"/>
                <w:sz w:val="14"/>
                <w:szCs w:val="14"/>
                <w:color w:val="auto"/>
                <w:w w:val="92"/>
              </w:rPr>
              <w:t>5.50% Notes due 2024</w:t>
            </w:r>
          </w:p>
        </w:tc>
        <w:tc>
          <w:tcPr>
            <w:tcW w:w="3240" w:type="dxa"/>
            <w:vAlign w:val="bottom"/>
          </w:tcPr>
          <w:p>
            <w:pPr>
              <w:jc w:val="center"/>
              <w:ind w:right="91"/>
              <w:spacing w:after="0"/>
              <w:rPr>
                <w:sz w:val="20"/>
                <w:szCs w:val="20"/>
                <w:color w:val="auto"/>
              </w:rPr>
            </w:pPr>
            <w:r>
              <w:rPr>
                <w:rFonts w:ascii="Arial" w:cs="Arial" w:eastAsia="Arial" w:hAnsi="Arial"/>
                <w:sz w:val="14"/>
                <w:szCs w:val="14"/>
                <w:color w:val="auto"/>
                <w:w w:val="97"/>
              </w:rPr>
              <w:t>PNNTG</w:t>
            </w:r>
          </w:p>
        </w:tc>
        <w:tc>
          <w:tcPr>
            <w:tcW w:w="520" w:type="dxa"/>
            <w:vAlign w:val="bottom"/>
          </w:tcPr>
          <w:p>
            <w:pPr>
              <w:spacing w:after="0"/>
              <w:rPr>
                <w:sz w:val="15"/>
                <w:szCs w:val="15"/>
                <w:color w:val="auto"/>
              </w:rPr>
            </w:pPr>
          </w:p>
        </w:tc>
        <w:tc>
          <w:tcPr>
            <w:tcW w:w="3380" w:type="dxa"/>
            <w:vAlign w:val="bottom"/>
          </w:tcPr>
          <w:p>
            <w:pPr>
              <w:jc w:val="center"/>
              <w:ind w:right="1028"/>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392"/>
        </w:trPr>
        <w:tc>
          <w:tcPr>
            <w:tcW w:w="7860" w:type="dxa"/>
            <w:vAlign w:val="bottom"/>
            <w:gridSpan w:val="3"/>
          </w:tcPr>
          <w:p>
            <w:pPr>
              <w:jc w:val="center"/>
              <w:ind w:left="3349"/>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340" w:type="dxa"/>
            <w:vAlign w:val="bottom"/>
            <w:gridSpan w:val="2"/>
          </w:tcPr>
          <w:p>
            <w:pPr>
              <w:ind w:left="440"/>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2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8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7340" w:type="dxa"/>
            <w:vAlign w:val="bottom"/>
            <w:gridSpan w:val="2"/>
          </w:tcPr>
          <w:p>
            <w:pPr>
              <w:ind w:left="44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20" w:type="dxa"/>
            <w:vAlign w:val="bottom"/>
          </w:tcPr>
          <w:p>
            <w:pPr>
              <w:ind w:left="12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p>
        </w:tc>
        <w:tc>
          <w:tcPr>
            <w:tcW w:w="33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right="180" w:firstLine="43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45" w:lineRule="exact"/>
        <w:rPr>
          <w:sz w:val="24"/>
          <w:szCs w:val="24"/>
          <w:color w:val="auto"/>
        </w:rPr>
      </w:pPr>
    </w:p>
    <w:p>
      <w:pPr>
        <w:ind w:right="160" w:firstLine="43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firstLine="43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80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80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2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45" w:lineRule="exact"/>
        <w:rPr>
          <w:sz w:val="24"/>
          <w:szCs w:val="24"/>
          <w:color w:val="auto"/>
        </w:rPr>
      </w:pPr>
    </w:p>
    <w:p>
      <w:pPr>
        <w:ind w:right="140" w:firstLine="43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440"/>
        <w:spacing w:after="0" w:line="161" w:lineRule="exact"/>
        <w:tabs>
          <w:tab w:leader="none" w:pos="7100" w:val="left"/>
          <w:tab w:leader="none" w:pos="7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109" w:lineRule="exact"/>
        <w:rPr>
          <w:sz w:val="24"/>
          <w:szCs w:val="24"/>
          <w:color w:val="auto"/>
        </w:rPr>
      </w:pPr>
    </w:p>
    <w:p>
      <w:pPr>
        <w:ind w:right="120" w:firstLine="438"/>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2019 based on the closing price on that date of $6.91 on The Nasdaq Global Select Market was approximately $453 million. For the purposes of calculating the aggregate market value of common stock held by non-affiliates, all directors and executive officers of the Registrant have been treated as affiliates. There were 67,045,105 shares of the Registrant’s common stock outstanding as of November 21, 2019.</w:t>
      </w:r>
    </w:p>
    <w:p>
      <w:pPr>
        <w:spacing w:after="0" w:line="34" w:lineRule="exact"/>
        <w:rPr>
          <w:sz w:val="24"/>
          <w:szCs w:val="24"/>
          <w:color w:val="auto"/>
        </w:rPr>
      </w:pPr>
    </w:p>
    <w:p>
      <w:pPr>
        <w:ind w:right="160" w:firstLine="438"/>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2020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420" w:type="dxa"/>
            <w:vAlign w:val="bottom"/>
          </w:tcPr>
          <w:p>
            <w:pPr>
              <w:jc w:val="center"/>
              <w:ind w:left="1008"/>
              <w:spacing w:after="0"/>
              <w:rPr>
                <w:sz w:val="20"/>
                <w:szCs w:val="20"/>
                <w:color w:val="auto"/>
              </w:rPr>
            </w:pPr>
            <w:r>
              <w:rPr>
                <w:rFonts w:ascii="Arial" w:cs="Arial" w:eastAsia="Arial" w:hAnsi="Arial"/>
                <w:sz w:val="14"/>
                <w:szCs w:val="14"/>
                <w:b w:val="1"/>
                <w:bCs w:val="1"/>
                <w:color w:val="auto"/>
              </w:rPr>
              <w:t>PENNANTPARK INVESTMENT CORPORATION</w:t>
            </w:r>
          </w:p>
        </w:tc>
        <w:tc>
          <w:tcPr>
            <w:tcW w:w="196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8420" w:type="dxa"/>
            <w:vAlign w:val="bottom"/>
          </w:tcPr>
          <w:p>
            <w:pPr>
              <w:jc w:val="center"/>
              <w:ind w:left="1008"/>
              <w:spacing w:after="0" w:line="149" w:lineRule="exact"/>
              <w:rPr>
                <w:sz w:val="20"/>
                <w:szCs w:val="20"/>
                <w:color w:val="auto"/>
              </w:rPr>
            </w:pPr>
            <w:r>
              <w:rPr>
                <w:rFonts w:ascii="Arial" w:cs="Arial" w:eastAsia="Arial" w:hAnsi="Arial"/>
                <w:sz w:val="14"/>
                <w:szCs w:val="14"/>
                <w:b w:val="1"/>
                <w:bCs w:val="1"/>
                <w:color w:val="auto"/>
              </w:rPr>
              <w:t>FORM 10-K</w:t>
            </w:r>
          </w:p>
        </w:tc>
        <w:tc>
          <w:tcPr>
            <w:tcW w:w="1960" w:type="dxa"/>
            <w:vAlign w:val="bottom"/>
          </w:tcPr>
          <w:p>
            <w:pPr>
              <w:spacing w:after="0"/>
              <w:rPr>
                <w:sz w:val="12"/>
                <w:szCs w:val="12"/>
                <w:color w:val="auto"/>
              </w:rPr>
            </w:pPr>
          </w:p>
        </w:tc>
      </w:tr>
      <w:tr>
        <w:trPr>
          <w:trHeight w:val="148"/>
        </w:trPr>
        <w:tc>
          <w:tcPr>
            <w:tcW w:w="880" w:type="dxa"/>
            <w:vAlign w:val="bottom"/>
          </w:tcPr>
          <w:p>
            <w:pPr>
              <w:spacing w:after="0"/>
              <w:rPr>
                <w:sz w:val="12"/>
                <w:szCs w:val="12"/>
                <w:color w:val="auto"/>
              </w:rPr>
            </w:pPr>
          </w:p>
        </w:tc>
        <w:tc>
          <w:tcPr>
            <w:tcW w:w="8420" w:type="dxa"/>
            <w:vAlign w:val="bottom"/>
          </w:tcPr>
          <w:p>
            <w:pPr>
              <w:jc w:val="center"/>
              <w:ind w:left="1008"/>
              <w:spacing w:after="0" w:line="149" w:lineRule="exact"/>
              <w:rPr>
                <w:sz w:val="20"/>
                <w:szCs w:val="20"/>
                <w:color w:val="auto"/>
              </w:rPr>
            </w:pPr>
            <w:r>
              <w:rPr>
                <w:rFonts w:ascii="Arial" w:cs="Arial" w:eastAsia="Arial" w:hAnsi="Arial"/>
                <w:sz w:val="14"/>
                <w:szCs w:val="14"/>
                <w:b w:val="1"/>
                <w:bCs w:val="1"/>
                <w:color w:val="auto"/>
              </w:rPr>
              <w:t>FOR THE FISCAL YEAR ENDED SEPTEMBER 30, 2019</w:t>
            </w:r>
          </w:p>
        </w:tc>
        <w:tc>
          <w:tcPr>
            <w:tcW w:w="1960" w:type="dxa"/>
            <w:vAlign w:val="bottom"/>
          </w:tcPr>
          <w:p>
            <w:pPr>
              <w:spacing w:after="0"/>
              <w:rPr>
                <w:sz w:val="12"/>
                <w:szCs w:val="12"/>
                <w:color w:val="auto"/>
              </w:rPr>
            </w:pPr>
          </w:p>
        </w:tc>
      </w:tr>
      <w:tr>
        <w:trPr>
          <w:trHeight w:val="186"/>
        </w:trPr>
        <w:tc>
          <w:tcPr>
            <w:tcW w:w="880" w:type="dxa"/>
            <w:vAlign w:val="bottom"/>
          </w:tcPr>
          <w:p>
            <w:pPr>
              <w:spacing w:after="0"/>
              <w:rPr>
                <w:sz w:val="16"/>
                <w:szCs w:val="16"/>
                <w:color w:val="auto"/>
              </w:rPr>
            </w:pPr>
          </w:p>
        </w:tc>
        <w:tc>
          <w:tcPr>
            <w:tcW w:w="8420" w:type="dxa"/>
            <w:vAlign w:val="bottom"/>
          </w:tcPr>
          <w:p>
            <w:pPr>
              <w:jc w:val="center"/>
              <w:ind w:left="1008"/>
              <w:spacing w:after="0"/>
              <w:rPr>
                <w:sz w:val="20"/>
                <w:szCs w:val="20"/>
                <w:color w:val="auto"/>
              </w:rPr>
            </w:pPr>
            <w:r>
              <w:rPr>
                <w:rFonts w:ascii="Arial" w:cs="Arial" w:eastAsia="Arial" w:hAnsi="Arial"/>
                <w:sz w:val="14"/>
                <w:szCs w:val="14"/>
                <w:b w:val="1"/>
                <w:bCs w:val="1"/>
                <w:color w:val="auto"/>
              </w:rPr>
              <w:t>TABLE OF CONTENTS</w:t>
            </w:r>
          </w:p>
        </w:tc>
        <w:tc>
          <w:tcPr>
            <w:tcW w:w="1960" w:type="dxa"/>
            <w:vAlign w:val="bottom"/>
          </w:tcPr>
          <w:p>
            <w:pPr>
              <w:spacing w:after="0"/>
              <w:rPr>
                <w:sz w:val="16"/>
                <w:szCs w:val="16"/>
                <w:color w:val="auto"/>
              </w:rPr>
            </w:pPr>
          </w:p>
        </w:tc>
      </w:tr>
      <w:tr>
        <w:trPr>
          <w:trHeight w:val="445"/>
        </w:trPr>
        <w:tc>
          <w:tcPr>
            <w:tcW w:w="880" w:type="dxa"/>
            <w:vAlign w:val="bottom"/>
          </w:tcPr>
          <w:p>
            <w:pPr>
              <w:spacing w:after="0"/>
              <w:rPr>
                <w:sz w:val="24"/>
                <w:szCs w:val="24"/>
                <w:color w:val="auto"/>
              </w:rPr>
            </w:pPr>
          </w:p>
        </w:tc>
        <w:tc>
          <w:tcPr>
            <w:tcW w:w="8420" w:type="dxa"/>
            <w:vAlign w:val="bottom"/>
          </w:tcPr>
          <w:p>
            <w:pPr>
              <w:jc w:val="center"/>
              <w:ind w:left="100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1960" w:type="dxa"/>
            <w:vAlign w:val="bottom"/>
          </w:tcPr>
          <w:p>
            <w:pPr>
              <w:spacing w:after="0"/>
              <w:rPr>
                <w:sz w:val="24"/>
                <w:szCs w:val="24"/>
                <w:color w:val="auto"/>
              </w:rPr>
            </w:pP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1.</w:t>
            </w:r>
          </w:p>
        </w:tc>
        <w:tc>
          <w:tcPr>
            <w:tcW w:w="8420" w:type="dxa"/>
            <w:vAlign w:val="bottom"/>
          </w:tcPr>
          <w:p>
            <w:pPr>
              <w:ind w:left="22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1A.</w:t>
            </w:r>
          </w:p>
        </w:tc>
        <w:tc>
          <w:tcPr>
            <w:tcW w:w="8420" w:type="dxa"/>
            <w:vAlign w:val="bottom"/>
          </w:tcPr>
          <w:p>
            <w:pPr>
              <w:ind w:left="22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Risk Factors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17</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1B.</w:t>
            </w:r>
          </w:p>
        </w:tc>
        <w:tc>
          <w:tcPr>
            <w:tcW w:w="8420" w:type="dxa"/>
            <w:vAlign w:val="bottom"/>
          </w:tcPr>
          <w:p>
            <w:pPr>
              <w:ind w:left="22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Unresolved Staff Comments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34</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2.</w:t>
            </w:r>
          </w:p>
        </w:tc>
        <w:tc>
          <w:tcPr>
            <w:tcW w:w="8420" w:type="dxa"/>
            <w:vAlign w:val="bottom"/>
          </w:tcPr>
          <w:p>
            <w:pPr>
              <w:ind w:left="22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Properties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34</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3.</w:t>
            </w:r>
          </w:p>
        </w:tc>
        <w:tc>
          <w:tcPr>
            <w:tcW w:w="8420" w:type="dxa"/>
            <w:vAlign w:val="bottom"/>
          </w:tcPr>
          <w:p>
            <w:pPr>
              <w:ind w:left="22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Legal Proceedings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34</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4.</w:t>
            </w:r>
          </w:p>
        </w:tc>
        <w:tc>
          <w:tcPr>
            <w:tcW w:w="8420" w:type="dxa"/>
            <w:vAlign w:val="bottom"/>
          </w:tcPr>
          <w:p>
            <w:pPr>
              <w:ind w:left="22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Mine Safety Disclosures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34</w:t>
            </w:r>
          </w:p>
        </w:tc>
      </w:tr>
      <w:tr>
        <w:trPr>
          <w:trHeight w:val="297"/>
        </w:trPr>
        <w:tc>
          <w:tcPr>
            <w:tcW w:w="880" w:type="dxa"/>
            <w:vAlign w:val="bottom"/>
          </w:tcPr>
          <w:p>
            <w:pPr>
              <w:spacing w:after="0"/>
              <w:rPr>
                <w:sz w:val="24"/>
                <w:szCs w:val="24"/>
                <w:color w:val="auto"/>
              </w:rPr>
            </w:pPr>
          </w:p>
        </w:tc>
        <w:tc>
          <w:tcPr>
            <w:tcW w:w="8420" w:type="dxa"/>
            <w:vAlign w:val="bottom"/>
          </w:tcPr>
          <w:p>
            <w:pPr>
              <w:jc w:val="center"/>
              <w:ind w:left="988"/>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PART II</w:t>
              </w:r>
            </w:hyperlink>
          </w:p>
        </w:tc>
        <w:tc>
          <w:tcPr>
            <w:tcW w:w="1960" w:type="dxa"/>
            <w:vAlign w:val="bottom"/>
          </w:tcPr>
          <w:p>
            <w:pPr>
              <w:spacing w:after="0"/>
              <w:rPr>
                <w:sz w:val="24"/>
                <w:szCs w:val="24"/>
                <w:color w:val="auto"/>
              </w:rPr>
            </w:pP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5.</w:t>
            </w:r>
          </w:p>
        </w:tc>
        <w:tc>
          <w:tcPr>
            <w:tcW w:w="8420" w:type="dxa"/>
            <w:vAlign w:val="bottom"/>
          </w:tcPr>
          <w:p>
            <w:pPr>
              <w:ind w:left="22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35</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6.</w:t>
            </w:r>
          </w:p>
        </w:tc>
        <w:tc>
          <w:tcPr>
            <w:tcW w:w="8420" w:type="dxa"/>
            <w:vAlign w:val="bottom"/>
          </w:tcPr>
          <w:p>
            <w:pPr>
              <w:ind w:left="22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Selected Financial Data</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7.</w:t>
            </w:r>
          </w:p>
        </w:tc>
        <w:tc>
          <w:tcPr>
            <w:tcW w:w="8420" w:type="dxa"/>
            <w:vAlign w:val="bottom"/>
          </w:tcPr>
          <w:p>
            <w:pPr>
              <w:ind w:left="220"/>
              <w:spacing w:after="0"/>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Management’s Discussion and Analysis of Financial Condition and Results of Operations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7A.</w:t>
            </w:r>
          </w:p>
        </w:tc>
        <w:tc>
          <w:tcPr>
            <w:tcW w:w="8420" w:type="dxa"/>
            <w:vAlign w:val="bottom"/>
          </w:tcPr>
          <w:p>
            <w:pPr>
              <w:ind w:left="22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Quantitative and Qualitative Disclosures About Market Risk</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46</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8.</w:t>
            </w:r>
          </w:p>
        </w:tc>
        <w:tc>
          <w:tcPr>
            <w:tcW w:w="8420" w:type="dxa"/>
            <w:vAlign w:val="bottom"/>
          </w:tcPr>
          <w:p>
            <w:pPr>
              <w:ind w:left="220"/>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Consolidated Financial Statements and Supplementary Data</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47</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9.</w:t>
            </w:r>
          </w:p>
        </w:tc>
        <w:tc>
          <w:tcPr>
            <w:tcW w:w="8420" w:type="dxa"/>
            <w:vAlign w:val="bottom"/>
          </w:tcPr>
          <w:p>
            <w:pPr>
              <w:ind w:left="22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Changes in and Disagreements with Accountants on Accounting and Financial Disclosure</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74</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9A.</w:t>
            </w:r>
          </w:p>
        </w:tc>
        <w:tc>
          <w:tcPr>
            <w:tcW w:w="8420" w:type="dxa"/>
            <w:vAlign w:val="bottom"/>
          </w:tcPr>
          <w:p>
            <w:pPr>
              <w:ind w:left="22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Controls and Procedures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74</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9B.</w:t>
            </w:r>
          </w:p>
        </w:tc>
        <w:tc>
          <w:tcPr>
            <w:tcW w:w="8420" w:type="dxa"/>
            <w:vAlign w:val="bottom"/>
          </w:tcPr>
          <w:p>
            <w:pPr>
              <w:ind w:left="22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Other Information</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74</w:t>
            </w:r>
          </w:p>
        </w:tc>
      </w:tr>
      <w:tr>
        <w:trPr>
          <w:trHeight w:val="297"/>
        </w:trPr>
        <w:tc>
          <w:tcPr>
            <w:tcW w:w="880" w:type="dxa"/>
            <w:vAlign w:val="bottom"/>
          </w:tcPr>
          <w:p>
            <w:pPr>
              <w:spacing w:after="0"/>
              <w:rPr>
                <w:sz w:val="24"/>
                <w:szCs w:val="24"/>
                <w:color w:val="auto"/>
              </w:rPr>
            </w:pPr>
          </w:p>
        </w:tc>
        <w:tc>
          <w:tcPr>
            <w:tcW w:w="8420" w:type="dxa"/>
            <w:vAlign w:val="bottom"/>
          </w:tcPr>
          <w:p>
            <w:pPr>
              <w:jc w:val="center"/>
              <w:ind w:left="1008"/>
              <w:spacing w:after="0"/>
              <w:rPr>
                <w:rFonts w:ascii="Arial" w:cs="Arial" w:eastAsia="Arial" w:hAnsi="Arial"/>
                <w:sz w:val="14"/>
                <w:szCs w:val="14"/>
                <w:b w:val="1"/>
                <w:bCs w:val="1"/>
                <w:u w:val="single" w:color="auto"/>
                <w:color w:val="0000EE"/>
              </w:rPr>
            </w:pPr>
            <w:hyperlink w:anchor="page75">
              <w:r>
                <w:rPr>
                  <w:rFonts w:ascii="Arial" w:cs="Arial" w:eastAsia="Arial" w:hAnsi="Arial"/>
                  <w:sz w:val="14"/>
                  <w:szCs w:val="14"/>
                  <w:b w:val="1"/>
                  <w:bCs w:val="1"/>
                  <w:u w:val="single" w:color="auto"/>
                  <w:color w:val="0000EE"/>
                </w:rPr>
                <w:t>PART III</w:t>
              </w:r>
            </w:hyperlink>
          </w:p>
        </w:tc>
        <w:tc>
          <w:tcPr>
            <w:tcW w:w="1960" w:type="dxa"/>
            <w:vAlign w:val="bottom"/>
          </w:tcPr>
          <w:p>
            <w:pPr>
              <w:spacing w:after="0"/>
              <w:rPr>
                <w:sz w:val="24"/>
                <w:szCs w:val="24"/>
                <w:color w:val="auto"/>
              </w:rPr>
            </w:pP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10.</w:t>
            </w:r>
          </w:p>
        </w:tc>
        <w:tc>
          <w:tcPr>
            <w:tcW w:w="8420" w:type="dxa"/>
            <w:vAlign w:val="bottom"/>
          </w:tcPr>
          <w:p>
            <w:pPr>
              <w:ind w:left="22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Directors, Executive Officers and Corporate Governance</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11.</w:t>
            </w:r>
          </w:p>
        </w:tc>
        <w:tc>
          <w:tcPr>
            <w:tcW w:w="8420" w:type="dxa"/>
            <w:vAlign w:val="bottom"/>
          </w:tcPr>
          <w:p>
            <w:pPr>
              <w:ind w:left="22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Executive Compensation</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12.</w:t>
            </w:r>
          </w:p>
        </w:tc>
        <w:tc>
          <w:tcPr>
            <w:tcW w:w="8420" w:type="dxa"/>
            <w:vAlign w:val="bottom"/>
          </w:tcPr>
          <w:p>
            <w:pPr>
              <w:ind w:left="22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Security Ownership of Certain Beneficial Owners and Management and Related Stockholder Matters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13.</w:t>
            </w:r>
          </w:p>
        </w:tc>
        <w:tc>
          <w:tcPr>
            <w:tcW w:w="8420" w:type="dxa"/>
            <w:vAlign w:val="bottom"/>
          </w:tcPr>
          <w:p>
            <w:pPr>
              <w:ind w:left="22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Certain Relationships and Related Transactions, and Director Independence</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14.</w:t>
            </w:r>
          </w:p>
        </w:tc>
        <w:tc>
          <w:tcPr>
            <w:tcW w:w="8420" w:type="dxa"/>
            <w:vAlign w:val="bottom"/>
          </w:tcPr>
          <w:p>
            <w:pPr>
              <w:ind w:left="22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Principal Accountant Fees and Services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r>
      <w:tr>
        <w:trPr>
          <w:trHeight w:val="297"/>
        </w:trPr>
        <w:tc>
          <w:tcPr>
            <w:tcW w:w="880" w:type="dxa"/>
            <w:vAlign w:val="bottom"/>
          </w:tcPr>
          <w:p>
            <w:pPr>
              <w:spacing w:after="0"/>
              <w:rPr>
                <w:sz w:val="24"/>
                <w:szCs w:val="24"/>
                <w:color w:val="auto"/>
              </w:rPr>
            </w:pPr>
          </w:p>
        </w:tc>
        <w:tc>
          <w:tcPr>
            <w:tcW w:w="8420" w:type="dxa"/>
            <w:vAlign w:val="bottom"/>
          </w:tcPr>
          <w:p>
            <w:pPr>
              <w:jc w:val="center"/>
              <w:ind w:left="1008"/>
              <w:spacing w:after="0"/>
              <w:rPr>
                <w:rFonts w:ascii="Arial" w:cs="Arial" w:eastAsia="Arial" w:hAnsi="Arial"/>
                <w:sz w:val="14"/>
                <w:szCs w:val="14"/>
                <w:b w:val="1"/>
                <w:bCs w:val="1"/>
                <w:u w:val="single" w:color="auto"/>
                <w:color w:val="0000EE"/>
              </w:rPr>
            </w:pPr>
            <w:hyperlink w:anchor="page76">
              <w:r>
                <w:rPr>
                  <w:rFonts w:ascii="Arial" w:cs="Arial" w:eastAsia="Arial" w:hAnsi="Arial"/>
                  <w:sz w:val="14"/>
                  <w:szCs w:val="14"/>
                  <w:b w:val="1"/>
                  <w:bCs w:val="1"/>
                  <w:u w:val="single" w:color="auto"/>
                  <w:color w:val="0000EE"/>
                </w:rPr>
                <w:t>PART IV</w:t>
              </w:r>
            </w:hyperlink>
          </w:p>
        </w:tc>
        <w:tc>
          <w:tcPr>
            <w:tcW w:w="1960" w:type="dxa"/>
            <w:vAlign w:val="bottom"/>
          </w:tcPr>
          <w:p>
            <w:pPr>
              <w:spacing w:after="0"/>
              <w:rPr>
                <w:sz w:val="24"/>
                <w:szCs w:val="24"/>
                <w:color w:val="auto"/>
              </w:rPr>
            </w:pPr>
          </w:p>
        </w:tc>
      </w:tr>
      <w:tr>
        <w:trPr>
          <w:trHeight w:val="297"/>
        </w:trPr>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Item 15.</w:t>
            </w:r>
          </w:p>
        </w:tc>
        <w:tc>
          <w:tcPr>
            <w:tcW w:w="8420" w:type="dxa"/>
            <w:vAlign w:val="bottom"/>
          </w:tcPr>
          <w:p>
            <w:pPr>
              <w:ind w:left="220"/>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Exhibits and Financial Statement Schedules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76</w:t>
            </w:r>
          </w:p>
        </w:tc>
      </w:tr>
      <w:tr>
        <w:trPr>
          <w:trHeight w:val="297"/>
        </w:trPr>
        <w:tc>
          <w:tcPr>
            <w:tcW w:w="880" w:type="dxa"/>
            <w:vAlign w:val="bottom"/>
          </w:tcPr>
          <w:p>
            <w:pPr>
              <w:spacing w:after="0"/>
              <w:rPr>
                <w:sz w:val="24"/>
                <w:szCs w:val="24"/>
                <w:color w:val="auto"/>
              </w:rPr>
            </w:pPr>
          </w:p>
        </w:tc>
        <w:tc>
          <w:tcPr>
            <w:tcW w:w="8420" w:type="dxa"/>
            <w:vAlign w:val="bottom"/>
          </w:tcPr>
          <w:p>
            <w:pPr>
              <w:ind w:left="220"/>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Signatures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78</w:t>
            </w:r>
          </w:p>
        </w:tc>
      </w:tr>
      <w:tr>
        <w:trPr>
          <w:trHeight w:val="1153"/>
        </w:trPr>
        <w:tc>
          <w:tcPr>
            <w:tcW w:w="88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40" w:lineRule="exact"/>
        <w:rPr>
          <w:sz w:val="20"/>
          <w:szCs w:val="20"/>
          <w:color w:val="auto"/>
        </w:rPr>
      </w:pPr>
    </w:p>
    <w:p>
      <w:pPr>
        <w:ind w:firstLine="438"/>
        <w:spacing w:after="0" w:line="242" w:lineRule="auto"/>
        <w:rPr>
          <w:sz w:val="20"/>
          <w:szCs w:val="20"/>
          <w:color w:val="auto"/>
        </w:rPr>
      </w:pPr>
      <w:r>
        <w:rPr>
          <w:rFonts w:ascii="Arial" w:cs="Arial" w:eastAsia="Arial" w:hAnsi="Arial"/>
          <w:sz w:val="13"/>
          <w:szCs w:val="13"/>
          <w:b w:val="1"/>
          <w:bCs w:val="1"/>
          <w:i w:val="1"/>
          <w:iCs w:val="1"/>
          <w:color w:val="auto"/>
        </w:rPr>
        <w:t>In this annual report on Form 10-K, or the Report, except where context suggest otherwise, the terms “Company,” “we,” “our” or “us” refer to PennantPark Investment Corporation and its consolidated subsidiaries; “PennantPark Investment” refers to only PennantPark Investment Corporation; “our SBIC Funds” refers collectively to our consolidated subsidiaries, PennantPark SBIC LP, or SBIC I, and its general partner, PennantPark SBIC GP, LLC, prior to dissolution and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“SunTrust Credit Facility” refers to our multi-currency, senior secured revolving credit facility with SunTrust Bank, as amended and restated; “Credit Facilities” refers to the BNP Credit Facility and SunTrust Credit Facility collectively; “2019 Notes” refers to our 4.50% notes due 2019, which we redeemed in March 2019; “2024 Notes” refers to our 5.50% Notes due 2024;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our SBIC Funds and other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97"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Investment Corporation</w:t>
      </w:r>
    </w:p>
    <w:p>
      <w:pPr>
        <w:spacing w:after="0" w:line="136" w:lineRule="exact"/>
        <w:rPr>
          <w:sz w:val="20"/>
          <w:szCs w:val="20"/>
          <w:color w:val="auto"/>
        </w:rPr>
      </w:pPr>
    </w:p>
    <w:p>
      <w:pPr>
        <w:ind w:right="24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84"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2"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10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SBIC II, our wholly owned subsidiary, was organized in Delaware as a limited partnership in July 2012. SBIC II received a license from the SBA to operate as a SBIC under</w:t>
      </w:r>
    </w:p>
    <w:p>
      <w:pPr>
        <w:spacing w:after="0"/>
        <w:rPr>
          <w:sz w:val="20"/>
          <w:szCs w:val="20"/>
          <w:color w:val="auto"/>
        </w:rPr>
      </w:pPr>
      <w:r>
        <w:rPr>
          <w:rFonts w:ascii="Arial" w:cs="Arial" w:eastAsia="Arial" w:hAnsi="Arial"/>
          <w:sz w:val="13"/>
          <w:szCs w:val="13"/>
          <w:color w:val="auto"/>
        </w:rPr>
        <w:t>Section 301(c) of the 1958 Act in 2013. SBIC II’s objectives are to generate both current income and capital appreciation through debt and equity investments generally by investing with us in</w:t>
      </w:r>
    </w:p>
    <w:p>
      <w:pPr>
        <w:spacing w:after="0"/>
        <w:rPr>
          <w:sz w:val="20"/>
          <w:szCs w:val="20"/>
          <w:color w:val="auto"/>
        </w:rPr>
      </w:pPr>
      <w:r>
        <w:rPr>
          <w:rFonts w:ascii="Arial" w:cs="Arial" w:eastAsia="Arial" w:hAnsi="Arial"/>
          <w:sz w:val="13"/>
          <w:szCs w:val="13"/>
          <w:color w:val="auto"/>
        </w:rPr>
        <w:t>SBA-eligible businesses that meet the investment selection criteria used by PennantPark Investment. During the year ended September 30, 2019, we liquidated and dissolved SBIC I.</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$10 billion in 526 companies with approximately 185 different financial sponsors.</w:t>
      </w:r>
    </w:p>
    <w:p>
      <w:pPr>
        <w:spacing w:after="0" w:line="98"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123" w:lineRule="exact"/>
        <w:rPr>
          <w:sz w:val="20"/>
          <w:szCs w:val="20"/>
          <w:color w:val="auto"/>
        </w:rPr>
      </w:pPr>
    </w:p>
    <w:p>
      <w:pPr>
        <w:ind w:right="480" w:firstLine="438"/>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102" w:lineRule="exact"/>
        <w:rPr>
          <w:sz w:val="20"/>
          <w:szCs w:val="20"/>
          <w:color w:val="auto"/>
        </w:rPr>
      </w:pPr>
    </w:p>
    <w:p>
      <w:pPr>
        <w:ind w:left="920" w:right="20" w:hanging="359"/>
        <w:spacing w:after="0" w:line="297"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From time to time, banks, finance companies, hedge funds and collateralized loan</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 or CLO, funds have withdrawn, and may again withdraw, capital from the middle-market, resulting in opportunities for alternative funding sources.</w:t>
      </w:r>
    </w:p>
    <w:p>
      <w:pPr>
        <w:spacing w:after="0" w:line="75" w:lineRule="exact"/>
        <w:rPr>
          <w:rFonts w:ascii="Arial" w:cs="Arial" w:eastAsia="Arial" w:hAnsi="Arial"/>
          <w:sz w:val="13"/>
          <w:szCs w:val="13"/>
          <w:color w:val="auto"/>
        </w:rPr>
      </w:pPr>
    </w:p>
    <w:p>
      <w:pPr>
        <w:ind w:left="920" w:right="60" w:hanging="359"/>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111" w:lineRule="exact"/>
        <w:rPr>
          <w:rFonts w:ascii="Arial" w:cs="Arial" w:eastAsia="Arial" w:hAnsi="Arial"/>
          <w:sz w:val="14"/>
          <w:szCs w:val="14"/>
          <w:color w:val="auto"/>
        </w:rPr>
      </w:pPr>
    </w:p>
    <w:p>
      <w:pPr>
        <w:ind w:left="920" w:right="40" w:hanging="359"/>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 reduced</w:t>
      </w:r>
      <w:r>
        <w:rPr>
          <w:rFonts w:ascii="Arial" w:cs="Arial" w:eastAsia="Arial" w:hAnsi="Arial"/>
          <w:sz w:val="14"/>
          <w:szCs w:val="14"/>
          <w:b w:val="1"/>
          <w:bCs w:val="1"/>
          <w:color w:val="auto"/>
        </w:rPr>
        <w:t xml:space="preserve"> </w:t>
      </w:r>
      <w:r>
        <w:rPr>
          <w:rFonts w:ascii="Arial" w:cs="Arial" w:eastAsia="Arial" w:hAnsi="Arial"/>
          <w:sz w:val="14"/>
          <w:szCs w:val="14"/>
          <w:color w:val="auto"/>
        </w:rPr>
        <w:t>lending to middle-market and non-investment grade borrowers. As a result, we believe there is less competition in our market, more conservative capital structures, higher yields and stronger covenants.</w:t>
      </w:r>
    </w:p>
    <w:p>
      <w:pPr>
        <w:spacing w:after="0" w:line="111" w:lineRule="exact"/>
        <w:rPr>
          <w:rFonts w:ascii="Arial" w:cs="Arial" w:eastAsia="Arial" w:hAnsi="Arial"/>
          <w:sz w:val="14"/>
          <w:szCs w:val="14"/>
          <w:color w:val="auto"/>
        </w:rPr>
      </w:pPr>
    </w:p>
    <w:p>
      <w:pPr>
        <w:ind w:left="920" w:right="160" w:hanging="359"/>
        <w:spacing w:after="0" w:line="267"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95" w:lineRule="exact"/>
        <w:rPr>
          <w:rFonts w:ascii="Arial" w:cs="Arial" w:eastAsia="Arial" w:hAnsi="Arial"/>
          <w:sz w:val="13"/>
          <w:szCs w:val="13"/>
          <w:color w:val="auto"/>
        </w:rPr>
      </w:pPr>
    </w:p>
    <w:p>
      <w:pPr>
        <w:ind w:left="920" w:hanging="359"/>
        <w:spacing w:after="0" w:line="232" w:lineRule="auto"/>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123" w:lineRule="exact"/>
        <w:rPr>
          <w:sz w:val="20"/>
          <w:szCs w:val="20"/>
          <w:color w:val="auto"/>
        </w:rPr>
      </w:pPr>
    </w:p>
    <w:p>
      <w:pPr>
        <w:ind w:left="920" w:hanging="359"/>
        <w:spacing w:after="0"/>
        <w:tabs>
          <w:tab w:leader="none" w:pos="92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Team</w:t>
      </w:r>
    </w:p>
    <w:p>
      <w:pPr>
        <w:spacing w:after="0" w:line="136" w:lineRule="exact"/>
        <w:rPr>
          <w:sz w:val="20"/>
          <w:szCs w:val="20"/>
          <w:color w:val="auto"/>
        </w:rPr>
      </w:pPr>
    </w:p>
    <w:p>
      <w:pPr>
        <w:ind w:right="360" w:firstLine="438"/>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17" w:lineRule="exact"/>
        <w:rPr>
          <w:sz w:val="20"/>
          <w:szCs w:val="20"/>
          <w:color w:val="auto"/>
        </w:rPr>
      </w:pPr>
    </w:p>
    <w:p>
      <w:pPr>
        <w:ind w:right="240" w:firstLine="438"/>
        <w:spacing w:after="0" w:line="233" w:lineRule="auto"/>
        <w:rPr>
          <w:sz w:val="20"/>
          <w:szCs w:val="20"/>
          <w:color w:val="auto"/>
        </w:rPr>
      </w:pPr>
      <w:r>
        <w:rPr>
          <w:rFonts w:ascii="Arial" w:cs="Arial" w:eastAsia="Arial" w:hAnsi="Arial"/>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17" w:lineRule="exact"/>
        <w:rPr>
          <w:sz w:val="20"/>
          <w:szCs w:val="20"/>
          <w:color w:val="auto"/>
        </w:rPr>
      </w:pPr>
    </w:p>
    <w:p>
      <w:pPr>
        <w:ind w:left="920" w:hanging="359"/>
        <w:spacing w:after="0"/>
        <w:tabs>
          <w:tab w:leader="none" w:pos="92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Disciplined Investment Approach with Strong Value Orientation</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04"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36" w:lineRule="exact"/>
        <w:rPr>
          <w:sz w:val="20"/>
          <w:szCs w:val="20"/>
          <w:color w:val="auto"/>
        </w:rPr>
      </w:pPr>
    </w:p>
    <w:p>
      <w:pPr>
        <w:ind w:left="920" w:hanging="359"/>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sz w:val="20"/>
          <w:szCs w:val="20"/>
          <w:color w:val="auto"/>
        </w:rPr>
      </w:pPr>
    </w:p>
    <w:p>
      <w:pPr>
        <w:ind w:left="920" w:hanging="359"/>
        <w:spacing w:after="0"/>
        <w:tabs>
          <w:tab w:leader="none" w:pos="92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Proactive, Research Capability and Established Network</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 w:name="page5"/>
    <w:bookmarkEnd w:id="4"/>
    <w:p>
      <w:pPr>
        <w:ind w:left="920" w:hanging="359"/>
        <w:spacing w:after="0"/>
        <w:tabs>
          <w:tab w:leader="none" w:pos="92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Flexible Transaction Structuring</w:t>
      </w:r>
    </w:p>
    <w:p>
      <w:pPr>
        <w:spacing w:after="0" w:line="136" w:lineRule="exact"/>
        <w:rPr>
          <w:sz w:val="20"/>
          <w:szCs w:val="20"/>
          <w:color w:val="auto"/>
        </w:rPr>
      </w:pPr>
    </w:p>
    <w:p>
      <w:pPr>
        <w:ind w:right="100" w:firstLine="438"/>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1"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06"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123"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private direct lending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07"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123" w:lineRule="exact"/>
        <w:rPr>
          <w:sz w:val="20"/>
          <w:szCs w:val="20"/>
          <w:color w:val="auto"/>
        </w:rPr>
      </w:pPr>
    </w:p>
    <w:p>
      <w:pPr>
        <w:ind w:right="140" w:firstLine="438"/>
        <w:spacing w:after="0" w:line="228" w:lineRule="auto"/>
        <w:rPr>
          <w:sz w:val="20"/>
          <w:szCs w:val="20"/>
          <w:color w:val="auto"/>
        </w:rPr>
      </w:pPr>
      <w:r>
        <w:rPr>
          <w:rFonts w:ascii="Arial" w:cs="Arial" w:eastAsia="Arial" w:hAnsi="Arial"/>
          <w:sz w:val="14"/>
          <w:szCs w:val="14"/>
          <w:color w:val="auto"/>
        </w:rPr>
        <w:t>On February 22, 2019, Funding I closed the BNP Credit Facility for up to $250.0 million in borrowings with certain lenders and BNP Paribas, as administrative agent, and The Bank of New York Mellon Trust Company, N.A., as collateral agent. As of September 30, 2019, Funding I had $171.0 million in outstanding borrowings under the BNP Credit Facility. The BNP Credit Facility had a weighted average interest rate of 4.6%, exclusive of the fee on undrawn commitment, as of September 30, 2019. The BNP Credit Facility is a five-year revolving facility with a stated maturity date of February 22, 2024 and pricing set at 260 basis points over LIBOR. As of September 30, 2019, Funding I had $79.0 million of unused borrowing capacity under the BNP Credit Facility, subject to the regulatory restrictions. The BNP Credit Facility is secured by all of our assets held by Funding I. We own 100% of the equity interest in Funding I and treat the indebtedness of Funding I as our leverage. Our Investment Adviser serves as the servicer to Funding I in connection with the BNP Credit Facility. As of September 30, 2019, we were in compliance with the terms of the BNP Credit Facility.</w:t>
      </w:r>
    </w:p>
    <w:p>
      <w:pPr>
        <w:spacing w:after="0" w:line="117"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September 30, 2019, we had the multi-currency SunTrust Credit Facility for up to $475.0 million in borrowings with certain lenders and SunTrust Bank, acting as administrative agent, and JPMorgan Chase Bank, N.A., acting as syndication agent for the lenders. As of September 30, 2019 and 2018, we had $301.6 million and $80.5 million (including a $2.0 million temporary draw), respectively, in outstanding borrowings under the SunTrust Credit Facility. The SunTrust Credit Facility had a weighted average interest rate of 4.2% and 3.8%, respectively, exclusive of the fee on undrawn commitment, as of September 30, 2019 and 2018. The SunTrust Credit Facility is a revolving facility with a stated maturity date of September 4, 2024, a one-year term-out period on September 4, 2023 and pricing set at 225 basis points over LIBOR. As of September 30, 2019 and 2018, we had $173.4 million and $364.5 million of unused borrowing capacity under the SunTrust Credit Facility, respectively, subject to the regulatory restrictions. The SunTrust Credit Facility is secured by substantially all of our assets excluding assets held by Funding I and SBIC II. As of September 30, 2019, we were in compliance with the terms of the SunTrust Credit Facility.</w:t>
      </w:r>
    </w:p>
    <w:p>
      <w:pPr>
        <w:spacing w:after="0" w:line="111"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As of September 30, 2019 and 2018, our SBIC Funds had $150.0 million and $300.0 million in debt commitments, respectively, of which $150.0 million and $180.0 million was drawn, with a weighted average interest rate of 3.1% and 3.2%, respectively, exclusive of the 3.4% of upfront fees. As of September 30, 2019 and 2018, our SBA debentures mature between March 2026 to March 2028 and September 2021 to March 2028, respectively. SBA debentures offer competitive terms such as being non-recourse to us, a 10-year maturity, semi-annual interest payments, not requiring principal payments prior to maturity and may be prepaid at any time without penalty. During the year ended September 30, 2019, we liquidated and dissolved SBIC I. The SBA debentures are secured by all the investment portfolio assets of SBIC II and have a priority claim over such assets relative to all other creditors. See “Regulation” for more information.</w:t>
      </w:r>
    </w:p>
    <w:p>
      <w:pPr>
        <w:spacing w:after="0" w:line="9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 xml:space="preserve">As of September 30, 2019, we had $75.0 million in aggregate principal amount of 2024 Notes outstanding. Interest on the 2024 Notes is paid quarterly on January 15, April 15, July 15 and October 15, at a rate of 5.50% per year, commencing January 15, 2020. The 2024 Notes mature on October 15, 2024. The 2024 Notes are direct unsecured obligations and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with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16"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As of September 30, 2018, we had $250.0 million in aggregate principal amount of 2019 Notes outstanding. Interest on the 2019 Notes was paid at a rate of 4.50% per year and was paid semi-annually. On March 4, 2019, the 2019 Notes were redeemed in full and no amounts were outstanding as of September 30, 2019. Interest on the 2019 Notes was paid at a rate of 4.50% per year and was paid semi-annually. The 2019 Notes had been scheduled to mature on October 1, 2019. See “Management’s Discussion and Analysis of Financial Condition and Results of Operations” for more information.</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See “Management’s Discussion and Analysis of Financial Condition and Results of Operations”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seek to create a diversified portfolio that includes first lien secured debt, second lien secured debt, subordinated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 w:name="page6"/>
    <w:bookmarkEnd w:id="5"/>
    <w:p>
      <w:pPr>
        <w:ind w:firstLine="438"/>
        <w:spacing w:after="0" w:line="231" w:lineRule="auto"/>
        <w:rPr>
          <w:sz w:val="20"/>
          <w:szCs w:val="20"/>
          <w:color w:val="auto"/>
        </w:rPr>
      </w:pPr>
      <w:r>
        <w:rPr>
          <w:rFonts w:ascii="Arial" w:cs="Arial" w:eastAsia="Arial" w:hAnsi="Arial"/>
          <w:sz w:val="14"/>
          <w:szCs w:val="14"/>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 Qualifying Assets” and “Investment Selection Criteria” for more information.</w:t>
      </w:r>
    </w:p>
    <w:p>
      <w:pPr>
        <w:spacing w:after="0" w:line="11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First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Second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Subordinated Debt</w:t>
      </w:r>
    </w:p>
    <w:p>
      <w:pPr>
        <w:spacing w:after="0" w:line="13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136"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10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02" w:lineRule="exact"/>
        <w:rPr>
          <w:sz w:val="20"/>
          <w:szCs w:val="20"/>
          <w:color w:val="auto"/>
        </w:rPr>
      </w:pPr>
    </w:p>
    <w:p>
      <w:pPr>
        <w:ind w:left="920" w:hanging="359"/>
        <w:spacing w:after="0"/>
        <w:tabs>
          <w:tab w:leader="none" w:pos="9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Leading and defensible competitive market positions</w:t>
      </w:r>
    </w:p>
    <w:p>
      <w:pPr>
        <w:spacing w:after="0" w:line="136" w:lineRule="exact"/>
        <w:rPr>
          <w:sz w:val="20"/>
          <w:szCs w:val="20"/>
          <w:color w:val="auto"/>
        </w:rPr>
      </w:pPr>
    </w:p>
    <w:p>
      <w:pPr>
        <w:jc w:val="both"/>
        <w:ind w:right="360" w:firstLine="438"/>
        <w:spacing w:after="0" w:line="238"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15" w:lineRule="exact"/>
        <w:rPr>
          <w:sz w:val="20"/>
          <w:szCs w:val="20"/>
          <w:color w:val="auto"/>
        </w:rPr>
      </w:pPr>
    </w:p>
    <w:p>
      <w:pPr>
        <w:ind w:left="920" w:hanging="359"/>
        <w:spacing w:after="0"/>
        <w:tabs>
          <w:tab w:leader="none" w:pos="9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Investing in stable borrowers with positive cash flow</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7" w:lineRule="exact"/>
        <w:rPr>
          <w:sz w:val="20"/>
          <w:szCs w:val="20"/>
          <w:color w:val="auto"/>
        </w:rPr>
      </w:pPr>
    </w:p>
    <w:p>
      <w:pPr>
        <w:ind w:left="920" w:hanging="359"/>
        <w:spacing w:after="0"/>
        <w:tabs>
          <w:tab w:leader="none" w:pos="9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Proven management teams</w:t>
      </w:r>
    </w:p>
    <w:p>
      <w:pPr>
        <w:spacing w:after="0" w:line="13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93" w:lineRule="exact"/>
        <w:rPr>
          <w:sz w:val="20"/>
          <w:szCs w:val="20"/>
          <w:color w:val="auto"/>
        </w:rPr>
      </w:pPr>
    </w:p>
    <w:p>
      <w:pPr>
        <w:ind w:left="920" w:hanging="359"/>
        <w:spacing w:after="0"/>
        <w:tabs>
          <w:tab w:leader="none" w:pos="92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sponsorship</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17" w:lineRule="exact"/>
        <w:rPr>
          <w:sz w:val="20"/>
          <w:szCs w:val="20"/>
          <w:color w:val="auto"/>
        </w:rPr>
      </w:pPr>
    </w:p>
    <w:p>
      <w:pPr>
        <w:ind w:left="920" w:hanging="359"/>
        <w:spacing w:after="0"/>
        <w:tabs>
          <w:tab w:leader="none" w:pos="92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Investments in different borrowers, industries and geographies</w:t>
      </w:r>
    </w:p>
    <w:p>
      <w:pPr>
        <w:spacing w:after="0" w:line="13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 w:name="page7"/>
    <w:bookmarkEnd w:id="6"/>
    <w:p>
      <w:pPr>
        <w:ind w:left="920" w:hanging="359"/>
        <w:spacing w:after="0"/>
        <w:tabs>
          <w:tab w:leader="none" w:pos="92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Viable exit strategy</w:t>
      </w:r>
    </w:p>
    <w:p>
      <w:pPr>
        <w:spacing w:after="0" w:line="136"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136" w:lineRule="exact"/>
        <w:rPr>
          <w:sz w:val="20"/>
          <w:szCs w:val="20"/>
          <w:color w:val="auto"/>
        </w:rPr>
      </w:pPr>
    </w:p>
    <w:p>
      <w:pPr>
        <w:jc w:val="both"/>
        <w:ind w:right="280" w:firstLine="438"/>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due diligence may include:</w:t>
      </w:r>
    </w:p>
    <w:p>
      <w:pPr>
        <w:spacing w:after="0" w:line="123" w:lineRule="exact"/>
        <w:rPr>
          <w:sz w:val="20"/>
          <w:szCs w:val="20"/>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136"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accountants prior to the closing of the investment, as well as other outside advisers, as appropriate.</w:t>
      </w:r>
    </w:p>
    <w:p>
      <w:pPr>
        <w:spacing w:after="0" w:line="10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123"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5"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94"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15" w:lineRule="exact"/>
        <w:rPr>
          <w:sz w:val="20"/>
          <w:szCs w:val="20"/>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136" w:lineRule="exact"/>
        <w:rPr>
          <w:rFonts w:ascii="Arial" w:cs="Arial" w:eastAsia="Arial" w:hAnsi="Arial"/>
          <w:sz w:val="14"/>
          <w:szCs w:val="14"/>
          <w:color w:val="auto"/>
        </w:rPr>
      </w:pPr>
    </w:p>
    <w:p>
      <w:pPr>
        <w:jc w:val="both"/>
        <w:ind w:left="920" w:right="240" w:hanging="359"/>
        <w:spacing w:after="0" w:line="238" w:lineRule="auto"/>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136"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123" w:lineRule="exact"/>
        <w:rPr>
          <w:sz w:val="20"/>
          <w:szCs w:val="20"/>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136" w:lineRule="exact"/>
        <w:rPr>
          <w:rFonts w:ascii="Arial" w:cs="Arial" w:eastAsia="Arial" w:hAnsi="Arial"/>
          <w:sz w:val="14"/>
          <w:szCs w:val="14"/>
          <w:color w:val="auto"/>
        </w:rPr>
      </w:pPr>
    </w:p>
    <w:p>
      <w:pPr>
        <w:ind w:left="920" w:right="720" w:hanging="359"/>
        <w:spacing w:after="0" w:line="253" w:lineRule="auto"/>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136" w:lineRule="exact"/>
        <w:rPr>
          <w:sz w:val="20"/>
          <w:szCs w:val="20"/>
          <w:color w:val="auto"/>
        </w:rPr>
      </w:pPr>
    </w:p>
    <w:p>
      <w:pPr>
        <w:ind w:right="60" w:firstLine="438"/>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40" w:firstLine="8"/>
        <w:spacing w:after="0" w:line="237" w:lineRule="auto"/>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136"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123"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 xml:space="preserve">Our administrative and principal executive offices are located at 590 Madison Avenue, 15th Floor, New York, NY 10022. Our common stock and 2024 Notes are quoted on The Nasdaq Global Select Market under the symbols “PNNT” and “PNNTG”, respectively. Our phone number is (212) 905-1000, and our Internet website address is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material that we file with the SEC on the EDGAR Database.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Our principal investment focus is to provide first lien secured debt, second lien secured debt and subordinated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20"/>
              <w:spacing w:after="0"/>
              <w:rPr>
                <w:sz w:val="20"/>
                <w:szCs w:val="20"/>
                <w:color w:val="auto"/>
              </w:rPr>
            </w:pPr>
            <w:r>
              <w:rPr>
                <w:rFonts w:ascii="Arial" w:cs="Arial" w:eastAsia="Arial" w:hAnsi="Arial"/>
                <w:sz w:val="14"/>
                <w:szCs w:val="14"/>
                <w:color w:val="auto"/>
              </w:rPr>
              <w:t>Aerospace and Defense</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Energy and Utilities</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20"/>
              <w:spacing w:after="0" w:line="149" w:lineRule="exact"/>
              <w:rPr>
                <w:sz w:val="20"/>
                <w:szCs w:val="20"/>
                <w:color w:val="auto"/>
              </w:rPr>
            </w:pPr>
            <w:r>
              <w:rPr>
                <w:rFonts w:ascii="Arial" w:cs="Arial" w:eastAsia="Arial" w:hAnsi="Arial"/>
                <w:sz w:val="14"/>
                <w:szCs w:val="14"/>
                <w:color w:val="auto"/>
              </w:rPr>
              <w:t>Auto Sector</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Environmental Services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Beverage, Food and Tobacco</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Financial Services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Broadcasting and Entertainment</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Grocery</w:t>
            </w:r>
          </w:p>
        </w:tc>
      </w:tr>
      <w:tr>
        <w:trPr>
          <w:trHeight w:val="176"/>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Buildings and Real Estate</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Healthcare, Education and Childcare</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Building Materials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High Tech Industries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Business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w w:val="94"/>
              </w:rPr>
              <w:t>Home &amp; Office Furnishings, Housewares &amp; Durable Consumer Products</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Cable Television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Hotels, Motels, Inns and Gaming</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Capital Equipment</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Cargo Transportation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Leisure, Amusement, Motion Picture, Entertainment</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Chemicals, Plastics and Rubber</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Logistics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Communications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75"/>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Consumer Products</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Media</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Consumer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Mining, Steel, Iron and Non-Precious Metals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Containers Packaging &amp; Glass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Oil and Gas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Distribution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Other Media</w:t>
            </w:r>
          </w:p>
        </w:tc>
      </w:tr>
      <w:tr>
        <w:trPr>
          <w:trHeight w:val="176"/>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Diversified/Conglomerate Manufacturing</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Personal, Food and Miscellaneous Services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Diversified/Conglomerate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Printing and Publishing</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Retail</w:t>
            </w:r>
          </w:p>
        </w:tc>
      </w:tr>
      <w:tr>
        <w:trPr>
          <w:trHeight w:val="161"/>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Education</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Wholesale</w:t>
            </w:r>
          </w:p>
        </w:tc>
      </w:tr>
    </w:tbl>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Electronics</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99" w:right="459" w:bottom="1440" w:gutter="0" w:footer="0" w:header="0"/>
        </w:sectPr>
      </w:pPr>
    </w:p>
    <w:bookmarkStart w:id="8" w:name="page9"/>
    <w:bookmarkEnd w:id="8"/>
    <w:p>
      <w:pPr>
        <w:ind w:left="440"/>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and cash equivalents) as of September 30: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CFF"/>
            </w:tcBorders>
          </w:tcPr>
          <w:p>
            <w:pPr>
              <w:spacing w:after="0"/>
              <w:rPr>
                <w:sz w:val="14"/>
                <w:szCs w:val="1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CFF"/>
            </w:tcBorders>
          </w:tcPr>
          <w:p>
            <w:pPr>
              <w:spacing w:after="0"/>
              <w:rPr>
                <w:sz w:val="14"/>
                <w:szCs w:val="14"/>
                <w:color w:val="auto"/>
              </w:rPr>
            </w:pPr>
          </w:p>
        </w:tc>
      </w:tr>
      <w:tr>
        <w:trPr>
          <w:trHeight w:val="155"/>
        </w:trPr>
        <w:tc>
          <w:tcPr>
            <w:tcW w:w="42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RAM Energy Holdings LLC</w:t>
            </w:r>
          </w:p>
        </w:tc>
        <w:tc>
          <w:tcPr>
            <w:tcW w:w="20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10%</w:t>
            </w:r>
          </w:p>
        </w:tc>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Parq Holdings Limited Partnership</w:t>
            </w:r>
          </w:p>
        </w:tc>
        <w:tc>
          <w:tcPr>
            <w:tcW w:w="20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ind w:left="840"/>
              <w:spacing w:after="0" w:line="155" w:lineRule="exact"/>
              <w:rPr>
                <w:sz w:val="20"/>
                <w:szCs w:val="20"/>
                <w:color w:val="auto"/>
              </w:rPr>
            </w:pPr>
            <w:r>
              <w:rPr>
                <w:rFonts w:ascii="Arial" w:cs="Arial" w:eastAsia="Arial" w:hAnsi="Arial"/>
                <w:sz w:val="14"/>
                <w:szCs w:val="14"/>
                <w:color w:val="auto"/>
                <w:w w:val="98"/>
              </w:rPr>
              <w:t>7%</w:t>
            </w: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PT Network, LLC</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RAM Energy Holdings LLC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7</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Cascade Environmental LLC</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AKW Holdings Limited</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4</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Winter Park Intermediate, Inc.</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Halo Buyer, Inc.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4</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AKW Holdings Limited</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MailSouth, Inc.</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4</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American Insulated Glass, LLC</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PT Network, LLC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4</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Cano Health, LLC</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Cano Health, LLC</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Halo Buyer, Inc.</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Cascade Environmental LLC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MailSouth, Inc.</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Shift4 Payments, LLC</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shd w:val="clear" w:color="auto" w:fill="CCECFF"/>
          </w:tcPr>
          <w:p>
            <w:pPr>
              <w:spacing w:after="0"/>
              <w:rPr>
                <w:sz w:val="14"/>
                <w:szCs w:val="14"/>
                <w:color w:val="auto"/>
              </w:rPr>
            </w:pP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TVC Enterprises, LLC</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Winter Park Intermediate, Inc.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tcPr>
          <w:p>
            <w:pPr>
              <w:spacing w:after="0"/>
              <w:rPr>
                <w:sz w:val="15"/>
                <w:szCs w:val="15"/>
                <w:color w:val="auto"/>
              </w:rPr>
            </w:pP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CFF"/>
            </w:tcBorders>
          </w:tcPr>
          <w:p>
            <w:pPr>
              <w:spacing w:after="0"/>
              <w:rPr>
                <w:sz w:val="14"/>
                <w:szCs w:val="1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CFF"/>
            </w:tcBorders>
          </w:tcPr>
          <w:p>
            <w:pPr>
              <w:spacing w:after="0"/>
              <w:rPr>
                <w:sz w:val="14"/>
                <w:szCs w:val="14"/>
                <w:color w:val="auto"/>
              </w:rPr>
            </w:pPr>
          </w:p>
        </w:tc>
      </w:tr>
      <w:tr>
        <w:trPr>
          <w:trHeight w:val="156"/>
        </w:trPr>
        <w:tc>
          <w:tcPr>
            <w:tcW w:w="42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0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16%</w:t>
            </w:r>
          </w:p>
        </w:tc>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0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15%</w:t>
            </w: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Energy and Utilities</w:t>
            </w: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Energy and Utilities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Hotels, Motels, Inns and Gaming</w:t>
            </w: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Printing and Publishing</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Auto Sector</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Financial Services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Oil and Gas</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Chemicals, Plastics and Rubber</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Environmental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Personal, Food and Miscellaneous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r>
    </w:tbl>
    <w:p>
      <w:pPr>
        <w:spacing w:after="0" w:line="110"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136"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SBIC II under its respective investment management agreement. Such investment management agreement does not affect the management or incentive fees that we pay to the Investment Adviser on a consolidated basis. Under the terms of our Investment Management Agreement, the Investment Adviser:</w:t>
      </w:r>
    </w:p>
    <w:p>
      <w:pPr>
        <w:spacing w:after="0" w:line="109" w:lineRule="exact"/>
        <w:rPr>
          <w:sz w:val="20"/>
          <w:szCs w:val="20"/>
          <w:color w:val="auto"/>
        </w:rPr>
      </w:pPr>
    </w:p>
    <w:p>
      <w:pPr>
        <w:ind w:left="920" w:hanging="359"/>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136" w:lineRule="exact"/>
        <w:rPr>
          <w:sz w:val="20"/>
          <w:szCs w:val="20"/>
          <w:color w:val="auto"/>
        </w:rPr>
      </w:pPr>
    </w:p>
    <w:p>
      <w:pPr>
        <w:ind w:right="280" w:firstLine="438"/>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Management Fees</w:t>
      </w:r>
    </w:p>
    <w:p>
      <w:pPr>
        <w:spacing w:after="0" w:line="123" w:lineRule="exact"/>
        <w:rPr>
          <w:sz w:val="20"/>
          <w:szCs w:val="20"/>
          <w:color w:val="auto"/>
        </w:rPr>
      </w:pPr>
    </w:p>
    <w:p>
      <w:pPr>
        <w:ind w:right="20" w:firstLine="438"/>
        <w:spacing w:after="0" w:line="242" w:lineRule="auto"/>
        <w:rPr>
          <w:sz w:val="20"/>
          <w:szCs w:val="20"/>
          <w:color w:val="auto"/>
        </w:rPr>
      </w:pPr>
      <w:r>
        <w:rPr>
          <w:rFonts w:ascii="Arial" w:cs="Arial" w:eastAsia="Arial" w:hAnsi="Arial"/>
          <w:sz w:val="13"/>
          <w:szCs w:val="13"/>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 under the 1940 Act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years ended September 30, 2019, 2018 and 2017, the Investment Adviser earned base management fees of $18.2 million, $16.5 million (after a waiver of $0.9 million) and $20.3 million (after a waiver of $3.9 million), respectively, from us.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Gross assets as of December 31, 20XX = $160 million</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Gross assets as of March 31, 20XX = $200 million</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Adjusted gross assets as of March 31, 20XX = $180 million</w:t>
      </w:r>
    </w:p>
    <w:p>
      <w:pPr>
        <w:spacing w:after="0" w:line="136"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immediately preceding calendar quarters, and appropriately adjusted for any share issuances or repurchases during the current calendar quarter equals ($150 million + $180 million) / 2 = $165 million.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60"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facilities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w:t>
      </w:r>
    </w:p>
    <w:p>
      <w:pPr>
        <w:spacing w:after="0" w:line="3" w:lineRule="exact"/>
        <w:rPr>
          <w:sz w:val="20"/>
          <w:szCs w:val="20"/>
          <w:color w:val="auto"/>
        </w:rPr>
      </w:pPr>
    </w:p>
    <w:p>
      <w:pPr>
        <w:ind w:right="20" w:firstLine="8"/>
        <w:spacing w:after="0" w:line="242" w:lineRule="auto"/>
        <w:tabs>
          <w:tab w:leader="none" w:pos="204"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years ended September 30, 2019, 2018 and 2017, the Investment Adviser earned $5.1 million, $11.0 million (after a waiver of $0.5 million) and $9.3 million (after a waiver of $1.8 million), respectively, in incentive fees on net investment income from us.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90805</wp:posOffset>
            </wp:positionV>
            <wp:extent cx="2486025" cy="488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860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24"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2019, 2018 and 2017, the Investment Adviser did not accrue an incentive fee on capital gains as calculated under the Investment Management Agreement (as described above).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 w:name="page11"/>
    <w:bookmarkEnd w:id="10"/>
    <w:p>
      <w:pPr>
        <w:ind w:firstLine="438"/>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2019, 2018 and 2017, the Investment Adviser did not accrue an incentive fee on capital gains as calculated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0.375%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0.675%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 does not exceed the hurdle; therefore, there is no incentive fee.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2.70%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0.375%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2.125%</w:t>
      </w:r>
    </w:p>
    <w:p>
      <w:pPr>
        <w:spacing w:after="0" w:line="136" w:lineRule="exact"/>
        <w:rPr>
          <w:sz w:val="20"/>
          <w:szCs w:val="20"/>
          <w:color w:val="auto"/>
        </w:rPr>
      </w:pPr>
    </w:p>
    <w:p>
      <w:pPr>
        <w:ind w:left="1100"/>
        <w:spacing w:after="0"/>
        <w:tabs>
          <w:tab w:leader="none" w:pos="232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17.5% x Pre-Incentive Fee Net Investment Income, subject to “catch-up”</w:t>
      </w:r>
    </w:p>
    <w:p>
      <w:pPr>
        <w:ind w:left="2440" w:hanging="110"/>
        <w:spacing w:after="0" w:line="221" w:lineRule="auto"/>
        <w:tabs>
          <w:tab w:leader="none" w:pos="2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2.125% - 1.75%</w:t>
      </w:r>
    </w:p>
    <w:p>
      <w:pPr>
        <w:ind w:left="2440" w:hanging="110"/>
        <w:spacing w:after="0" w:line="221" w:lineRule="auto"/>
        <w:tabs>
          <w:tab w:leader="none" w:pos="2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0.375%</w:t>
      </w:r>
    </w:p>
    <w:p>
      <w:pPr>
        <w:ind w:left="2440" w:hanging="110"/>
        <w:spacing w:after="0" w:line="221" w:lineRule="auto"/>
        <w:tabs>
          <w:tab w:leader="none" w:pos="2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100% x 0.375%</w:t>
      </w:r>
    </w:p>
    <w:p>
      <w:pPr>
        <w:ind w:left="2440" w:hanging="110"/>
        <w:spacing w:after="0"/>
        <w:tabs>
          <w:tab w:leader="none" w:pos="2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0.375%</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3.00%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0.375%</w:t>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50" w:right="479" w:bottom="1440" w:gutter="0" w:footer="0" w:header="0"/>
        </w:sectPr>
      </w:pPr>
    </w:p>
    <w:bookmarkStart w:id="11" w:name="page12"/>
    <w:bookmarkEnd w:id="11"/>
    <w:p>
      <w:pPr>
        <w:ind w:left="160"/>
        <w:spacing w:after="0"/>
        <w:rPr>
          <w:sz w:val="20"/>
          <w:szCs w:val="20"/>
          <w:color w:val="auto"/>
        </w:rPr>
      </w:pPr>
      <w:r>
        <w:rPr>
          <w:rFonts w:ascii="Arial" w:cs="Arial" w:eastAsia="Arial" w:hAnsi="Arial"/>
          <w:sz w:val="12"/>
          <w:szCs w:val="12"/>
          <w:color w:val="auto"/>
        </w:rPr>
        <w:t>Other expenses (legal, accounting, custodian, transfer agent, etc.) = 0.20%</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(investment income—(base management fee + other expenses)) = 2.425%</w:t>
      </w:r>
    </w:p>
    <w:p>
      <w:pPr>
        <w:sectPr>
          <w:pgSz w:w="11900" w:h="16838" w:orient="portrait"/>
          <w:cols w:equalWidth="0" w:num="1">
            <w:col w:w="11220"/>
          </w:cols>
          <w:pgMar w:left="320" w:top="499" w:right="359" w:bottom="1440" w:gutter="0" w:footer="0" w:header="0"/>
        </w:sectPr>
      </w:pP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Incentive fee</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Incentive fee</w:t>
      </w:r>
    </w:p>
    <w:p>
      <w:pPr>
        <w:ind w:left="110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17.5% x Pre-Incentive Fee Net Investment Income, subject to “catch-up” </w:t>
      </w:r>
      <w:r>
        <w:rPr>
          <w:rFonts w:ascii="Arial" w:cs="Arial" w:eastAsia="Arial" w:hAnsi="Arial"/>
          <w:sz w:val="12"/>
          <w:szCs w:val="12"/>
          <w:color w:val="auto"/>
        </w:rPr>
        <w:t>(3)</w:t>
      </w:r>
    </w:p>
    <w:p>
      <w:pPr>
        <w:spacing w:after="0"/>
        <w:rPr>
          <w:sz w:val="20"/>
          <w:szCs w:val="20"/>
          <w:color w:val="auto"/>
        </w:rPr>
      </w:pPr>
      <w:r>
        <w:rPr>
          <w:rFonts w:ascii="Arial" w:cs="Arial" w:eastAsia="Arial" w:hAnsi="Arial"/>
          <w:sz w:val="13"/>
          <w:szCs w:val="13"/>
          <w:color w:val="auto"/>
        </w:rPr>
        <w:t>= 100% x “catch-up” + (17.5% x (Pre-Incentive Fee Net Investment Income - 2.1212%))</w:t>
      </w:r>
    </w:p>
    <w:p>
      <w:pPr>
        <w:spacing w:after="0"/>
        <w:rPr>
          <w:sz w:val="20"/>
          <w:szCs w:val="20"/>
          <w:color w:val="auto"/>
        </w:rPr>
      </w:pPr>
      <w:r>
        <w:rPr>
          <w:rFonts w:ascii="Arial" w:cs="Arial" w:eastAsia="Arial" w:hAnsi="Arial"/>
          <w:sz w:val="14"/>
          <w:szCs w:val="14"/>
          <w:color w:val="auto"/>
        </w:rPr>
        <w:t>= 2.1212% - 1.75%</w:t>
      </w:r>
    </w:p>
    <w:p>
      <w:pPr>
        <w:spacing w:after="0" w:line="1" w:lineRule="exact"/>
        <w:rPr>
          <w:sz w:val="20"/>
          <w:szCs w:val="20"/>
          <w:color w:val="auto"/>
        </w:rPr>
      </w:pPr>
    </w:p>
    <w:p>
      <w:pPr>
        <w:sectPr>
          <w:pgSz w:w="11900" w:h="16838" w:orient="portrait"/>
          <w:cols w:equalWidth="0" w:num="2">
            <w:col w:w="1840" w:space="500"/>
            <w:col w:w="8880"/>
          </w:cols>
          <w:pgMar w:left="320" w:top="499" w:right="359" w:bottom="1440" w:gutter="0" w:footer="0" w:header="0"/>
          <w:type w:val="continuous"/>
        </w:sectPr>
      </w:pPr>
    </w:p>
    <w:p>
      <w:pPr>
        <w:ind w:left="2440" w:hanging="110"/>
        <w:spacing w:after="0" w:line="202" w:lineRule="auto"/>
        <w:tabs>
          <w:tab w:leader="none" w:pos="24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0.3712%</w:t>
      </w:r>
    </w:p>
    <w:p>
      <w:pPr>
        <w:ind w:left="2440" w:hanging="110"/>
        <w:spacing w:after="0" w:line="221" w:lineRule="auto"/>
        <w:tabs>
          <w:tab w:leader="none" w:pos="24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(100% x 0.3712%) + (17.5% x (2.425% - 2.1212%))</w:t>
      </w:r>
    </w:p>
    <w:p>
      <w:pPr>
        <w:ind w:left="2440" w:hanging="110"/>
        <w:spacing w:after="0" w:line="221" w:lineRule="auto"/>
        <w:tabs>
          <w:tab w:leader="none" w:pos="24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0.3712% + (17.5% x 0.3038%)</w:t>
      </w:r>
    </w:p>
    <w:p>
      <w:pPr>
        <w:ind w:left="2440" w:hanging="110"/>
        <w:spacing w:after="0" w:line="221" w:lineRule="auto"/>
        <w:tabs>
          <w:tab w:leader="none" w:pos="24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0.3712% + 0.053165%</w:t>
      </w:r>
    </w:p>
    <w:p>
      <w:pPr>
        <w:ind w:left="2440" w:hanging="110"/>
        <w:spacing w:after="0"/>
        <w:tabs>
          <w:tab w:leader="none" w:pos="24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0.424365%</w:t>
      </w:r>
    </w:p>
    <w:p>
      <w:pPr>
        <w:spacing w:after="0" w:line="17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2"/>
          <w:szCs w:val="12"/>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345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Represents 1.5% annualized base management fee.</w:t>
      </w:r>
    </w:p>
    <w:p>
      <w:pPr>
        <w:ind w:left="380" w:right="260" w:hanging="372"/>
        <w:spacing w:after="0" w:line="237"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The “catch-up” provision is intended to provide the Investment Adviser with an incentive fee of 17.5% on all of our Pre-Incentive Fee Net Investment Income as if a hurdle rate did not apply when our net investment income exceeds 2.1212% in any calendar quarter.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 no net realized capital gains or losses</w:t>
      </w:r>
    </w:p>
    <w:p>
      <w:pPr>
        <w:spacing w:after="0" w:line="123" w:lineRule="exact"/>
        <w:rPr>
          <w:sz w:val="20"/>
          <w:szCs w:val="20"/>
          <w:color w:val="auto"/>
        </w:rPr>
      </w:pPr>
    </w:p>
    <w:p>
      <w:pPr>
        <w:ind w:left="160" w:right="200"/>
        <w:spacing w:after="0" w:line="253" w:lineRule="auto"/>
        <w:rPr>
          <w:sz w:val="20"/>
          <w:szCs w:val="20"/>
          <w:color w:val="auto"/>
        </w:rPr>
      </w:pPr>
      <w:r>
        <w:rPr>
          <w:rFonts w:ascii="Arial" w:cs="Arial" w:eastAsia="Arial" w:hAnsi="Arial"/>
          <w:sz w:val="14"/>
          <w:szCs w:val="14"/>
          <w:color w:val="auto"/>
        </w:rPr>
        <w:t>Year 2 = 6% realized capital gains and 1% realized capital losses and unrealized capital depreciation, capital gain incentive fee = 17.5% x (realized capital gains for year computed net of all realized capital losses and unrealized capital depreciation at year end)</w:t>
      </w:r>
    </w:p>
    <w:p>
      <w:pPr>
        <w:spacing w:after="0" w:line="106" w:lineRule="exact"/>
        <w:rPr>
          <w:sz w:val="20"/>
          <w:szCs w:val="20"/>
          <w:color w:val="auto"/>
        </w:rPr>
      </w:pPr>
    </w:p>
    <w:p>
      <w:pPr>
        <w:ind w:left="1100"/>
        <w:spacing w:after="0"/>
        <w:tabs>
          <w:tab w:leader="none" w:pos="2360" w:val="left"/>
        </w:tabs>
        <w:rPr>
          <w:sz w:val="20"/>
          <w:szCs w:val="20"/>
          <w:color w:val="auto"/>
        </w:rPr>
      </w:pPr>
      <w:r>
        <w:rPr>
          <w:rFonts w:ascii="Arial" w:cs="Arial" w:eastAsia="Arial" w:hAnsi="Arial"/>
          <w:sz w:val="14"/>
          <w:szCs w:val="14"/>
          <w:color w:val="auto"/>
        </w:rPr>
        <w:t>Year 1 incentive fee</w:t>
      </w:r>
      <w:r>
        <w:rPr>
          <w:sz w:val="20"/>
          <w:szCs w:val="20"/>
          <w:color w:val="auto"/>
        </w:rPr>
        <w:tab/>
      </w:r>
      <w:r>
        <w:rPr>
          <w:rFonts w:ascii="Arial" w:cs="Arial" w:eastAsia="Arial" w:hAnsi="Arial"/>
          <w:sz w:val="13"/>
          <w:szCs w:val="13"/>
          <w:color w:val="auto"/>
        </w:rPr>
        <w:t>= 17.5% x (0)</w:t>
      </w:r>
    </w:p>
    <w:p>
      <w:pPr>
        <w:ind w:left="2500" w:hanging="116"/>
        <w:spacing w:after="0" w:line="221" w:lineRule="auto"/>
        <w:tabs>
          <w:tab w:leader="none" w:pos="2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0</w:t>
      </w:r>
    </w:p>
    <w:p>
      <w:pPr>
        <w:ind w:left="2500" w:hanging="116"/>
        <w:spacing w:after="0"/>
        <w:tabs>
          <w:tab w:leader="none" w:pos="2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 incentive fee</w:t>
      </w:r>
    </w:p>
    <w:p>
      <w:pPr>
        <w:spacing w:after="0" w:line="124" w:lineRule="exact"/>
        <w:rPr>
          <w:sz w:val="20"/>
          <w:szCs w:val="20"/>
          <w:color w:val="auto"/>
        </w:rPr>
      </w:pPr>
    </w:p>
    <w:p>
      <w:pPr>
        <w:ind w:left="2500" w:hanging="116"/>
        <w:spacing w:after="0"/>
        <w:tabs>
          <w:tab w:leader="none" w:pos="2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17.5% x 5%</w:t>
      </w:r>
    </w:p>
    <w:p>
      <w:pPr>
        <w:ind w:left="2500" w:hanging="116"/>
        <w:spacing w:after="0"/>
        <w:tabs>
          <w:tab w:leader="none" w:pos="2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0.875%</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136"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136"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2019 and subsequently amended and restated in April 2019, as approved by our board of directors, including a majority of our directors who are not interested persons of us or our Investment Adviser. Unless terminated earlier as described below, the Investment Management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04"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136" w:lineRule="exact"/>
        <w:rPr>
          <w:sz w:val="20"/>
          <w:szCs w:val="20"/>
          <w:color w:val="auto"/>
        </w:rPr>
      </w:pPr>
    </w:p>
    <w:p>
      <w:pPr>
        <w:ind w:right="40" w:firstLine="438"/>
        <w:spacing w:after="0" w:line="243" w:lineRule="auto"/>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SBIC II under its administration agreement with us.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2019, 2018 and 2017, we reimbursed the Investment Adviser approximately $1.8 million, $2.0 million and $2.5 million, respectively, including expenses the Investment Adviser incurred on behalf of the Administrator for services described above.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123"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2019. Unless terminated earlier as described below, our Administration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36" w:lineRule="exact"/>
        <w:rPr>
          <w:sz w:val="20"/>
          <w:szCs w:val="20"/>
          <w:color w:val="auto"/>
        </w:rPr>
      </w:pPr>
    </w:p>
    <w:p>
      <w:pPr>
        <w:ind w:right="220" w:firstLine="438"/>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Regulated Investment Company Regulations and Small Business Investment Company Regulations</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07"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136" w:lineRule="exact"/>
        <w:rPr>
          <w:sz w:val="20"/>
          <w:szCs w:val="20"/>
          <w:color w:val="auto"/>
        </w:rPr>
      </w:pPr>
    </w:p>
    <w:p>
      <w:pPr>
        <w:ind w:firstLine="438"/>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4" w:lineRule="exact"/>
        <w:rPr>
          <w:sz w:val="20"/>
          <w:szCs w:val="20"/>
          <w:color w:val="auto"/>
        </w:rPr>
      </w:pPr>
    </w:p>
    <w:p>
      <w:pPr>
        <w:ind w:left="920" w:right="20" w:hanging="359"/>
        <w:spacing w:after="0" w:line="238"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15" w:lineRule="exact"/>
        <w:rPr>
          <w:rFonts w:ascii="Arial" w:cs="Arial" w:eastAsia="Arial" w:hAnsi="Arial"/>
          <w:sz w:val="14"/>
          <w:szCs w:val="14"/>
          <w:color w:val="auto"/>
        </w:rPr>
      </w:pPr>
    </w:p>
    <w:p>
      <w:pPr>
        <w:ind w:left="1480" w:hanging="365"/>
        <w:spacing w:after="0"/>
        <w:tabs>
          <w:tab w:leader="none" w:pos="14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36" w:lineRule="exact"/>
        <w:rPr>
          <w:rFonts w:ascii="Arial" w:cs="Arial" w:eastAsia="Arial" w:hAnsi="Arial"/>
          <w:sz w:val="14"/>
          <w:szCs w:val="14"/>
          <w:color w:val="auto"/>
        </w:rPr>
      </w:pPr>
    </w:p>
    <w:p>
      <w:pPr>
        <w:ind w:left="1480" w:right="100" w:hanging="365"/>
        <w:spacing w:after="0" w:line="253" w:lineRule="auto"/>
        <w:tabs>
          <w:tab w:leader="none" w:pos="14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6" w:lineRule="exact"/>
        <w:rPr>
          <w:rFonts w:ascii="Arial" w:cs="Arial" w:eastAsia="Arial" w:hAnsi="Arial"/>
          <w:sz w:val="14"/>
          <w:szCs w:val="14"/>
          <w:color w:val="auto"/>
        </w:rPr>
      </w:pPr>
    </w:p>
    <w:p>
      <w:pPr>
        <w:ind w:left="1480" w:hanging="365"/>
        <w:spacing w:after="0"/>
        <w:tabs>
          <w:tab w:leader="none" w:pos="14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7"/>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7"/>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136" w:lineRule="exact"/>
        <w:rPr>
          <w:rFonts w:ascii="Arial" w:cs="Arial" w:eastAsia="Arial" w:hAnsi="Arial"/>
          <w:sz w:val="14"/>
          <w:szCs w:val="14"/>
          <w:color w:val="auto"/>
        </w:rPr>
      </w:pPr>
    </w:p>
    <w:p>
      <w:pPr>
        <w:ind w:left="2040" w:right="360" w:hanging="372"/>
        <w:spacing w:after="0" w:line="290" w:lineRule="auto"/>
        <w:tabs>
          <w:tab w:leader="none" w:pos="2040" w:val="left"/>
        </w:tabs>
        <w:numPr>
          <w:ilvl w:val="2"/>
          <w:numId w:val="27"/>
        </w:numPr>
        <w:rPr>
          <w:rFonts w:ascii="Arial" w:cs="Arial" w:eastAsia="Arial" w:hAnsi="Arial"/>
          <w:sz w:val="13"/>
          <w:szCs w:val="13"/>
          <w:color w:val="auto"/>
        </w:rPr>
      </w:pPr>
      <w:r>
        <w:rPr>
          <w:rFonts w:ascii="Arial" w:cs="Arial" w:eastAsia="Arial" w:hAnsi="Arial"/>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4" w:lineRule="exact"/>
        <w:rPr>
          <w:rFonts w:ascii="Arial" w:cs="Arial" w:eastAsia="Arial" w:hAnsi="Arial"/>
          <w:sz w:val="13"/>
          <w:szCs w:val="13"/>
          <w:color w:val="auto"/>
        </w:rPr>
      </w:pPr>
    </w:p>
    <w:p>
      <w:pPr>
        <w:ind w:left="920" w:hanging="359"/>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136" w:lineRule="exact"/>
        <w:rPr>
          <w:rFonts w:ascii="Arial" w:cs="Arial" w:eastAsia="Arial" w:hAnsi="Arial"/>
          <w:sz w:val="14"/>
          <w:szCs w:val="14"/>
          <w:color w:val="auto"/>
        </w:rPr>
      </w:pPr>
    </w:p>
    <w:p>
      <w:pPr>
        <w:ind w:left="920" w:right="160" w:hanging="359"/>
        <w:spacing w:after="0" w:line="238"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4"/>
          <w:szCs w:val="14"/>
          <w:color w:val="auto"/>
        </w:rPr>
      </w:pPr>
    </w:p>
    <w:p>
      <w:pPr>
        <w:ind w:left="920" w:right="380" w:hanging="359"/>
        <w:spacing w:after="0" w:line="253"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6" w:lineRule="exact"/>
        <w:rPr>
          <w:rFonts w:ascii="Arial" w:cs="Arial" w:eastAsia="Arial" w:hAnsi="Arial"/>
          <w:sz w:val="14"/>
          <w:szCs w:val="14"/>
          <w:color w:val="auto"/>
        </w:rPr>
      </w:pPr>
    </w:p>
    <w:p>
      <w:pPr>
        <w:ind w:left="920" w:right="220" w:hanging="359"/>
        <w:spacing w:after="0" w:line="253"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3" w:name="page14"/>
    <w:bookmarkEnd w:id="13"/>
    <w:p>
      <w:pPr>
        <w:ind w:right="300" w:firstLine="438"/>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13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123"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136"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joint code of ethics is attached as an exhibit to this Report and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You may also obtain a copy of our joint code of ethics,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123"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Introduction</w:t>
      </w:r>
    </w:p>
    <w:p>
      <w:pPr>
        <w:spacing w:after="0" w:line="13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Policies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02"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Voting Records</w:t>
      </w:r>
    </w:p>
    <w:p>
      <w:pPr>
        <w:spacing w:after="0" w:line="123"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123"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0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maintain physical, electronic and procedural safeguards designed to protect the non-public personal information of our stockholders.</w:t>
      </w:r>
    </w:p>
    <w:p>
      <w:pPr>
        <w:spacing w:after="0" w:line="111"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 xml:space="preserve">Our privacy protection policies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In addition, the privacy policy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filed as an exhibit to our annual report on Form 10-K (File No. 814-00736, filed on November 16, 2011).</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will be periodically examined by the SEC and SBA for compliance with the 1940 Act and 1958 Act, respectively.</w:t>
      </w:r>
    </w:p>
    <w:p>
      <w:pPr>
        <w:spacing w:after="0" w:line="13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15"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136" w:lineRule="exact"/>
        <w:rPr>
          <w:sz w:val="20"/>
          <w:szCs w:val="20"/>
          <w:color w:val="auto"/>
        </w:rPr>
      </w:pPr>
    </w:p>
    <w:p>
      <w:pPr>
        <w:ind w:right="580" w:firstLine="438"/>
        <w:spacing w:after="0" w:line="253" w:lineRule="auto"/>
        <w:rPr>
          <w:sz w:val="20"/>
          <w:szCs w:val="20"/>
          <w:color w:val="auto"/>
        </w:rPr>
      </w:pPr>
      <w:r>
        <w:rPr>
          <w:rFonts w:ascii="Arial" w:cs="Arial" w:eastAsia="Arial" w:hAnsi="Arial"/>
          <w:sz w:val="14"/>
          <w:szCs w:val="14"/>
          <w:color w:val="auto"/>
        </w:rPr>
        <w:t>The Sarbanes-Oxley Act of 2002, as amended, or the Sarbanes-Oxley Act, imposes several regulatory requirements on publicly held companies and their insiders. Many of these requirements affect us.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example:</w:t>
      </w:r>
    </w:p>
    <w:p>
      <w:pPr>
        <w:spacing w:after="0" w:line="123" w:lineRule="exact"/>
        <w:rPr>
          <w:sz w:val="20"/>
          <w:szCs w:val="20"/>
          <w:color w:val="auto"/>
        </w:rPr>
      </w:pPr>
    </w:p>
    <w:p>
      <w:pPr>
        <w:ind w:left="920" w:right="380" w:hanging="359"/>
        <w:spacing w:after="0" w:line="253" w:lineRule="auto"/>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47" w:lineRule="exact"/>
        <w:rPr>
          <w:rFonts w:ascii="Arial" w:cs="Arial" w:eastAsia="Arial" w:hAnsi="Arial"/>
          <w:sz w:val="13"/>
          <w:szCs w:val="13"/>
          <w:color w:val="auto"/>
        </w:rPr>
      </w:pPr>
    </w:p>
    <w:p>
      <w:pPr>
        <w:jc w:val="both"/>
        <w:ind w:left="920" w:right="160" w:hanging="359"/>
        <w:spacing w:after="0" w:line="238" w:lineRule="auto"/>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5"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Treated as a RIC</w:t>
      </w:r>
    </w:p>
    <w:p>
      <w:pPr>
        <w:spacing w:after="0" w:line="13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36" w:lineRule="exact"/>
        <w:rPr>
          <w:sz w:val="20"/>
          <w:szCs w:val="20"/>
          <w:color w:val="auto"/>
        </w:rPr>
      </w:pPr>
    </w:p>
    <w:p>
      <w:pPr>
        <w:ind w:left="920" w:hanging="359"/>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136" w:lineRule="exact"/>
        <w:rPr>
          <w:rFonts w:ascii="Arial" w:cs="Arial" w:eastAsia="Arial" w:hAnsi="Arial"/>
          <w:sz w:val="14"/>
          <w:szCs w:val="14"/>
          <w:color w:val="auto"/>
        </w:rPr>
      </w:pPr>
    </w:p>
    <w:p>
      <w:pPr>
        <w:ind w:left="920" w:right="120" w:hanging="359"/>
        <w:spacing w:after="0" w:line="238" w:lineRule="auto"/>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115" w:lineRule="exact"/>
        <w:rPr>
          <w:rFonts w:ascii="Arial" w:cs="Arial" w:eastAsia="Arial" w:hAnsi="Arial"/>
          <w:sz w:val="14"/>
          <w:szCs w:val="14"/>
          <w:color w:val="auto"/>
        </w:rPr>
      </w:pPr>
    </w:p>
    <w:p>
      <w:pPr>
        <w:ind w:left="920" w:hanging="359"/>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136" w:lineRule="exact"/>
        <w:rPr>
          <w:rFonts w:ascii="Arial" w:cs="Arial" w:eastAsia="Arial" w:hAnsi="Arial"/>
          <w:sz w:val="14"/>
          <w:szCs w:val="14"/>
          <w:color w:val="auto"/>
        </w:rPr>
      </w:pPr>
    </w:p>
    <w:p>
      <w:pPr>
        <w:ind w:left="1480" w:right="20" w:hanging="365"/>
        <w:spacing w:after="0" w:line="290" w:lineRule="auto"/>
        <w:tabs>
          <w:tab w:leader="none" w:pos="14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4" w:lineRule="exact"/>
        <w:rPr>
          <w:rFonts w:ascii="Arial" w:cs="Arial" w:eastAsia="Arial" w:hAnsi="Arial"/>
          <w:sz w:val="13"/>
          <w:szCs w:val="13"/>
          <w:color w:val="auto"/>
        </w:rPr>
      </w:pPr>
    </w:p>
    <w:p>
      <w:pPr>
        <w:ind w:left="1480" w:right="160" w:hanging="365"/>
        <w:spacing w:after="0" w:line="238" w:lineRule="auto"/>
        <w:tabs>
          <w:tab w:leader="none" w:pos="1480" w:val="left"/>
        </w:tabs>
        <w:numPr>
          <w:ilvl w:val="1"/>
          <w:numId w:val="29"/>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5" w:name="page16"/>
    <w:bookmarkEnd w:id="15"/>
    <w:p>
      <w:pPr>
        <w:ind w:right="20" w:firstLine="438"/>
        <w:spacing w:after="0" w:line="248"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w:t>
      </w:r>
    </w:p>
    <w:p>
      <w:pPr>
        <w:ind w:right="60" w:firstLine="8"/>
        <w:spacing w:after="0" w:line="246" w:lineRule="auto"/>
        <w:tabs>
          <w:tab w:leader="none" w:pos="204" w:val="left"/>
        </w:tabs>
        <w:numPr>
          <w:ilvl w:val="0"/>
          <w:numId w:val="30"/>
        </w:numPr>
        <w:rPr>
          <w:rFonts w:ascii="Arial" w:cs="Arial" w:eastAsia="Arial" w:hAnsi="Arial"/>
          <w:sz w:val="13"/>
          <w:szCs w:val="13"/>
          <w:color w:val="auto"/>
        </w:rPr>
      </w:pPr>
      <w:r>
        <w:rPr>
          <w:rFonts w:ascii="Arial" w:cs="Arial" w:eastAsia="Arial" w:hAnsi="Arial"/>
          <w:sz w:val="13"/>
          <w:szCs w:val="13"/>
          <w:color w:val="auto"/>
        </w:rPr>
        <w:t>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Although we may distribute realized net capital gains (i.e., net long-term capital gains in excess of net short-term capital losses), if any, at least annually, out of the assets legally available for such distributions in the manner described above, we may retain and incur tax on such net capital gains or investment company taxable income, subject to maintaining our ability to be treated as a RIC for federal income tax purposes, in order to provide us with additional liquidity.</w:t>
      </w:r>
    </w:p>
    <w:p>
      <w:pPr>
        <w:spacing w:after="0" w:line="99" w:lineRule="exact"/>
        <w:rPr>
          <w:sz w:val="20"/>
          <w:szCs w:val="20"/>
          <w:color w:val="auto"/>
        </w:rPr>
      </w:pPr>
    </w:p>
    <w:p>
      <w:pPr>
        <w:jc w:val="both"/>
        <w:ind w:right="240" w:firstLine="438"/>
        <w:spacing w:after="0" w:line="233" w:lineRule="auto"/>
        <w:rPr>
          <w:sz w:val="20"/>
          <w:szCs w:val="20"/>
          <w:color w:val="auto"/>
        </w:rPr>
      </w:pPr>
      <w:r>
        <w:rPr>
          <w:rFonts w:ascii="Arial" w:cs="Arial" w:eastAsia="Arial" w:hAnsi="Arial"/>
          <w:sz w:val="14"/>
          <w:szCs w:val="14"/>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17"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 purposes. The Taxable Subsidiaries generally will be subject to corporate income taxes on their earnings, which ultimately will reduce our return on such income and fees.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123"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1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Gain or loss realized by us from equity securities and warrants acquired by us, as well as any loss attributable to the lapse of such warrants, generally will be treated as capital gain or loss.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Such gain or loss generally will be long-term or short-term, depending on how long we held a particular warrant.</w:t>
      </w:r>
    </w:p>
    <w:p>
      <w:pPr>
        <w:spacing w:after="0" w:line="124"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17"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i w:val="1"/>
          <w:iCs w:val="1"/>
          <w:color w:val="auto"/>
        </w:rPr>
        <w:t>SBA Regulations</w:t>
      </w:r>
    </w:p>
    <w:p>
      <w:pPr>
        <w:spacing w:after="0" w:line="123"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SBIC II is licensed under the SBA as a SBIC under Section 301(c) of the 1958 Act and received its license in 2013. During the year ended September 30, 2019, we liquidated and dissolved SBIC I.</w:t>
      </w:r>
    </w:p>
    <w:p>
      <w:pPr>
        <w:spacing w:after="0" w:line="106"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SBICs are designed to stimulate the flow of capital to businesses that meet specified eligibility requirements discussed below. Under SBA regulations, SBIC II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SBIC II is subject to periodic audits and examinations of their financial statements that are prepared on a basis of accounting other than GAAP pursuant to SBA accounting standards and financial reporting requirements for SBICs. For example, SBIC II does not use fair value accounting on its assets or liabilities under SBA valuation guidelines. If SBIC II fails to comply with applicable SBA regulations, the SBA could, depending on the severity of the violation, limit or prohibit use of debentures, declare outstanding debentures immediately due and payable, and/or limit SBIC II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Eligible Small and Smaller Businesses</w:t>
      </w:r>
    </w:p>
    <w:p>
      <w:pPr>
        <w:spacing w:after="0" w:line="123"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SBIC II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Financing Limitations, Terms and Changes in Control</w:t>
      </w:r>
    </w:p>
    <w:p>
      <w:pPr>
        <w:spacing w:after="0" w:line="136"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SBIC II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94" w:lineRule="exact"/>
        <w:rPr>
          <w:sz w:val="20"/>
          <w:szCs w:val="20"/>
          <w:color w:val="auto"/>
        </w:rPr>
      </w:pPr>
    </w:p>
    <w:p>
      <w:pPr>
        <w:jc w:val="both"/>
        <w:ind w:right="220" w:firstLine="438"/>
        <w:spacing w:after="0" w:line="238" w:lineRule="auto"/>
        <w:rPr>
          <w:sz w:val="20"/>
          <w:szCs w:val="20"/>
          <w:color w:val="auto"/>
        </w:rPr>
      </w:pPr>
      <w:r>
        <w:rPr>
          <w:rFonts w:ascii="Arial" w:cs="Arial" w:eastAsia="Arial" w:hAnsi="Arial"/>
          <w:sz w:val="14"/>
          <w:szCs w:val="14"/>
          <w:color w:val="auto"/>
        </w:rPr>
        <w:t>The SBA also prohibits, without prior written approval, a “change in control” of SBIC II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Idle Funds Limitation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SBA limits an SBIC to investing idle funds in the following types of securities:</w:t>
      </w:r>
    </w:p>
    <w:p>
      <w:pPr>
        <w:spacing w:after="0" w:line="123" w:lineRule="exact"/>
        <w:rPr>
          <w:sz w:val="20"/>
          <w:szCs w:val="20"/>
          <w:color w:val="auto"/>
        </w:rPr>
      </w:pPr>
    </w:p>
    <w:p>
      <w:pPr>
        <w:ind w:left="920" w:hanging="359"/>
        <w:spacing w:after="0"/>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direct obligations of, or obligations guaranteed as to principal and interest by, the U.S. Government, which mature within 15 months from the date of the investment;</w:t>
      </w:r>
    </w:p>
    <w:p>
      <w:pPr>
        <w:spacing w:after="0" w:line="136" w:lineRule="exact"/>
        <w:rPr>
          <w:rFonts w:ascii="Arial" w:cs="Arial" w:eastAsia="Arial" w:hAnsi="Arial"/>
          <w:sz w:val="14"/>
          <w:szCs w:val="14"/>
          <w:color w:val="auto"/>
        </w:rPr>
      </w:pPr>
    </w:p>
    <w:p>
      <w:pPr>
        <w:ind w:left="920" w:right="60" w:hanging="359"/>
        <w:spacing w:after="0" w:line="253" w:lineRule="auto"/>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withdrawal restriction of one year or less.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SBA Leverage or Debentures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$175.0 million, which is up to twice its regulatory capital, and a maximum of $350.0 million as part of a group of SBICs under common control.</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2024 Notes, or any securities we may issue, may decline, and you may lose all or part of your investment.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84" w:lineRule="exact"/>
        <w:rPr>
          <w:sz w:val="20"/>
          <w:szCs w:val="20"/>
          <w:color w:val="auto"/>
        </w:rPr>
      </w:pPr>
    </w:p>
    <w:p>
      <w:pPr>
        <w:ind w:firstLine="438"/>
        <w:spacing w:after="0" w:line="225" w:lineRule="auto"/>
        <w:rPr>
          <w:sz w:val="20"/>
          <w:szCs w:val="20"/>
          <w:color w:val="auto"/>
        </w:rPr>
      </w:pPr>
      <w:r>
        <w:rPr>
          <w:rFonts w:ascii="Arial" w:cs="Arial" w:eastAsia="Arial" w:hAnsi="Arial"/>
          <w:sz w:val="14"/>
          <w:szCs w:val="14"/>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(the so called “Brexit”) could lead to further market disruptions and currency volatility, potentially weakening consumer, corporate and financial confidence and resulting in lower economic growth for companies that rely significantly on Europe for their business activities and revenues. Furthermore,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Brexit or other global economic conditions could have a material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123"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Facilities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1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sanction laws in the United States and other jurisdictions may prohibit us and our affiliates from transacting with certain countries, individuals and companies.</w:t>
      </w:r>
    </w:p>
    <w:p>
      <w:pPr>
        <w:spacing w:after="0" w:line="134"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16" w:lineRule="exact"/>
        <w:rPr>
          <w:sz w:val="20"/>
          <w:szCs w:val="20"/>
          <w:color w:val="auto"/>
        </w:rPr>
      </w:pPr>
    </w:p>
    <w:p>
      <w:pPr>
        <w:ind w:right="60" w:firstLine="438"/>
        <w:spacing w:after="0" w:line="228" w:lineRule="auto"/>
        <w:rPr>
          <w:sz w:val="20"/>
          <w:szCs w:val="20"/>
          <w:color w:val="auto"/>
        </w:rPr>
      </w:pPr>
      <w:r>
        <w:rPr>
          <w:rFonts w:ascii="Arial" w:cs="Arial" w:eastAsia="Arial" w:hAnsi="Arial"/>
          <w:sz w:val="14"/>
          <w:szCs w:val="14"/>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reduced availability and/or mandatory prepayments under our Credit Facilities and SBA debentures.</w:t>
      </w:r>
    </w:p>
    <w:p>
      <w:pPr>
        <w:spacing w:after="0" w:line="123"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In addition to the asset coverage ratio requirements, our Credit Facilities contain various covenants which, if not complied with, could accelerate repayment under the Credit Facilities. This could have a material adverse effect on our business, financial condition and results of operations. Our borrowings under our Credit Facilities are collateralized by the assets in our investment portfolio, excluding those portfolio investments held by SBIC II. The agreements governing the Credit Facilities require us to comply with certain financial and operational covenants. These covenants include:</w:t>
      </w:r>
    </w:p>
    <w:p>
      <w:pPr>
        <w:spacing w:after="0" w:line="117" w:lineRule="exact"/>
        <w:rPr>
          <w:sz w:val="20"/>
          <w:szCs w:val="20"/>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Facilities not exceed a certain percentage of the value of our portfolio.</w:t>
      </w:r>
    </w:p>
    <w:p>
      <w:pPr>
        <w:spacing w:after="0" w:line="136" w:lineRule="exact"/>
        <w:rPr>
          <w:sz w:val="20"/>
          <w:szCs w:val="20"/>
          <w:color w:val="auto"/>
        </w:rPr>
      </w:pPr>
    </w:p>
    <w:p>
      <w:pPr>
        <w:jc w:val="both"/>
        <w:ind w:right="220" w:firstLine="438"/>
        <w:spacing w:after="0" w:line="238" w:lineRule="auto"/>
        <w:rPr>
          <w:sz w:val="20"/>
          <w:szCs w:val="20"/>
          <w:color w:val="auto"/>
        </w:rPr>
      </w:pPr>
      <w:r>
        <w:rPr>
          <w:rFonts w:ascii="Arial" w:cs="Arial" w:eastAsia="Arial" w:hAnsi="Arial"/>
          <w:sz w:val="14"/>
          <w:szCs w:val="14"/>
          <w:color w:val="auto"/>
        </w:rPr>
        <w:t>In addition to the Credit Facilities, SBIC II has issued SBA debentures that require us and SBIC II to generate sufficient cash flow to make required interest payments. Further, SBIC II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II.</w:t>
      </w:r>
    </w:p>
    <w:p>
      <w:pPr>
        <w:spacing w:after="0" w:line="115"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Facilities and could trigger mandatory prepayment obligations under the terms of the Credit Facilities.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136"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1"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123"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06" w:lineRule="exact"/>
        <w:rPr>
          <w:sz w:val="20"/>
          <w:szCs w:val="20"/>
          <w:color w:val="auto"/>
        </w:rPr>
      </w:pPr>
    </w:p>
    <w:p>
      <w:pPr>
        <w:ind w:right="320" w:firstLine="438"/>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01"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48" w:lineRule="exact"/>
        <w:rPr>
          <w:sz w:val="20"/>
          <w:szCs w:val="20"/>
          <w:color w:val="auto"/>
        </w:rPr>
      </w:pPr>
    </w:p>
    <w:p>
      <w:pPr>
        <w:jc w:val="both"/>
        <w:ind w:right="100" w:firstLine="438"/>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17"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the target of litigation.</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may be the target of securities litigation in the future, particularly if the trading price of our common stock and our 2024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115"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93"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3"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123"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 Quantitative and Qualitative Disclosures about Market Risk” for more information.</w:t>
      </w:r>
    </w:p>
    <w:p>
      <w:pPr>
        <w:spacing w:after="0" w:line="11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15" w:lineRule="exact"/>
        <w:rPr>
          <w:sz w:val="20"/>
          <w:szCs w:val="20"/>
          <w:color w:val="auto"/>
        </w:rPr>
      </w:pPr>
    </w:p>
    <w:p>
      <w:pPr>
        <w:ind w:right="200" w:firstLine="438"/>
        <w:spacing w:after="0" w:line="251" w:lineRule="auto"/>
        <w:rPr>
          <w:sz w:val="20"/>
          <w:szCs w:val="20"/>
          <w:color w:val="auto"/>
        </w:rPr>
      </w:pPr>
      <w:r>
        <w:rPr>
          <w:rFonts w:ascii="Arial" w:cs="Arial" w:eastAsia="Arial" w:hAnsi="Arial"/>
          <w:sz w:val="13"/>
          <w:szCs w:val="13"/>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Facilities,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9" w:name="page20"/>
    <w:bookmarkEnd w:id="19"/>
    <w:p>
      <w:pPr>
        <w:ind w:right="60" w:firstLine="438"/>
        <w:spacing w:after="0" w:line="231" w:lineRule="auto"/>
        <w:rPr>
          <w:sz w:val="20"/>
          <w:szCs w:val="20"/>
          <w:color w:val="auto"/>
        </w:rPr>
      </w:pPr>
      <w:r>
        <w:rPr>
          <w:rFonts w:ascii="Arial" w:cs="Arial" w:eastAsia="Arial" w:hAnsi="Arial"/>
          <w:sz w:val="14"/>
          <w:szCs w:val="14"/>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03" w:lineRule="exact"/>
        <w:rPr>
          <w:sz w:val="20"/>
          <w:szCs w:val="20"/>
          <w:color w:val="auto"/>
        </w:rPr>
      </w:pPr>
    </w:p>
    <w:p>
      <w:pPr>
        <w:ind w:right="140" w:firstLine="438"/>
        <w:spacing w:after="0" w:line="228" w:lineRule="auto"/>
        <w:rPr>
          <w:sz w:val="20"/>
          <w:szCs w:val="20"/>
          <w:color w:val="auto"/>
        </w:rPr>
      </w:pPr>
      <w:r>
        <w:rPr>
          <w:rFonts w:ascii="Arial" w:cs="Arial" w:eastAsia="Arial" w:hAnsi="Arial"/>
          <w:sz w:val="14"/>
          <w:szCs w:val="14"/>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 If LIBOR ceases to exist, we may need to renegotiate any credit or similar agreements extending beyond 2021 with our portfolio companies that utilize LIBOR as a factor in determining the interest rate and our Credit Facilities to replace LIBOR with the new standard that is established. If the agreements with our portfolio companies are unable to be renegotiated, our investments may bear interest at a lower rate, which would decrease investment income and potentially the value of such investments. If we are unable to renegotiate our Credit Facilities, amounts drawn under our Credit Facilities may bear interest at a higher rate, which would increase the cost of our borrowings and, in turn, affect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136"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48" w:lineRule="exact"/>
        <w:rPr>
          <w:sz w:val="20"/>
          <w:szCs w:val="20"/>
          <w:color w:val="auto"/>
        </w:rPr>
      </w:pPr>
    </w:p>
    <w:p>
      <w:pPr>
        <w:ind w:right="380" w:firstLine="438"/>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and funds with which our senior and other investment professionals have been affiliated.</w:t>
      </w:r>
    </w:p>
    <w:p>
      <w:pPr>
        <w:spacing w:after="0" w:line="134"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136" w:lineRule="exact"/>
        <w:rPr>
          <w:sz w:val="20"/>
          <w:szCs w:val="20"/>
          <w:color w:val="auto"/>
        </w:rPr>
      </w:pPr>
    </w:p>
    <w:p>
      <w:pPr>
        <w:ind w:right="20" w:firstLine="438"/>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our net assets and income available for debt service and distributions.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Excise Tax Avoidance Requirement.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Annual Distribution Requirement if we recognize income before or without receiving cash representing such income.</w:t>
      </w:r>
    </w:p>
    <w:p>
      <w:pPr>
        <w:spacing w:after="0" w:line="123"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18"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15"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36"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our total net assets as of the immediately preceding quarter-end.</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99"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We depend in part on SBIC II for cash distributions to enable us to meet the distribution requirements to be subject to tax as a RIC. In this regard, SBIC II is limited by the SBA regulations governing SBICs from making certain distributions to us that may be necessary to satisfy the requirements to be subject to tax as a RIC. In such a case, we would need to request a waiver of the SBA’s restrictions for SBIC II to make certain distributions to enable us to be subject to tax as a RIC. We cannot assure you that the SBA will grant such waiver, and if SBIC II is unable to obtain a waiver, compliance with the SBA regulations may cause us to incur a corporate-level income tax.</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136"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105" w:lineRule="exact"/>
        <w:rPr>
          <w:sz w:val="20"/>
          <w:szCs w:val="20"/>
          <w:color w:val="auto"/>
        </w:rPr>
      </w:pPr>
    </w:p>
    <w:p>
      <w:pPr>
        <w:ind w:left="920" w:right="180" w:hanging="359"/>
        <w:spacing w:after="0" w:line="251" w:lineRule="auto"/>
        <w:tabs>
          <w:tab w:leader="none" w:pos="920" w:val="left"/>
        </w:tabs>
        <w:numPr>
          <w:ilvl w:val="0"/>
          <w:numId w:val="3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we are exposed to typical risks associated with leverage, including an increased risk of loss. If we issue preferred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9" w:lineRule="exact"/>
        <w:rPr>
          <w:rFonts w:ascii="Arial" w:cs="Arial" w:eastAsia="Arial" w:hAnsi="Arial"/>
          <w:sz w:val="13"/>
          <w:szCs w:val="13"/>
          <w:color w:val="auto"/>
        </w:rPr>
      </w:pPr>
    </w:p>
    <w:p>
      <w:pPr>
        <w:ind w:left="920" w:right="20" w:hanging="359"/>
        <w:spacing w:after="0" w:line="241" w:lineRule="auto"/>
        <w:tabs>
          <w:tab w:leader="none" w:pos="920" w:val="left"/>
        </w:tabs>
        <w:numPr>
          <w:ilvl w:val="0"/>
          <w:numId w:val="3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1" w:name="page22"/>
    <w:bookmarkEnd w:id="21"/>
    <w:p>
      <w:pPr>
        <w:ind w:left="920" w:hanging="359"/>
        <w:spacing w:after="0" w:line="242" w:lineRule="auto"/>
        <w:tabs>
          <w:tab w:leader="none" w:pos="920" w:val="left"/>
        </w:tabs>
        <w:numPr>
          <w:ilvl w:val="0"/>
          <w:numId w:val="3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and the rules and regulations of the SEC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rFonts w:ascii="Arial" w:cs="Arial" w:eastAsia="Arial" w:hAnsi="Arial"/>
          <w:sz w:val="13"/>
          <w:szCs w:val="13"/>
          <w:color w:val="auto"/>
        </w:rPr>
      </w:pPr>
    </w:p>
    <w:p>
      <w:pPr>
        <w:ind w:left="920" w:right="20" w:hanging="359"/>
        <w:spacing w:after="0" w:line="233" w:lineRule="auto"/>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SBA Debentures. </w:t>
      </w:r>
      <w:r>
        <w:rPr>
          <w:rFonts w:ascii="Arial" w:cs="Arial" w:eastAsia="Arial" w:hAnsi="Arial"/>
          <w:sz w:val="14"/>
          <w:szCs w:val="14"/>
          <w:color w:val="auto"/>
        </w:rPr>
        <w:t>In addition to issuing securities and using securitizations to raise capital as described above, we have issued and may in the future issue, as permitted under SBA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regulations and through our wholly owned subsidiary, SBIC II, and any future SBIC subsidiary, SBA debentures to generate cash for funding new investments. To issue SBA debentures, we may request commitments for debt capital from the SBA. SBIC II is, and any future SBIC subsidiary may be, exposed to any losses on its portfolio of loans, however, such debentures are non-recourse to us.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SBIC II may be unable to make distributions to us that will enable us to meet or maintain RIC tax status.</w:t>
      </w:r>
    </w:p>
    <w:p>
      <w:pPr>
        <w:spacing w:after="0" w:line="123"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SBIC II, each taxable year as dividends to our stockholders. As noted above, we depend in part on SBIC II for cash distributions to enable us to meet the RIC distribution requirements. SBIC II may be limited by SBA regulations governing SBICs from making certain distributions to us that may be necessary to maintain our status as a RIC. We may have to request a waiver of the SBA’s restrictions for SBIC II to make certain distributions to maintain our RIC tax status. We cannot assure you that the SBA will grant such waiver and if SBIC II is unable to obtain a waiver, compliance with the SBA regulations may result in corporate level income tax on us.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SBIC II is licensed by the SBA and is subject to SBA regulations.</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SBIC II, our wholly owned subsidiary, received a license to operate as a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SBIC II to make investments at lower rates in order to qualify investments under the SBA regulations.</w:t>
      </w:r>
    </w:p>
    <w:p>
      <w:pPr>
        <w:spacing w:after="0" w:line="102"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Further, SBA regulations require that a licensed SBIC be periodically examined and audited by the SBA to determine its compliance with the relevant regulations. If SBIC II fails to comply with applicable regulations, the SBA could, depending on the severity of the violation, limit or prohibit its use of debentures, declare outstanding debentures immediately due and payable, and/or limit it from making new investments. In addition, the SBA could revoke or suspend SBIC II’s license for willful or repeated violation of, or willful or repeated failure to observe, any provision of the 1958 Act or any rule or regulation promulgated thereunder. These actions by the SBA would, in turn, negatively affect us because SBIC II is our wholly owned subsidiary.</w:t>
      </w:r>
    </w:p>
    <w:p>
      <w:pPr>
        <w:spacing w:after="0" w:line="10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$175.0 million, which is up to twice its regulatory capital, and a maximum of $350.0 million as part of a group of SBICs under common control.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123"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101" w:lineRule="exact"/>
        <w:rPr>
          <w:sz w:val="20"/>
          <w:szCs w:val="20"/>
          <w:color w:val="auto"/>
        </w:rPr>
      </w:pPr>
    </w:p>
    <w:p>
      <w:pPr>
        <w:ind w:right="200" w:firstLine="438"/>
        <w:spacing w:after="0" w:line="233" w:lineRule="auto"/>
        <w:rPr>
          <w:sz w:val="20"/>
          <w:szCs w:val="20"/>
          <w:color w:val="auto"/>
        </w:rPr>
      </w:pPr>
      <w:r>
        <w:rPr>
          <w:rFonts w:ascii="Arial" w:cs="Arial" w:eastAsia="Arial" w:hAnsi="Arial"/>
          <w:sz w:val="14"/>
          <w:szCs w:val="14"/>
          <w:color w:val="auto"/>
        </w:rPr>
        <w:t>Our current debt is governed by the terms of our Credit Facilities, 2024 Notes and SBA debentures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Additionally, SBIC II has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right="60" w:firstLine="438"/>
        <w:spacing w:after="0" w:line="243" w:lineRule="auto"/>
        <w:rPr>
          <w:sz w:val="20"/>
          <w:szCs w:val="20"/>
          <w:color w:val="auto"/>
        </w:rPr>
      </w:pPr>
      <w:r>
        <w:rPr>
          <w:rFonts w:ascii="Arial" w:cs="Arial" w:eastAsia="Arial" w:hAnsi="Arial"/>
          <w:sz w:val="13"/>
          <w:szCs w:val="13"/>
          <w:color w:val="auto"/>
        </w:rPr>
        <w:t>We have indebtedness outstanding pursuant to our Credit Facilities, 2024 Notes and SBA debentures and expect in the future to borrow additional amounts under our Credit Facilities or other debt securities, subject to market availability, and, may increase the size of our Credit Facilities.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our Credit Facilities.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our Credit Facilities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2" w:name="page23"/>
    <w:bookmarkEnd w:id="22"/>
    <w:p>
      <w:pPr>
        <w:jc w:val="both"/>
        <w:ind w:right="140" w:firstLine="438"/>
        <w:spacing w:after="0" w:line="233" w:lineRule="auto"/>
        <w:rPr>
          <w:sz w:val="20"/>
          <w:szCs w:val="20"/>
          <w:color w:val="auto"/>
        </w:rPr>
      </w:pPr>
      <w:r>
        <w:rPr>
          <w:rFonts w:ascii="Arial" w:cs="Arial" w:eastAsia="Arial" w:hAnsi="Arial"/>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04"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 of September 30, 2019 and 2018, our asset coverage ratio, as computed in accordance with the 1940 Act, was 207% and 292%, respectively. Since our leverage, including SBA debentures outstanding, was 120% and 81% of our net assets as of September 30, 2019 and 2018, respectively, we would have to receive an annual return of at least 2.3% and 1.8%, respectively, to cover annual interest payments.</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As of September 30, 2019, we had outstanding borrowings of $472.6 million under our Credit Facilities, $150.0 million outstanding under the SBA debentures and $75 million of 2024 Notes outstanding. Our consolidated debt outstanding was $697.6 million and had a weighted average annual interest rate at the time of 4.2%, exclusive of the fee on undrawn commitment on our Credit Facilities and upfront fees on the SBA debentures. This example is for illustrative purposes only, and actual interest rates on our Credit Facilities or any future borrowings are likely to fluctuate. The costs associated with our borrowings, including any increase in the management fee or incentive fee payable to our Investment Adviser, are and will be borne by our common stockholders.</w:t>
      </w:r>
    </w:p>
    <w:p>
      <w:pPr>
        <w:spacing w:after="0" w:line="11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September 30, 2019 of 53% of total assets (including such borrowed funds), at the current interest rate at the time of 4.2%,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1840" w:type="dxa"/>
            <w:vAlign w:val="bottom"/>
            <w:shd w:val="clear" w:color="auto" w:fill="CCECFF"/>
          </w:tcPr>
          <w:p>
            <w:pPr>
              <w:jc w:val="right"/>
              <w:ind w:right="488"/>
              <w:spacing w:after="0"/>
              <w:rPr>
                <w:sz w:val="20"/>
                <w:szCs w:val="20"/>
                <w:color w:val="auto"/>
              </w:rPr>
            </w:pPr>
            <w:r>
              <w:rPr>
                <w:rFonts w:ascii="Arial" w:cs="Arial" w:eastAsia="Arial" w:hAnsi="Arial"/>
                <w:sz w:val="14"/>
                <w:szCs w:val="14"/>
                <w:color w:val="auto"/>
              </w:rPr>
              <w:t>(10.0)%</w:t>
            </w:r>
          </w:p>
        </w:tc>
        <w:tc>
          <w:tcPr>
            <w:tcW w:w="1620" w:type="dxa"/>
            <w:vAlign w:val="bottom"/>
            <w:shd w:val="clear" w:color="auto" w:fill="CCECFF"/>
          </w:tcPr>
          <w:p>
            <w:pPr>
              <w:jc w:val="right"/>
              <w:ind w:right="528"/>
              <w:spacing w:after="0"/>
              <w:rPr>
                <w:sz w:val="20"/>
                <w:szCs w:val="20"/>
                <w:color w:val="auto"/>
              </w:rPr>
            </w:pPr>
            <w:r>
              <w:rPr>
                <w:rFonts w:ascii="Arial" w:cs="Arial" w:eastAsia="Arial" w:hAnsi="Arial"/>
                <w:sz w:val="14"/>
                <w:szCs w:val="14"/>
                <w:color w:val="auto"/>
              </w:rPr>
              <w:t>(5.0)%</w:t>
            </w:r>
          </w:p>
        </w:tc>
        <w:tc>
          <w:tcPr>
            <w:tcW w:w="162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CFF"/>
          </w:tcPr>
          <w:p>
            <w:pPr>
              <w:jc w:val="right"/>
              <w:ind w:right="508"/>
              <w:spacing w:after="0"/>
              <w:rPr>
                <w:sz w:val="20"/>
                <w:szCs w:val="20"/>
                <w:color w:val="auto"/>
              </w:rPr>
            </w:pPr>
            <w:r>
              <w:rPr>
                <w:rFonts w:ascii="Arial" w:cs="Arial" w:eastAsia="Arial" w:hAnsi="Arial"/>
                <w:sz w:val="14"/>
                <w:szCs w:val="14"/>
                <w:color w:val="auto"/>
              </w:rPr>
              <w:t>5.0%</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368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(27.1)%</w:t>
            </w:r>
          </w:p>
        </w:tc>
        <w:tc>
          <w:tcPr>
            <w:tcW w:w="1620" w:type="dxa"/>
            <w:vAlign w:val="bottom"/>
          </w:tcPr>
          <w:p>
            <w:pPr>
              <w:jc w:val="right"/>
              <w:ind w:right="528"/>
              <w:spacing w:after="0"/>
              <w:rPr>
                <w:sz w:val="20"/>
                <w:szCs w:val="20"/>
                <w:color w:val="auto"/>
              </w:rPr>
            </w:pPr>
            <w:r>
              <w:rPr>
                <w:rFonts w:ascii="Arial" w:cs="Arial" w:eastAsia="Arial" w:hAnsi="Arial"/>
                <w:sz w:val="14"/>
                <w:szCs w:val="14"/>
                <w:color w:val="auto"/>
              </w:rPr>
              <w:t>(16.1)%</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(5.0)%</w:t>
            </w:r>
          </w:p>
        </w:tc>
        <w:tc>
          <w:tcPr>
            <w:tcW w:w="1500" w:type="dxa"/>
            <w:vAlign w:val="bottom"/>
          </w:tcPr>
          <w:p>
            <w:pPr>
              <w:jc w:val="right"/>
              <w:ind w:right="508"/>
              <w:spacing w:after="0"/>
              <w:rPr>
                <w:sz w:val="20"/>
                <w:szCs w:val="20"/>
                <w:color w:val="auto"/>
              </w:rPr>
            </w:pPr>
            <w:r>
              <w:rPr>
                <w:rFonts w:ascii="Arial" w:cs="Arial" w:eastAsia="Arial" w:hAnsi="Arial"/>
                <w:sz w:val="14"/>
                <w:szCs w:val="14"/>
                <w:color w:val="auto"/>
              </w:rPr>
              <w:t>6.0%</w:t>
            </w:r>
          </w:p>
        </w:tc>
        <w:tc>
          <w:tcPr>
            <w:tcW w:w="980" w:type="dxa"/>
            <w:vAlign w:val="bottom"/>
          </w:tcPr>
          <w:p>
            <w:pPr>
              <w:jc w:val="right"/>
              <w:spacing w:after="0"/>
              <w:rPr>
                <w:sz w:val="20"/>
                <w:szCs w:val="20"/>
                <w:color w:val="auto"/>
              </w:rPr>
            </w:pPr>
            <w:r>
              <w:rPr>
                <w:rFonts w:ascii="Arial" w:cs="Arial" w:eastAsia="Arial" w:hAnsi="Arial"/>
                <w:sz w:val="14"/>
                <w:szCs w:val="14"/>
                <w:color w:val="auto"/>
              </w:rPr>
              <w:t>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3455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30"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80" w:right="220" w:hanging="372"/>
        <w:spacing w:after="0" w:line="255" w:lineRule="auto"/>
        <w:tabs>
          <w:tab w:leader="none" w:pos="380" w:val="left"/>
        </w:tabs>
        <w:numPr>
          <w:ilvl w:val="0"/>
          <w:numId w:val="35"/>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05" w:lineRule="exact"/>
        <w:rPr>
          <w:sz w:val="20"/>
          <w:szCs w:val="20"/>
          <w:color w:val="auto"/>
        </w:rPr>
      </w:pPr>
    </w:p>
    <w:p>
      <w:pPr>
        <w:ind w:right="520"/>
        <w:spacing w:after="0" w:line="25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93"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13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a result of the issuance of our SBA debentures and borrowings under our Credit Facilities,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136" w:lineRule="exact"/>
        <w:rPr>
          <w:sz w:val="20"/>
          <w:szCs w:val="20"/>
          <w:color w:val="auto"/>
        </w:rPr>
      </w:pPr>
    </w:p>
    <w:p>
      <w:pPr>
        <w:ind w:right="140" w:firstLine="438"/>
        <w:spacing w:after="0" w:line="283" w:lineRule="auto"/>
        <w:rPr>
          <w:sz w:val="20"/>
          <w:szCs w:val="20"/>
          <w:color w:val="auto"/>
        </w:rPr>
      </w:pPr>
      <w:r>
        <w:rPr>
          <w:rFonts w:ascii="Arial" w:cs="Arial" w:eastAsia="Arial" w:hAnsi="Arial"/>
          <w:sz w:val="12"/>
          <w:szCs w:val="12"/>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92" w:lineRule="exact"/>
        <w:rPr>
          <w:sz w:val="20"/>
          <w:szCs w:val="20"/>
          <w:color w:val="auto"/>
        </w:rPr>
      </w:pPr>
    </w:p>
    <w:p>
      <w:pPr>
        <w:ind w:right="280"/>
        <w:spacing w:after="0" w:line="253" w:lineRule="auto"/>
        <w:rPr>
          <w:sz w:val="20"/>
          <w:szCs w:val="20"/>
          <w:color w:val="auto"/>
        </w:rPr>
      </w:pPr>
      <w:r>
        <w:rPr>
          <w:rFonts w:ascii="Arial" w:cs="Arial" w:eastAsia="Arial" w:hAnsi="Arial"/>
          <w:sz w:val="14"/>
          <w:szCs w:val="14"/>
          <w:b w:val="1"/>
          <w:bCs w:val="1"/>
          <w:i w:val="1"/>
          <w:iCs w:val="1"/>
          <w:color w:val="auto"/>
        </w:rPr>
        <w:t>A downgrade, suspension or withdrawal of the credit rating assigned by a rating agency to us or our 2024 Notes, if any, or change in the debt markets could cause the liquidity or market value of our 2024 Notes to decline significantly.</w:t>
      </w:r>
    </w:p>
    <w:p>
      <w:pPr>
        <w:spacing w:after="0" w:line="93"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Our credit ratings are an assessment by rating agencies of our ability to pay our debts when due. Consequently, real or anticipated changes in our credit ratings will generally affect the market value of our 2024 Notes. Our credit ratings may not reflect the potential impact of risks relating to the structure or marketing of our 2024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2024 Notes of any changes in our credit ratings. There can be no assurance that our credit ratings will remain for any given period of time or that such credit ratings will not be lowered or withdrawn entirely by any of the rating agencies if in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34"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Our Credit Facilities mature in May 2022 and September 2024, respectively, and our 2024 Notes mature in October 2024. Additionally, our SBA debentures mature between March 2026 and March 2028. We utilize proceeds from the Credit Facilities, our 2024 Notes and our SBA debentures to make investments in our portfolio companies. The duration of many of our investments exceeds the duration of our indebtedness under our Credit Facilities, our 2024 Notes and certain of our SBA debentures. This means that we will have to extend the maturity of our Credit Facilities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renew or refinance our Credit Facilities, our 2024 Notes and our SBA debentures on terms as favorable as those in our existing indebtedness. If we fail to extend or refinance the indebtedness by the time it becomes due and payable, holders of the debt and/or the administrative agent may elect to exercise various remedies, including the sale of all or a portion 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136" w:lineRule="exact"/>
        <w:rPr>
          <w:sz w:val="20"/>
          <w:szCs w:val="20"/>
          <w:color w:val="auto"/>
        </w:rPr>
      </w:pPr>
    </w:p>
    <w:p>
      <w:pPr>
        <w:ind w:right="80" w:firstLine="438"/>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04"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1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16" w:lineRule="exact"/>
        <w:rPr>
          <w:sz w:val="20"/>
          <w:szCs w:val="20"/>
          <w:color w:val="auto"/>
        </w:rPr>
      </w:pPr>
    </w:p>
    <w:p>
      <w:pPr>
        <w:jc w:val="both"/>
        <w:ind w:right="500" w:firstLine="438"/>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136"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 In addition, the costs related to cyber or other security threats or disruptions may not be fully insured or indemnified by other means. Furthermore,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123"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Facilities,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Facilities. This is expected to mitigate volatility in our earnings and NAV. As a result of these factors, results for any period should not be relied upon as being indicative of performance in future periods.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13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123" w:lineRule="exact"/>
        <w:rPr>
          <w:sz w:val="20"/>
          <w:szCs w:val="20"/>
          <w:color w:val="auto"/>
        </w:rPr>
      </w:pPr>
    </w:p>
    <w:p>
      <w:pPr>
        <w:jc w:val="both"/>
        <w:ind w:right="200" w:firstLine="438"/>
        <w:spacing w:after="0" w:line="231"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NAV and market value of our common stock may become more volatile.</w:t>
      </w:r>
    </w:p>
    <w:p>
      <w:pPr>
        <w:spacing w:after="0" w:line="136"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98" w:lineRule="exact"/>
        <w:rPr>
          <w:sz w:val="20"/>
          <w:szCs w:val="20"/>
          <w:color w:val="auto"/>
        </w:rPr>
      </w:pPr>
    </w:p>
    <w:p>
      <w:pPr>
        <w:ind w:right="100" w:firstLine="438"/>
        <w:spacing w:after="0" w:line="228"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136"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factors include the following:</w:t>
      </w:r>
    </w:p>
    <w:p>
      <w:pPr>
        <w:spacing w:after="0" w:line="136" w:lineRule="exact"/>
        <w:rPr>
          <w:sz w:val="20"/>
          <w:szCs w:val="20"/>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36" w:lineRule="exact"/>
        <w:rPr>
          <w:sz w:val="20"/>
          <w:szCs w:val="20"/>
          <w:color w:val="auto"/>
        </w:rPr>
      </w:pPr>
    </w:p>
    <w:p>
      <w:pPr>
        <w:ind w:right="200" w:firstLine="438"/>
        <w:spacing w:after="0" w:line="290" w:lineRule="auto"/>
        <w:rPr>
          <w:sz w:val="20"/>
          <w:szCs w:val="20"/>
          <w:color w:val="auto"/>
        </w:rPr>
      </w:pPr>
      <w:r>
        <w:rPr>
          <w:rFonts w:ascii="Arial" w:cs="Arial" w:eastAsia="Arial" w:hAnsi="Arial"/>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12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02"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136"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and has implemented certain appeals.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or those of our portfolio companies may adversely affect our business.</w:t>
      </w:r>
    </w:p>
    <w:p>
      <w:pPr>
        <w:spacing w:after="0" w:line="123" w:lineRule="exact"/>
        <w:rPr>
          <w:sz w:val="20"/>
          <w:szCs w:val="20"/>
          <w:color w:val="auto"/>
        </w:rPr>
      </w:pPr>
    </w:p>
    <w:p>
      <w:pPr>
        <w:ind w:right="120" w:firstLine="438"/>
        <w:spacing w:after="0" w:line="244" w:lineRule="auto"/>
        <w:rPr>
          <w:sz w:val="20"/>
          <w:szCs w:val="20"/>
          <w:color w:val="auto"/>
        </w:rPr>
      </w:pPr>
      <w:r>
        <w:rPr>
          <w:rFonts w:ascii="Arial" w:cs="Arial" w:eastAsia="Arial" w:hAnsi="Arial"/>
          <w:sz w:val="13"/>
          <w:szCs w:val="13"/>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In particular, on December 22, 2017, the Tax Cuts and Jobs Act was signed into law. This tax legislation lowers the general corporate income tax rate from 35 percent to 21 percent, makes changes regarding the use of net operating losses, repeals the corporate alternative minimum tax and makes significant changes with respect to the U.S. international tax rules. In addition, the legislation generally requires a holder that uses the accrual method of accounting for U.S. tax purposes to include certain amounts in income no later than the time such amounts are reflected on certain financial statements, which therefore if applicable would require us to accrue income earlier than under prior law, although the precise application of this rule is un-clear at this time. The legislation also limits the amount or value of interest deductions of borrowers and in that way may potentially affect the loan market and our and our portfolio companies’ use of leverage. For individual taxpayers, the legislation reduces the maximum individual income tax rate and eliminates the deductibility of miscellaneous itemized deductions for taxable years 2018 through 2025. The impact of this new legislation is uncertain. See “Business—Regulation”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Uncertainty about presidential administration initiatives could negatively impact our business, financial condition and results of operations.</w:t>
      </w:r>
    </w:p>
    <w:p>
      <w:pPr>
        <w:spacing w:after="0" w:line="136"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117"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9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40"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93"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Facilities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borrowings under our Credit Facilities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11"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13"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123"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15"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7" w:lineRule="exact"/>
        <w:rPr>
          <w:sz w:val="20"/>
          <w:szCs w:val="20"/>
          <w:color w:val="auto"/>
        </w:rPr>
      </w:pPr>
    </w:p>
    <w:p>
      <w:pPr>
        <w:ind w:right="180" w:firstLine="438"/>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Our borrowings under our Credit Facilities are collateralized by the assets in our investment portfolio (excluding assets held by SBIC II).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7"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Facilities.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over-the-counter securities, which have and may continue to face liquidity constraints, to provide us with liquidity.</w:t>
      </w:r>
    </w:p>
    <w:p>
      <w:pPr>
        <w:spacing w:after="0" w:line="136" w:lineRule="exact"/>
        <w:rPr>
          <w:sz w:val="20"/>
          <w:szCs w:val="20"/>
          <w:color w:val="auto"/>
        </w:rPr>
      </w:pPr>
    </w:p>
    <w:p>
      <w:pPr>
        <w:ind w:right="420" w:firstLine="438"/>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intend to invest primarily in first lien secured debt, second lien secured debt, subordinated debt and selected equity investments issued by U.S. and foreign middle-market companies.</w:t>
      </w:r>
    </w:p>
    <w:p>
      <w:pPr>
        <w:spacing w:after="0" w:line="148" w:lineRule="exact"/>
        <w:rPr>
          <w:sz w:val="20"/>
          <w:szCs w:val="20"/>
          <w:color w:val="auto"/>
        </w:rPr>
      </w:pPr>
    </w:p>
    <w:p>
      <w:pPr>
        <w:ind w:left="920" w:right="20" w:hanging="359"/>
        <w:spacing w:after="0" w:line="227" w:lineRule="auto"/>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First Lien Secured Debt: </w:t>
      </w:r>
      <w:r>
        <w:rPr>
          <w:rFonts w:ascii="Arial" w:cs="Arial" w:eastAsia="Arial" w:hAnsi="Arial"/>
          <w:sz w:val="14"/>
          <w:szCs w:val="14"/>
          <w:color w:val="auto"/>
        </w:rPr>
        <w:t>When we extend first lien secured debt, we will generally take a security interest in the available assets of these portfolio companies, including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118" w:lineRule="exact"/>
        <w:rPr>
          <w:rFonts w:ascii="Arial" w:cs="Arial" w:eastAsia="Arial" w:hAnsi="Arial"/>
          <w:sz w:val="14"/>
          <w:szCs w:val="14"/>
          <w:color w:val="auto"/>
        </w:rPr>
      </w:pPr>
    </w:p>
    <w:p>
      <w:pPr>
        <w:ind w:left="920" w:right="60" w:hanging="359"/>
        <w:spacing w:after="0" w:line="229" w:lineRule="auto"/>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Second Lien Secured Debt: </w:t>
      </w:r>
      <w:r>
        <w:rPr>
          <w:rFonts w:ascii="Arial" w:cs="Arial" w:eastAsia="Arial" w:hAnsi="Arial"/>
          <w:sz w:val="14"/>
          <w:szCs w:val="14"/>
          <w:color w:val="auto"/>
        </w:rPr>
        <w:t>Our second lien secured debt usually ranks junior in priority of payment to first lien secured debt. Second lien secured debt holds a second priority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117" w:lineRule="exact"/>
        <w:rPr>
          <w:rFonts w:ascii="Arial" w:cs="Arial" w:eastAsia="Arial" w:hAnsi="Arial"/>
          <w:sz w:val="14"/>
          <w:szCs w:val="14"/>
          <w:color w:val="auto"/>
        </w:rPr>
      </w:pPr>
    </w:p>
    <w:p>
      <w:pPr>
        <w:ind w:left="920" w:hanging="359"/>
        <w:spacing w:after="0" w:line="229" w:lineRule="auto"/>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Subordinated Debt: </w:t>
      </w:r>
      <w:r>
        <w:rPr>
          <w:rFonts w:ascii="Arial" w:cs="Arial" w:eastAsia="Arial" w:hAnsi="Arial"/>
          <w:sz w:val="14"/>
          <w:szCs w:val="14"/>
          <w:color w:val="auto"/>
        </w:rPr>
        <w:t>Our subordinated debt usually ranks junior in priority of payment to first lien secured debt and second lien secured debt, and are often unsecured. As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117" w:lineRule="exact"/>
        <w:rPr>
          <w:rFonts w:ascii="Arial" w:cs="Arial" w:eastAsia="Arial" w:hAnsi="Arial"/>
          <w:sz w:val="14"/>
          <w:szCs w:val="14"/>
          <w:color w:val="auto"/>
        </w:rPr>
      </w:pPr>
    </w:p>
    <w:p>
      <w:pPr>
        <w:ind w:left="920" w:right="60" w:hanging="359"/>
        <w:spacing w:after="0" w:line="247" w:lineRule="auto"/>
        <w:tabs>
          <w:tab w:leader="none" w:pos="920" w:val="left"/>
        </w:tabs>
        <w:numPr>
          <w:ilvl w:val="0"/>
          <w:numId w:val="3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7" w:name="page28"/>
    <w:bookmarkEnd w:id="27"/>
    <w:p>
      <w:pPr>
        <w:ind w:left="44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23" w:lineRule="exact"/>
        <w:rPr>
          <w:sz w:val="20"/>
          <w:szCs w:val="20"/>
          <w:color w:val="auto"/>
        </w:rPr>
      </w:pPr>
    </w:p>
    <w:p>
      <w:pPr>
        <w:ind w:left="920" w:right="520" w:hanging="359"/>
        <w:spacing w:after="0" w:line="238"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15" w:lineRule="exact"/>
        <w:rPr>
          <w:rFonts w:ascii="Arial" w:cs="Arial" w:eastAsia="Arial" w:hAnsi="Arial"/>
          <w:sz w:val="14"/>
          <w:szCs w:val="14"/>
          <w:color w:val="auto"/>
        </w:rPr>
      </w:pPr>
    </w:p>
    <w:p>
      <w:pPr>
        <w:ind w:left="920" w:right="60" w:hanging="359"/>
        <w:spacing w:after="0" w:line="335" w:lineRule="auto"/>
        <w:tabs>
          <w:tab w:leader="none" w:pos="9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60" w:lineRule="exact"/>
        <w:rPr>
          <w:rFonts w:ascii="Arial" w:cs="Arial" w:eastAsia="Arial" w:hAnsi="Arial"/>
          <w:sz w:val="12"/>
          <w:szCs w:val="12"/>
          <w:color w:val="auto"/>
        </w:rPr>
      </w:pPr>
    </w:p>
    <w:p>
      <w:pPr>
        <w:ind w:left="920" w:right="340" w:hanging="359"/>
        <w:spacing w:after="0" w:line="253"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6" w:lineRule="exact"/>
        <w:rPr>
          <w:rFonts w:ascii="Arial" w:cs="Arial" w:eastAsia="Arial" w:hAnsi="Arial"/>
          <w:sz w:val="14"/>
          <w:szCs w:val="14"/>
          <w:color w:val="auto"/>
        </w:rPr>
      </w:pPr>
    </w:p>
    <w:p>
      <w:pPr>
        <w:ind w:left="920" w:right="200" w:hanging="359"/>
        <w:spacing w:after="0" w:line="264" w:lineRule="auto"/>
        <w:tabs>
          <w:tab w:leader="none" w:pos="9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100" w:lineRule="exact"/>
        <w:rPr>
          <w:rFonts w:ascii="Arial" w:cs="Arial" w:eastAsia="Arial" w:hAnsi="Arial"/>
          <w:sz w:val="13"/>
          <w:szCs w:val="13"/>
          <w:color w:val="auto"/>
        </w:rPr>
      </w:pPr>
    </w:p>
    <w:p>
      <w:pPr>
        <w:ind w:left="920" w:right="380" w:hanging="359"/>
        <w:spacing w:after="0" w:line="253"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106"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10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7"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123"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6"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136" w:lineRule="exact"/>
        <w:rPr>
          <w:sz w:val="20"/>
          <w:szCs w:val="20"/>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8" w:name="page29"/>
    <w:bookmarkEnd w:id="28"/>
    <w:p>
      <w:pPr>
        <w:ind w:right="100" w:firstLine="438"/>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103"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0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17" w:lineRule="exact"/>
        <w:rPr>
          <w:sz w:val="20"/>
          <w:szCs w:val="20"/>
          <w:color w:val="auto"/>
        </w:rPr>
      </w:pPr>
    </w:p>
    <w:p>
      <w:pPr>
        <w:ind w:right="38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4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invest primarily in first lien secured debt, second lien secured debt and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136"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123"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9"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Facilities’ multicurrency capability to minimize these risks, but we can offer no assurance that we will, in fact, hedge currency risk or, that if we do, such strategies will be effective.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34"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13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7"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136" w:lineRule="exact"/>
        <w:rPr>
          <w:sz w:val="20"/>
          <w:szCs w:val="20"/>
          <w:color w:val="auto"/>
        </w:rPr>
      </w:pPr>
    </w:p>
    <w:p>
      <w:pPr>
        <w:ind w:right="20" w:firstLine="438"/>
        <w:spacing w:after="0" w:line="277"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27"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15"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15"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04"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136"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123" w:lineRule="exact"/>
        <w:rPr>
          <w:sz w:val="20"/>
          <w:szCs w:val="20"/>
          <w:color w:val="auto"/>
        </w:rPr>
      </w:pPr>
    </w:p>
    <w:p>
      <w:pPr>
        <w:ind w:right="160" w:firstLine="438"/>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136" w:lineRule="exact"/>
        <w:rPr>
          <w:sz w:val="20"/>
          <w:szCs w:val="20"/>
          <w:color w:val="auto"/>
        </w:rPr>
      </w:pPr>
    </w:p>
    <w:p>
      <w:pPr>
        <w:ind w:right="480" w:firstLine="438"/>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123"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$6.27 and $7.46 on September 30, 2019 and 2018, respectively. Our NAV per share was $8.68 and $9.11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136"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93" w:lineRule="exact"/>
        <w:rPr>
          <w:sz w:val="20"/>
          <w:szCs w:val="20"/>
          <w:color w:val="auto"/>
        </w:rPr>
      </w:pPr>
    </w:p>
    <w:p>
      <w:pPr>
        <w:ind w:left="920" w:hanging="359"/>
        <w:spacing w:after="0" w:line="253" w:lineRule="auto"/>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BDCs or SBICs;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loss of our BDC or RIC status or any loss of our subsidiaries’ SBIC licenses;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136"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Facilities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SBA also limits an SBIC’s choices to invest idle funds to the following types of securities:</w:t>
      </w:r>
    </w:p>
    <w:p>
      <w:pPr>
        <w:spacing w:after="0" w:line="136" w:lineRule="exact"/>
        <w:rPr>
          <w:sz w:val="20"/>
          <w:szCs w:val="20"/>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direct obligations of, or obligations guaranteed as to principal and interest by, the U.S. government, which mature within 15 months from the date of the investment;</w:t>
      </w:r>
    </w:p>
    <w:p>
      <w:pPr>
        <w:spacing w:after="0" w:line="136" w:lineRule="exact"/>
        <w:rPr>
          <w:rFonts w:ascii="Arial" w:cs="Arial" w:eastAsia="Arial" w:hAnsi="Arial"/>
          <w:sz w:val="14"/>
          <w:szCs w:val="14"/>
          <w:color w:val="auto"/>
        </w:rPr>
      </w:pPr>
    </w:p>
    <w:p>
      <w:pPr>
        <w:ind w:left="920" w:right="20" w:hanging="359"/>
        <w:spacing w:after="0" w:line="253" w:lineRule="auto"/>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a withdrawal restriction of one year or less.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12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34"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9"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16"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2024 Notes are unsecured and therefore are effectively subordinated to any secured indebtedness we have currently incurred or may incur in the future.</w:t>
      </w:r>
    </w:p>
    <w:p>
      <w:pPr>
        <w:spacing w:after="0" w:line="136"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The 2024 Notes are not secured by any of our assets or any of the assets of our subsidiaries. As a result, the 2024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2024 Notes. As of September 30, 2019 and 2018, we had $301.6 million and $80.5 million (including a $2.0 million temporary draw), respectively, in outstanding borrowings under the SunTrust Credit Facility. The SunTrust Credit Facility is secured by substantially all of our assets excluding assets held by Funding I and SBIC II. As of September 30, 2019, Funding I had $171.0 million in outstanding borrowings under the BNP Credit Facility. The BNP Credit Facility is secured by all of our assets held by Funding I. The indebtedness under the Credit Facilities is therefore effectively senior in right of payment to our 2024 Notes to the extent of the value of such assets.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2024 Notes are structurally subordinated to the indebtedness and other liabilities of our subsidiaries.</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The 2024 Notes are obligations exclusively of PennantPark Investment Corporation and not of any of our subsidiaries. None of our subsidiaries is or acts as a guarantor of the 2024 Notes and the 2024 Notes are not required to be guaranteed by any subsidiaries we may acquire or create in the future. Our secured indebtedness with respect to the SBA debentures is held through SBIC II. The assets of any such subsidiaries are not directly available to satisfy the claims of our creditors, including holders of our 2024 Notes.</w:t>
      </w:r>
    </w:p>
    <w:p>
      <w:pPr>
        <w:spacing w:after="0" w:line="115"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2024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2024 Notes are structurally subordinated to all indebtedness and other liabilities (including trade payables) of our subsidiaries and any subsidiaries that we may in the future acquire or establish as financing vehicles or otherwise. As of September 30, 2019 and 2018, our SBIC Funds had $150 million and $300.0 million in debt commitments, respectively, of which $150.0 million and $180.0 million was drawn. As of September 30, 2019, Funding I had $171.0 million in outstanding borrowings under the BNP Credit Facility. All of such indebtedness is structurally senior to the 2024 Notes. In addition, our subsidiaries may incur substantial additional indebtedness in the future, all of which would be structurally senior to the 2024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The indenture under which the 2024 Notes were issued contains limited protection for their respective holders.</w:t>
      </w:r>
    </w:p>
    <w:p>
      <w:pPr>
        <w:spacing w:after="0" w:line="123" w:lineRule="exact"/>
        <w:rPr>
          <w:sz w:val="20"/>
          <w:szCs w:val="20"/>
          <w:color w:val="auto"/>
        </w:rPr>
      </w:pPr>
    </w:p>
    <w:p>
      <w:pPr>
        <w:jc w:val="both"/>
        <w:ind w:right="220" w:firstLine="438"/>
        <w:spacing w:after="0" w:line="238" w:lineRule="auto"/>
        <w:rPr>
          <w:sz w:val="20"/>
          <w:szCs w:val="20"/>
          <w:color w:val="auto"/>
        </w:rPr>
      </w:pPr>
      <w:r>
        <w:rPr>
          <w:rFonts w:ascii="Arial" w:cs="Arial" w:eastAsia="Arial" w:hAnsi="Arial"/>
          <w:sz w:val="14"/>
          <w:szCs w:val="14"/>
          <w:color w:val="auto"/>
        </w:rPr>
        <w:t>The indenture under which the 2024 Notes were issued offers limited protection to holders. The terms of the indenture and the 2024 Notes do not restrict our or any of our subsidiaries’ ability to engage in, or otherwise be a party to, a variety of corporate transactions, circumstances or events that could have an adverse impact on each holder’s investment in the 2024 Notes. In particular, the terms of the indenture and the 2024 Notes will not place any restrictions on our or our subsidiaries’ ability to:</w:t>
      </w:r>
    </w:p>
    <w:p>
      <w:pPr>
        <w:spacing w:after="0" w:line="115" w:lineRule="exact"/>
        <w:rPr>
          <w:sz w:val="20"/>
          <w:szCs w:val="20"/>
          <w:color w:val="auto"/>
        </w:rPr>
      </w:pPr>
    </w:p>
    <w:p>
      <w:pPr>
        <w:ind w:left="920" w:right="60" w:hanging="359"/>
        <w:spacing w:after="0" w:line="247" w:lineRule="auto"/>
        <w:tabs>
          <w:tab w:leader="none" w:pos="9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issue securities or otherwise incur additional indebtedness or other obligations, including (1) any indebtedness or other obligations that would be equal in right of payment to the 2024 Notes, (2) any indebtedness or other obligations that would be secured and therefore rank effectively senior in right of payment to the 2024 Notes to the extent of the values of the assets securing such debt, (3) indebtedness of ours that is guaranteed by one or more of our subsidiaries and which therefore would rank structurally senior to the 2024 Notes and (4) securities, indebtedness or other obligations issued or incurred by our subsidiaries that would be senior in right of payment to our equity interests in our subsidiaries and therefore would rank structurally senior in right of payment to the 2024 Notes with respect to the assets of our subsidiaries, in each case other than an incurrence of indebtedness or other obligation that would cause a violation of Section 18(a)(1)(A) of the 1940 Act as modified by Section 61(a)(1) and (2) of the 1940 Act or any successor provisions, as such obligations may be amended or superseded, giving effect to any exemptive relief granted to us by the SEC;</w:t>
      </w:r>
    </w:p>
    <w:p>
      <w:pPr>
        <w:spacing w:after="0" w:line="111" w:lineRule="exact"/>
        <w:rPr>
          <w:rFonts w:ascii="Arial" w:cs="Arial" w:eastAsia="Arial" w:hAnsi="Arial"/>
          <w:sz w:val="13"/>
          <w:szCs w:val="13"/>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pay dividends on, or purchase or redeem or make any payments in respect of, capital stock or other securities ranking junior in right of payment to the 2024 Notes;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sell assets (other than certain limited restrictions on our ability to consolidate, merge or sell all or substantially all of our assets);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create liens (including liens on the shares of our subsidiaries) or enter into sale and leaseback transactions;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make investments;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create restrictions on the payment of dividends or other amounts to us from our subsidiaries.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the indenture will not require us to offer to purchase the Notes in connection with a change of control or any other event.</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Furthermore, the terms of the indenture and the 2024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02"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Our ability to recapitalize, incur additional debt and take a number of other actions that are not limited by the terms of the 2024 Notes may have important consequences for their holders, including making it more difficult for us to satisfy our obligations with respect to the 2024 Notes or negatively affecting their trading value.</w:t>
      </w:r>
    </w:p>
    <w:p>
      <w:pPr>
        <w:spacing w:after="0" w:line="106"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Certain of our current debt instruments include more protections for their respective holders than the indenture and the 2024 Notes. In addition, other debt we issue or incur in the future could contain more protections for its holders than the indenture and the 2024 Notes, including additional covenants and events of default. The issuance or incurrence of any such debt with incremental protections could affect the market for and trading levels and prices of the 2024 Notes.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optional redemption provision may materially adversely affect your return on the 2024 Notes.</w:t>
      </w:r>
    </w:p>
    <w:p>
      <w:pPr>
        <w:spacing w:after="0" w:line="123"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The 2024 Notes will be redeemable in whole or in part upon certain conditions at any time, or from time to time, at our option on or after October 15, 2021. We may choose to redeem the 2024 Notes at times when prevailing interest rates are lower than the interest rate paid on the Notes. In this circumstance, you may not be able to reinvest the redemption proceeds in a comparable security at an effective interest rate as high as the 2024 Notes being redeemed.</w:t>
      </w:r>
    </w:p>
    <w:p>
      <w:pPr>
        <w:spacing w:after="0" w:line="115" w:lineRule="exact"/>
        <w:rPr>
          <w:sz w:val="20"/>
          <w:szCs w:val="20"/>
          <w:color w:val="auto"/>
        </w:rPr>
      </w:pPr>
    </w:p>
    <w:p>
      <w:pPr>
        <w:ind w:right="200"/>
        <w:spacing w:after="0" w:line="290" w:lineRule="auto"/>
        <w:rPr>
          <w:sz w:val="20"/>
          <w:szCs w:val="20"/>
          <w:color w:val="auto"/>
        </w:rPr>
      </w:pPr>
      <w:r>
        <w:rPr>
          <w:rFonts w:ascii="Arial" w:cs="Arial" w:eastAsia="Arial" w:hAnsi="Arial"/>
          <w:sz w:val="13"/>
          <w:szCs w:val="13"/>
          <w:b w:val="1"/>
          <w:bCs w:val="1"/>
          <w:i w:val="1"/>
          <w:iCs w:val="1"/>
          <w:color w:val="auto"/>
        </w:rPr>
        <w:t>An active trading market for the 2024 Notes may not develop or be maintained, which could limit their market price or the ability of their respective holders to sell them. If a rating agency assigns the 2024 Notes a non-investment grade rating, they may be subject to greater price volatility than similar securities without such a rating.</w:t>
      </w:r>
    </w:p>
    <w:p>
      <w:pPr>
        <w:spacing w:after="0" w:line="84"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Although the 2024 Notes are listed on The Nasdaq Global Select Market under the symbol “PNNTG,” we cannot provide any assurances that an active trading market will develop for the 2024 Notes or that their holders will be able to sell them. The 2024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2024 Notes a non-investment grade rating, they may be subject to greater price volatility than securities of similar maturity without such a non-investment grade rating. We cannot assure holders of the 2024 Notes that a liquid trading market will develop for them, that holders will be able to sell their 2024 Notes at a particular time or that the price holders receive upon such sale will be favorable. To the extent an active trading market does not develop, the liquidity and trading price for our 2024 Notes may be harmed. Accordingly, holders of the 2024 Notes may be required to bear the financial risk for an indefinite period of time.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default on our obligations to pay our other indebtedness, we may not be able to make payments on the 2024 Notes.</w:t>
      </w:r>
    </w:p>
    <w:p>
      <w:pPr>
        <w:spacing w:after="0" w:line="136"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Any default under the agreements governing our indebtedness, including a default under our Credit Facilities or under other indebtedness to which we may be a party that is not waived by the required lenders or holders, and the remedies sought by the holders of such indebtedness could make us unable to pay principal, premium, if any, and interest on the 2024 Notes and substantially decrease the market value of the 2024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Facilities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Facilities or other debt that we may incur in the future to avoid being in default. If we breach our covenants under our Credit Facilities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Facilities, could proceed against the collateral securing the debt. Because our Credit Facilities have, and any future debt will likely have, customary cross-default provisions, if the indebtedness thereunder or under any future credit facility is accelerated, we may be unable to repay or finance the amounts due.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i w:val="1"/>
          <w:iCs w:val="1"/>
          <w:color w:val="auto"/>
        </w:rPr>
        <w:t>FATCA withholding may apply to payments to certain foreign entities.</w:t>
      </w:r>
    </w:p>
    <w:p>
      <w:pPr>
        <w:spacing w:after="0" w:line="123"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Payments made under the 2024 Notes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2024 Notes as well as scheduled payments of principal, early redemption, or sale of the 2024 Notes,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as well as any proceeds from the sale or other disposition of the notes. Holders of the 2024 Notes should consult their own tax advisors regarding FATCA and how it may affect their investment in the notes.</w:t>
      </w:r>
    </w:p>
    <w:p>
      <w:pPr>
        <w:spacing w:after="0" w:line="10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40"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As of September 30, 2019,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36"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PRICE RANGE OF COMMON STOCK</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common stock is traded on The Nasdaq Global Select Market under the symbol “PNNT.”</w:t>
      </w:r>
    </w:p>
    <w:p>
      <w:pPr>
        <w:spacing w:after="0" w:line="136" w:lineRule="exact"/>
        <w:rPr>
          <w:sz w:val="20"/>
          <w:szCs w:val="20"/>
          <w:color w:val="auto"/>
        </w:rPr>
      </w:pPr>
    </w:p>
    <w:p>
      <w:pPr>
        <w:ind w:right="240" w:firstLine="438"/>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$6.27 and $7.46 as of September 30, 2019 and 2018, respectively. Our NAV per share was $8.68 and $9.11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21, 2019, we had 10 stockholders of record.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year ended September 30, 2019.</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Repurchases of our common stock under our share repurchase program during the year ended September 30, 2019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40" w:type="dxa"/>
            <w:vAlign w:val="bottom"/>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40" w:type="dxa"/>
            <w:vAlign w:val="bottom"/>
          </w:tcPr>
          <w:p>
            <w:pPr>
              <w:spacing w:after="0"/>
              <w:rPr>
                <w:sz w:val="12"/>
                <w:szCs w:val="12"/>
                <w:color w:val="auto"/>
              </w:rPr>
            </w:pP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8"/>
        </w:trPr>
        <w:tc>
          <w:tcPr>
            <w:tcW w:w="38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Period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240" w:type="dxa"/>
            <w:vAlign w:val="bottom"/>
          </w:tcPr>
          <w:p>
            <w:pPr>
              <w:spacing w:after="0"/>
              <w:rPr>
                <w:sz w:val="12"/>
                <w:szCs w:val="12"/>
                <w:color w:val="auto"/>
              </w:rPr>
            </w:pPr>
          </w:p>
        </w:tc>
        <w:tc>
          <w:tcPr>
            <w:tcW w:w="2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per Share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12"/>
                <w:szCs w:val="12"/>
                <w:b w:val="1"/>
                <w:bCs w:val="1"/>
                <w:color w:val="auto"/>
                <w:w w:val="94"/>
              </w:rPr>
              <w:t>(1)</w:t>
            </w:r>
          </w:p>
        </w:tc>
        <w:tc>
          <w:tcPr>
            <w:tcW w:w="240" w:type="dxa"/>
            <w:vAlign w:val="bottom"/>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or Programs (in millions)</w:t>
            </w:r>
          </w:p>
        </w:tc>
        <w:tc>
          <w:tcPr>
            <w:tcW w:w="0" w:type="dxa"/>
            <w:vAlign w:val="bottom"/>
          </w:tcPr>
          <w:p>
            <w:pPr>
              <w:spacing w:after="0"/>
              <w:rPr>
                <w:sz w:val="1"/>
                <w:szCs w:val="1"/>
                <w:color w:val="auto"/>
              </w:rPr>
            </w:pPr>
          </w:p>
        </w:tc>
      </w:tr>
      <w:tr>
        <w:trPr>
          <w:trHeight w:val="156"/>
        </w:trPr>
        <w:tc>
          <w:tcPr>
            <w:tcW w:w="3680" w:type="dxa"/>
            <w:vAlign w:val="bottom"/>
            <w:tcBorders>
              <w:top w:val="single" w:sz="8" w:color="auto"/>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October 1, 2018 through October 31, 2018</w:t>
            </w:r>
          </w:p>
        </w:tc>
        <w:tc>
          <w:tcPr>
            <w:tcW w:w="140" w:type="dxa"/>
            <w:vAlign w:val="bottom"/>
            <w:tcBorders>
              <w:top w:val="single" w:sz="8" w:color="CCECFF"/>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N/A</w:t>
            </w:r>
          </w:p>
        </w:tc>
        <w:tc>
          <w:tcPr>
            <w:tcW w:w="260" w:type="dxa"/>
            <w:vAlign w:val="bottom"/>
            <w:tcBorders>
              <w:top w:val="single" w:sz="8" w:color="CCECFF"/>
            </w:tcBorders>
            <w:shd w:val="clear" w:color="auto" w:fill="CCECFF"/>
          </w:tcPr>
          <w:p>
            <w:pPr>
              <w:spacing w:after="0"/>
              <w:rPr>
                <w:sz w:val="13"/>
                <w:szCs w:val="13"/>
                <w:color w:val="auto"/>
              </w:rPr>
            </w:pPr>
          </w:p>
        </w:tc>
        <w:tc>
          <w:tcPr>
            <w:tcW w:w="1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ind w:left="260"/>
              <w:spacing w:after="0"/>
              <w:rPr>
                <w:sz w:val="20"/>
                <w:szCs w:val="20"/>
                <w:color w:val="auto"/>
              </w:rPr>
            </w:pPr>
            <w:r>
              <w:rPr>
                <w:rFonts w:ascii="Arial" w:cs="Arial" w:eastAsia="Arial" w:hAnsi="Arial"/>
                <w:sz w:val="14"/>
                <w:szCs w:val="14"/>
                <w:color w:val="auto"/>
              </w:rPr>
              <w:t>November 1, 2018 through November 30, 2018</w:t>
            </w:r>
          </w:p>
        </w:tc>
        <w:tc>
          <w:tcPr>
            <w:tcW w:w="1200" w:type="dxa"/>
            <w:vAlign w:val="bottom"/>
          </w:tcPr>
          <w:p>
            <w:pPr>
              <w:jc w:val="right"/>
              <w:spacing w:after="0"/>
              <w:rPr>
                <w:sz w:val="20"/>
                <w:szCs w:val="20"/>
                <w:color w:val="auto"/>
              </w:rPr>
            </w:pPr>
            <w:r>
              <w:rPr>
                <w:rFonts w:ascii="Arial" w:cs="Arial" w:eastAsia="Arial" w:hAnsi="Arial"/>
                <w:sz w:val="14"/>
                <w:szCs w:val="14"/>
                <w:color w:val="auto"/>
              </w:rPr>
              <w:t>464,543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7.33</w:t>
            </w:r>
          </w:p>
        </w:tc>
        <w:tc>
          <w:tcPr>
            <w:tcW w:w="2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464,543</w:t>
            </w:r>
          </w:p>
        </w:tc>
        <w:tc>
          <w:tcPr>
            <w:tcW w:w="226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December 1, 2018 through December 31, 2018</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561,878</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7.28</w:t>
            </w:r>
          </w:p>
        </w:tc>
        <w:tc>
          <w:tcPr>
            <w:tcW w:w="260" w:type="dxa"/>
            <w:vAlign w:val="bottom"/>
            <w:shd w:val="clear" w:color="auto" w:fill="CCECFF"/>
          </w:tcPr>
          <w:p>
            <w:pPr>
              <w:spacing w:after="0"/>
              <w:rPr>
                <w:sz w:val="14"/>
                <w:szCs w:val="14"/>
                <w:color w:val="auto"/>
              </w:rPr>
            </w:pPr>
          </w:p>
        </w:tc>
        <w:tc>
          <w:tcPr>
            <w:tcW w:w="1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561,878</w:t>
            </w:r>
          </w:p>
        </w:tc>
        <w:tc>
          <w:tcPr>
            <w:tcW w:w="22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ind w:left="260"/>
              <w:spacing w:after="0"/>
              <w:rPr>
                <w:sz w:val="20"/>
                <w:szCs w:val="20"/>
                <w:color w:val="auto"/>
              </w:rPr>
            </w:pPr>
            <w:r>
              <w:rPr>
                <w:rFonts w:ascii="Arial" w:cs="Arial" w:eastAsia="Arial" w:hAnsi="Arial"/>
                <w:sz w:val="14"/>
                <w:szCs w:val="14"/>
                <w:color w:val="auto"/>
              </w:rPr>
              <w:t>January 1, 2019 through January 31, 2019</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February 1, 2019 through February 28, 2019</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712,432</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7.15</w:t>
            </w:r>
          </w:p>
        </w:tc>
        <w:tc>
          <w:tcPr>
            <w:tcW w:w="260" w:type="dxa"/>
            <w:vAlign w:val="bottom"/>
            <w:shd w:val="clear" w:color="auto" w:fill="CCECFF"/>
          </w:tcPr>
          <w:p>
            <w:pPr>
              <w:spacing w:after="0"/>
              <w:rPr>
                <w:sz w:val="14"/>
                <w:szCs w:val="14"/>
                <w:color w:val="auto"/>
              </w:rPr>
            </w:pPr>
          </w:p>
        </w:tc>
        <w:tc>
          <w:tcPr>
            <w:tcW w:w="1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712,432</w:t>
            </w:r>
          </w:p>
        </w:tc>
        <w:tc>
          <w:tcPr>
            <w:tcW w:w="22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ind w:left="260"/>
              <w:spacing w:after="0"/>
              <w:rPr>
                <w:sz w:val="20"/>
                <w:szCs w:val="20"/>
                <w:color w:val="auto"/>
              </w:rPr>
            </w:pPr>
            <w:r>
              <w:rPr>
                <w:rFonts w:ascii="Arial" w:cs="Arial" w:eastAsia="Arial" w:hAnsi="Arial"/>
                <w:sz w:val="14"/>
                <w:szCs w:val="14"/>
                <w:color w:val="auto"/>
              </w:rPr>
              <w:t>March 1, 2019 through March 31, 2019</w:t>
            </w:r>
          </w:p>
        </w:tc>
        <w:tc>
          <w:tcPr>
            <w:tcW w:w="1200" w:type="dxa"/>
            <w:vAlign w:val="bottom"/>
          </w:tcPr>
          <w:p>
            <w:pPr>
              <w:jc w:val="right"/>
              <w:spacing w:after="0"/>
              <w:rPr>
                <w:sz w:val="20"/>
                <w:szCs w:val="20"/>
                <w:color w:val="auto"/>
              </w:rPr>
            </w:pPr>
            <w:r>
              <w:rPr>
                <w:rFonts w:ascii="Arial" w:cs="Arial" w:eastAsia="Arial" w:hAnsi="Arial"/>
                <w:sz w:val="14"/>
                <w:szCs w:val="14"/>
                <w:color w:val="auto"/>
              </w:rPr>
              <w:t>270,000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6.98</w:t>
            </w:r>
          </w:p>
        </w:tc>
        <w:tc>
          <w:tcPr>
            <w:tcW w:w="2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270,000</w:t>
            </w:r>
          </w:p>
        </w:tc>
        <w:tc>
          <w:tcPr>
            <w:tcW w:w="226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April 1, 2019 through April 30, 2019</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N/A</w:t>
            </w:r>
          </w:p>
        </w:tc>
        <w:tc>
          <w:tcPr>
            <w:tcW w:w="1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ind w:left="260"/>
              <w:spacing w:after="0"/>
              <w:rPr>
                <w:sz w:val="20"/>
                <w:szCs w:val="20"/>
                <w:color w:val="auto"/>
              </w:rPr>
            </w:pPr>
            <w:r>
              <w:rPr>
                <w:rFonts w:ascii="Arial" w:cs="Arial" w:eastAsia="Arial" w:hAnsi="Arial"/>
                <w:sz w:val="14"/>
                <w:szCs w:val="14"/>
                <w:color w:val="auto"/>
              </w:rPr>
              <w:t>May 1, 2019 through May 9, 2019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1500" w:type="dxa"/>
            <w:vAlign w:val="bottom"/>
            <w:tcBorders>
              <w:bottom w:val="single" w:sz="8" w:color="CCECFF"/>
            </w:tcBorders>
            <w:gridSpan w:val="2"/>
          </w:tcPr>
          <w:p>
            <w:pPr>
              <w:jc w:val="right"/>
              <w:ind w:right="260"/>
              <w:spacing w:after="0"/>
              <w:rPr>
                <w:sz w:val="20"/>
                <w:szCs w:val="20"/>
                <w:color w:val="auto"/>
              </w:rPr>
            </w:pPr>
            <w:r>
              <w:rPr>
                <w:rFonts w:ascii="Arial" w:cs="Arial" w:eastAsia="Arial" w:hAnsi="Arial"/>
                <w:sz w:val="14"/>
                <w:szCs w:val="14"/>
                <w:color w:val="auto"/>
              </w:rPr>
              <w:t>N/A</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4"/>
                <w:szCs w:val="14"/>
                <w:color w:val="auto"/>
              </w:rPr>
            </w:pPr>
          </w:p>
        </w:tc>
        <w:tc>
          <w:tcPr>
            <w:tcW w:w="21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82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2,008,853</w:t>
            </w:r>
          </w:p>
        </w:tc>
        <w:tc>
          <w:tcPr>
            <w:tcW w:w="2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24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1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2,008,853</w:t>
            </w:r>
          </w:p>
        </w:tc>
        <w:tc>
          <w:tcPr>
            <w:tcW w:w="240" w:type="dxa"/>
            <w:vAlign w:val="bottom"/>
            <w:tcBorders>
              <w:bottom w:val="single" w:sz="8" w:color="CCECFF"/>
            </w:tcBorders>
            <w:shd w:val="clear" w:color="auto" w:fill="CCECFF"/>
          </w:tcPr>
          <w:p>
            <w:pPr>
              <w:spacing w:after="0"/>
              <w:rPr>
                <w:sz w:val="13"/>
                <w:szCs w:val="13"/>
                <w:color w:val="auto"/>
              </w:rPr>
            </w:pPr>
          </w:p>
        </w:tc>
        <w:tc>
          <w:tcPr>
            <w:tcW w:w="20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50" w:lineRule="exact"/>
        <w:rPr>
          <w:sz w:val="20"/>
          <w:szCs w:val="20"/>
          <w:color w:val="auto"/>
        </w:rPr>
      </w:pPr>
    </w:p>
    <w:p>
      <w:pPr>
        <w:ind w:left="380" w:right="20" w:hanging="372"/>
        <w:spacing w:after="0" w:line="290" w:lineRule="auto"/>
        <w:tabs>
          <w:tab w:leader="none" w:pos="380" w:val="left"/>
        </w:tabs>
        <w:numPr>
          <w:ilvl w:val="0"/>
          <w:numId w:val="43"/>
        </w:numPr>
        <w:rPr>
          <w:rFonts w:ascii="Arial" w:cs="Arial" w:eastAsia="Arial" w:hAnsi="Arial"/>
          <w:sz w:val="11"/>
          <w:szCs w:val="11"/>
          <w:color w:val="auto"/>
        </w:rPr>
      </w:pPr>
      <w:r>
        <w:rPr>
          <w:rFonts w:ascii="Arial" w:cs="Arial" w:eastAsia="Arial" w:hAnsi="Arial"/>
          <w:sz w:val="13"/>
          <w:szCs w:val="13"/>
          <w:color w:val="auto"/>
        </w:rPr>
        <w:t>On May 9, 2018, we announced a share repurchase program which allowed us to repurchase up to $30.0 million of our outstanding common stock. The program expired on May 9, 2019 and we repurchased 4.0 million shares of our common stock in open market transactions while the program was in effect for an aggregate cost (including transaction costs) of $29.5 million.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4"/>
          <w:szCs w:val="14"/>
          <w:b w:val="1"/>
          <w:bCs w:val="1"/>
          <w:color w:val="auto"/>
        </w:rPr>
        <w:t>DISTRIBUTIONS</w:t>
      </w:r>
    </w:p>
    <w:p>
      <w:pPr>
        <w:spacing w:after="0" w:line="140"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17"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In January 2020, a Form 1099-DIV will be sent to stockholders subject to information reporting that will state the amount and composition of distributions and provide information with respect to appropriate tax treatment of our distributions.</w:t>
      </w:r>
    </w:p>
    <w:p>
      <w:pPr>
        <w:spacing w:after="0" w:line="93" w:lineRule="exact"/>
        <w:rPr>
          <w:sz w:val="20"/>
          <w:szCs w:val="20"/>
          <w:color w:val="auto"/>
        </w:rPr>
      </w:pPr>
    </w:p>
    <w:p>
      <w:pPr>
        <w:ind w:right="100" w:firstLine="438"/>
        <w:spacing w:after="0" w:line="290" w:lineRule="auto"/>
        <w:rPr>
          <w:sz w:val="20"/>
          <w:szCs w:val="20"/>
          <w:color w:val="auto"/>
        </w:rPr>
      </w:pPr>
      <w:r>
        <w:rPr>
          <w:rFonts w:ascii="Arial" w:cs="Arial" w:eastAsia="Arial" w:hAnsi="Arial"/>
          <w:sz w:val="13"/>
          <w:szCs w:val="13"/>
          <w:color w:val="auto"/>
        </w:rPr>
        <w:t>The tax characteristics of distributions declared, in accordance with Section 19(a) of the 1940 Act, during the years ended September 30, 2019 and 2018 from ordinary income (including short-term gains), if any, totaled $48.4 million and $50.6 million, or $0.72 and $0.72 per share, respectively, based on the weighted average shares outstanding for the respective periods.</w:t>
      </w:r>
    </w:p>
    <w:p>
      <w:pPr>
        <w:spacing w:after="0" w:line="84" w:lineRule="exact"/>
        <w:rPr>
          <w:sz w:val="20"/>
          <w:szCs w:val="20"/>
          <w:color w:val="auto"/>
        </w:rPr>
      </w:pPr>
    </w:p>
    <w:p>
      <w:pPr>
        <w:ind w:right="60" w:firstLine="438"/>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84"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136"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2014,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75565</wp:posOffset>
            </wp:positionV>
            <wp:extent cx="5143500" cy="3446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60" w:firstLine="438"/>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6" w:name="page37"/>
    <w:bookmarkEnd w:id="36"/>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40"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We have derived the data below from our audited and unaudited financial data. The Consolidated Statements of Operations data, per share data and Consolidated Statements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For the years ended September 30,</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080" w:type="dxa"/>
            <w:vAlign w:val="bottom"/>
            <w:tcBorders>
              <w:bottom w:val="single" w:sz="8" w:color="CCECFF"/>
            </w:tcBorders>
          </w:tcPr>
          <w:p>
            <w:pPr>
              <w:spacing w:after="0"/>
              <w:rPr>
                <w:sz w:val="13"/>
                <w:szCs w:val="13"/>
                <w:color w:val="auto"/>
              </w:rPr>
            </w:pPr>
          </w:p>
        </w:tc>
        <w:tc>
          <w:tcPr>
            <w:tcW w:w="3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CFF"/>
            </w:tcBorders>
          </w:tcPr>
          <w:p>
            <w:pPr>
              <w:spacing w:after="0"/>
              <w:rPr>
                <w:sz w:val="13"/>
                <w:szCs w:val="13"/>
                <w:color w:val="auto"/>
              </w:rPr>
            </w:pPr>
          </w:p>
        </w:tc>
      </w:tr>
      <w:tr>
        <w:trPr>
          <w:trHeight w:val="155"/>
        </w:trPr>
        <w:tc>
          <w:tcPr>
            <w:tcW w:w="40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3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Total investment income</w:t>
            </w:r>
          </w:p>
        </w:tc>
        <w:tc>
          <w:tcPr>
            <w:tcW w:w="54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112,107</w:t>
            </w:r>
          </w:p>
        </w:tc>
        <w:tc>
          <w:tcPr>
            <w:tcW w:w="3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108,278</w:t>
            </w:r>
          </w:p>
        </w:tc>
        <w:tc>
          <w:tcPr>
            <w:tcW w:w="120" w:type="dxa"/>
            <w:vAlign w:val="bottom"/>
            <w:shd w:val="clear" w:color="auto" w:fill="CCECFF"/>
          </w:tcPr>
          <w:p>
            <w:pPr>
              <w:spacing w:after="0"/>
              <w:rPr>
                <w:sz w:val="14"/>
                <w:szCs w:val="14"/>
                <w:color w:val="auto"/>
              </w:rPr>
            </w:pPr>
          </w:p>
        </w:tc>
        <w:tc>
          <w:tcPr>
            <w:tcW w:w="4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124,534</w:t>
            </w:r>
          </w:p>
        </w:tc>
        <w:tc>
          <w:tcPr>
            <w:tcW w:w="120" w:type="dxa"/>
            <w:vAlign w:val="bottom"/>
            <w:shd w:val="clear" w:color="auto" w:fill="CCECFF"/>
          </w:tcPr>
          <w:p>
            <w:pPr>
              <w:spacing w:after="0"/>
              <w:rPr>
                <w:sz w:val="14"/>
                <w:szCs w:val="14"/>
                <w:color w:val="auto"/>
              </w:rPr>
            </w:pPr>
          </w:p>
        </w:tc>
        <w:tc>
          <w:tcPr>
            <w:tcW w:w="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142,071</w:t>
            </w:r>
          </w:p>
        </w:tc>
        <w:tc>
          <w:tcPr>
            <w:tcW w:w="120" w:type="dxa"/>
            <w:vAlign w:val="bottom"/>
            <w:shd w:val="clear" w:color="auto" w:fill="CCECFF"/>
          </w:tcPr>
          <w:p>
            <w:pPr>
              <w:spacing w:after="0"/>
              <w:rPr>
                <w:sz w:val="14"/>
                <w:szCs w:val="14"/>
                <w:color w:val="auto"/>
              </w:rPr>
            </w:pPr>
          </w:p>
        </w:tc>
        <w:tc>
          <w:tcPr>
            <w:tcW w:w="4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161,629</w:t>
            </w:r>
          </w:p>
        </w:tc>
        <w:tc>
          <w:tcPr>
            <w:tcW w:w="18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Total expenses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67,510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54,944</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68,096</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71,456</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79,371</w:t>
            </w:r>
          </w:p>
        </w:tc>
        <w:tc>
          <w:tcPr>
            <w:tcW w:w="18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Net investment income</w:t>
            </w:r>
          </w:p>
        </w:tc>
        <w:tc>
          <w:tcPr>
            <w:tcW w:w="3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44,597</w:t>
            </w:r>
          </w:p>
        </w:tc>
        <w:tc>
          <w:tcPr>
            <w:tcW w:w="3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53,334</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56,438</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70,615</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82,258</w:t>
            </w:r>
          </w:p>
        </w:tc>
        <w:tc>
          <w:tcPr>
            <w:tcW w:w="18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Net realized and change in unrealized (loss) gain</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(28,672)</w:t>
            </w: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(5,621)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5,273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(51,878)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(92,504)</w:t>
            </w: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Net increase (decrease) in net assets resulting from operations</w:t>
            </w:r>
          </w:p>
        </w:tc>
        <w:tc>
          <w:tcPr>
            <w:tcW w:w="3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15,925</w:t>
            </w:r>
          </w:p>
        </w:tc>
        <w:tc>
          <w:tcPr>
            <w:tcW w:w="3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47,713</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61,712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18,737</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(10,246)</w:t>
            </w:r>
          </w:p>
        </w:tc>
      </w:tr>
      <w:tr>
        <w:trPr>
          <w:trHeight w:val="162"/>
        </w:trPr>
        <w:tc>
          <w:tcPr>
            <w:tcW w:w="4080" w:type="dxa"/>
            <w:vAlign w:val="bottom"/>
          </w:tcPr>
          <w:p>
            <w:pPr>
              <w:spacing w:after="0"/>
              <w:rPr>
                <w:sz w:val="20"/>
                <w:szCs w:val="20"/>
                <w:color w:val="auto"/>
              </w:rPr>
            </w:pPr>
            <w:r>
              <w:rPr>
                <w:rFonts w:ascii="Arial" w:cs="Arial" w:eastAsia="Arial" w:hAnsi="Arial"/>
                <w:sz w:val="14"/>
                <w:szCs w:val="14"/>
                <w:b w:val="1"/>
                <w:bCs w:val="1"/>
                <w:color w:val="auto"/>
              </w:rPr>
              <w:t>Per share data:</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Net asset value</w:t>
            </w:r>
          </w:p>
        </w:tc>
        <w:tc>
          <w:tcPr>
            <w:tcW w:w="3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8.68</w:t>
            </w:r>
          </w:p>
        </w:tc>
        <w:tc>
          <w:tcPr>
            <w:tcW w:w="3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9.11</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9.10</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9.82</w:t>
            </w:r>
          </w:p>
        </w:tc>
        <w:tc>
          <w:tcPr>
            <w:tcW w:w="18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(2)</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0.66</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0.99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w:t>
            </w:r>
          </w:p>
        </w:tc>
        <w:tc>
          <w:tcPr>
            <w:tcW w:w="18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(2)</w:t>
            </w:r>
          </w:p>
        </w:tc>
        <w:tc>
          <w:tcPr>
            <w:tcW w:w="3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320"/>
              <w:spacing w:after="0"/>
              <w:rPr>
                <w:sz w:val="20"/>
                <w:szCs w:val="20"/>
                <w:color w:val="auto"/>
              </w:rPr>
            </w:pPr>
            <w:r>
              <w:rPr>
                <w:rFonts w:ascii="Arial" w:cs="Arial" w:eastAsia="Arial" w:hAnsi="Arial"/>
                <w:sz w:val="14"/>
                <w:szCs w:val="14"/>
                <w:color w:val="auto"/>
              </w:rPr>
              <w:t>(0.42)</w:t>
            </w:r>
          </w:p>
        </w:tc>
        <w:tc>
          <w:tcPr>
            <w:tcW w:w="24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(0.07)</w:t>
            </w: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(0.73)</w:t>
            </w: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(1.24)</w:t>
            </w: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w w:val="99"/>
              </w:rPr>
              <w:t xml:space="preserve">Net increase (decrease) in net assets resulting from operations </w:t>
            </w:r>
            <w:r>
              <w:rPr>
                <w:rFonts w:ascii="Arial" w:cs="Arial" w:eastAsia="Arial" w:hAnsi="Arial"/>
                <w:sz w:val="12"/>
                <w:szCs w:val="12"/>
                <w:color w:val="auto"/>
                <w:w w:val="99"/>
              </w:rPr>
              <w:t>(2)</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0.24</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0.87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(0.14)</w:t>
            </w: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Distributions declared </w:t>
            </w:r>
            <w:r>
              <w:rPr>
                <w:rFonts w:ascii="Arial" w:cs="Arial" w:eastAsia="Arial" w:hAnsi="Arial"/>
                <w:sz w:val="12"/>
                <w:szCs w:val="12"/>
                <w:color w:val="auto"/>
              </w:rPr>
              <w:t>(2), (3)</w:t>
            </w:r>
          </w:p>
        </w:tc>
        <w:tc>
          <w:tcPr>
            <w:tcW w:w="3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0.72</w:t>
            </w:r>
          </w:p>
        </w:tc>
        <w:tc>
          <w:tcPr>
            <w:tcW w:w="3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w:t>
            </w:r>
          </w:p>
        </w:tc>
        <w:tc>
          <w:tcPr>
            <w:tcW w:w="18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b w:val="1"/>
                <w:bCs w:val="1"/>
                <w:color w:val="auto"/>
              </w:rPr>
              <w:t>Consolidated Statements of Assets and Liabilities data:</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Total assets</w:t>
            </w:r>
          </w:p>
        </w:tc>
        <w:tc>
          <w:tcPr>
            <w:tcW w:w="3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1,285,838</w:t>
            </w:r>
          </w:p>
        </w:tc>
        <w:tc>
          <w:tcPr>
            <w:tcW w:w="3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1,160,119</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1,202,196</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1,238,936</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1,368,778</w:t>
            </w:r>
          </w:p>
        </w:tc>
        <w:tc>
          <w:tcPr>
            <w:tcW w:w="18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Total investment portfolio</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1,219,433</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1,132,085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1,153,578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1,153,680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1,299,048</w:t>
            </w:r>
          </w:p>
        </w:tc>
        <w:tc>
          <w:tcPr>
            <w:tcW w:w="18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Borrowings outstanding </w:t>
            </w:r>
            <w:r>
              <w:rPr>
                <w:rFonts w:ascii="Arial" w:cs="Arial" w:eastAsia="Arial" w:hAnsi="Arial"/>
                <w:sz w:val="12"/>
                <w:szCs w:val="12"/>
                <w:color w:val="auto"/>
              </w:rPr>
              <w:t>(4)</w:t>
            </w:r>
          </w:p>
        </w:tc>
        <w:tc>
          <w:tcPr>
            <w:tcW w:w="3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683,758</w:t>
            </w:r>
          </w:p>
        </w:tc>
        <w:tc>
          <w:tcPr>
            <w:tcW w:w="3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504,342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526,067</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559,589</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602,865</w:t>
            </w:r>
          </w:p>
        </w:tc>
        <w:tc>
          <w:tcPr>
            <w:tcW w:w="18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Total net asset value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581,906</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628,902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646,808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643,367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716,591</w:t>
            </w:r>
          </w:p>
        </w:tc>
        <w:tc>
          <w:tcPr>
            <w:tcW w:w="18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Other data:</w:t>
            </w:r>
          </w:p>
        </w:tc>
        <w:tc>
          <w:tcPr>
            <w:tcW w:w="3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(5)</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(6.28)%</w:t>
            </w: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9.70%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10.80%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36.64%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(32.51)%</w:t>
            </w: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Number of portfolio companies </w:t>
            </w:r>
            <w:r>
              <w:rPr>
                <w:rFonts w:ascii="Arial" w:cs="Arial" w:eastAsia="Arial" w:hAnsi="Arial"/>
                <w:sz w:val="12"/>
                <w:szCs w:val="12"/>
                <w:color w:val="auto"/>
              </w:rPr>
              <w:t>(6)</w:t>
            </w:r>
          </w:p>
        </w:tc>
        <w:tc>
          <w:tcPr>
            <w:tcW w:w="3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w:t>
            </w:r>
          </w:p>
        </w:tc>
        <w:tc>
          <w:tcPr>
            <w:tcW w:w="3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w:t>
            </w:r>
          </w:p>
        </w:tc>
        <w:tc>
          <w:tcPr>
            <w:tcW w:w="180" w:type="dxa"/>
            <w:vAlign w:val="bottom"/>
            <w:shd w:val="clear" w:color="auto" w:fill="CCECFF"/>
          </w:tcPr>
          <w:p>
            <w:pPr>
              <w:spacing w:after="0"/>
              <w:rPr>
                <w:sz w:val="14"/>
                <w:szCs w:val="14"/>
                <w:color w:val="auto"/>
              </w:rPr>
            </w:pPr>
          </w:p>
        </w:tc>
      </w:tr>
      <w:tr>
        <w:trPr>
          <w:trHeight w:val="182"/>
        </w:trPr>
        <w:tc>
          <w:tcPr>
            <w:tcW w:w="408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12"/>
                <w:szCs w:val="12"/>
                <w:color w:val="auto"/>
              </w:rPr>
              <w:t>(6)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9.8%</w:t>
            </w:r>
          </w:p>
        </w:tc>
        <w:tc>
          <w:tcPr>
            <w:tcW w:w="2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3"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2"/>
          <w:szCs w:val="12"/>
          <w:color w:val="auto"/>
        </w:rPr>
      </w:pPr>
      <w:r>
        <w:rPr>
          <w:rFonts w:ascii="Arial" w:cs="Arial" w:eastAsia="Arial" w:hAnsi="Arial"/>
          <w:sz w:val="14"/>
          <w:szCs w:val="14"/>
          <w:color w:val="auto"/>
        </w:rPr>
        <w:t>Expenses before base management fee and incentive fee waivers were zero, $56,371 and $73,743 for the years ended September 30, 2019, 2018 and 2017, respectively.</w:t>
      </w:r>
    </w:p>
    <w:p>
      <w:pPr>
        <w:ind w:left="380" w:hanging="372"/>
        <w:spacing w:after="0" w:line="221" w:lineRule="auto"/>
        <w:tabs>
          <w:tab w:leader="none" w:pos="380" w:val="left"/>
        </w:tabs>
        <w:numPr>
          <w:ilvl w:val="0"/>
          <w:numId w:val="44"/>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years.</w:t>
      </w:r>
    </w:p>
    <w:p>
      <w:pPr>
        <w:ind w:left="380" w:right="300" w:hanging="372"/>
        <w:spacing w:after="0" w:line="221" w:lineRule="auto"/>
        <w:tabs>
          <w:tab w:leader="none" w:pos="380" w:val="left"/>
        </w:tabs>
        <w:numPr>
          <w:ilvl w:val="0"/>
          <w:numId w:val="44"/>
        </w:numPr>
        <w:rPr>
          <w:rFonts w:ascii="Arial" w:cs="Arial" w:eastAsia="Arial" w:hAnsi="Arial"/>
          <w:sz w:val="12"/>
          <w:szCs w:val="12"/>
          <w:color w:val="auto"/>
        </w:rPr>
      </w:pPr>
      <w:r>
        <w:rPr>
          <w:rFonts w:ascii="Arial" w:cs="Arial" w:eastAsia="Arial" w:hAnsi="Arial"/>
          <w:sz w:val="14"/>
          <w:szCs w:val="14"/>
          <w:color w:val="auto"/>
        </w:rPr>
        <w:t>The tax status of our distributions is calculated in accordance with income tax regulations, which may differ from amounts determined under GAAP and is reported on Form 1099-DIV each calendar year to stockholders subject to such information reporting.</w:t>
      </w:r>
    </w:p>
    <w:p>
      <w:pPr>
        <w:ind w:left="380" w:hanging="372"/>
        <w:spacing w:after="0" w:line="221" w:lineRule="auto"/>
        <w:tabs>
          <w:tab w:leader="none" w:pos="380" w:val="left"/>
        </w:tabs>
        <w:numPr>
          <w:ilvl w:val="0"/>
          <w:numId w:val="44"/>
        </w:numPr>
        <w:rPr>
          <w:rFonts w:ascii="Arial" w:cs="Arial" w:eastAsia="Arial" w:hAnsi="Arial"/>
          <w:sz w:val="12"/>
          <w:szCs w:val="12"/>
          <w:color w:val="auto"/>
        </w:rPr>
      </w:pPr>
      <w:r>
        <w:rPr>
          <w:rFonts w:ascii="Arial" w:cs="Arial" w:eastAsia="Arial" w:hAnsi="Arial"/>
          <w:sz w:val="14"/>
          <w:szCs w:val="14"/>
          <w:color w:val="auto"/>
        </w:rPr>
        <w:t>At fair value, excluding our SBA debentures and our 2024 Notes.</w:t>
      </w:r>
    </w:p>
    <w:p>
      <w:pPr>
        <w:ind w:left="380" w:hanging="372"/>
        <w:spacing w:after="0" w:line="221" w:lineRule="auto"/>
        <w:tabs>
          <w:tab w:leader="none" w:pos="380" w:val="left"/>
        </w:tabs>
        <w:numPr>
          <w:ilvl w:val="0"/>
          <w:numId w:val="44"/>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at the closing price on the payment date.</w:t>
      </w:r>
    </w:p>
    <w:p>
      <w:pPr>
        <w:ind w:left="380" w:hanging="372"/>
        <w:spacing w:after="0"/>
        <w:tabs>
          <w:tab w:leader="none" w:pos="380" w:val="left"/>
        </w:tabs>
        <w:numPr>
          <w:ilvl w:val="0"/>
          <w:numId w:val="44"/>
        </w:numPr>
        <w:rPr>
          <w:rFonts w:ascii="Arial" w:cs="Arial" w:eastAsia="Arial" w:hAnsi="Arial"/>
          <w:sz w:val="12"/>
          <w:szCs w:val="12"/>
          <w:color w:val="auto"/>
        </w:rPr>
      </w:pPr>
      <w:r>
        <w:rPr>
          <w:rFonts w:ascii="Arial" w:cs="Arial" w:eastAsia="Arial" w:hAnsi="Arial"/>
          <w:sz w:val="14"/>
          <w:szCs w:val="14"/>
          <w:color w:val="auto"/>
        </w:rPr>
        <w:t>Unaudited, at year end.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7" w:name="page38"/>
    <w:bookmarkEnd w:id="37"/>
    <w:p>
      <w:pPr>
        <w:spacing w:after="0"/>
        <w:tabs>
          <w:tab w:leader="none" w:pos="9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2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13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15"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104"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24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84"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2"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23"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 During the year ended September 30, 2019, we liquidated and dissolved SBIC I.</w:t>
      </w:r>
    </w:p>
    <w:p>
      <w:pPr>
        <w:spacing w:after="0" w:line="115"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w:t>
      </w:r>
    </w:p>
    <w:p>
      <w:pPr>
        <w:spacing w:after="0" w:line="94" w:lineRule="exact"/>
        <w:rPr>
          <w:sz w:val="20"/>
          <w:szCs w:val="20"/>
          <w:color w:val="auto"/>
        </w:rPr>
      </w:pPr>
    </w:p>
    <w:p>
      <w:pPr>
        <w:ind w:right="40" w:firstLine="438"/>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cost of calculating our NAV, including the cost of any third-party valuation services;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59"/>
        <w:spacing w:after="0" w:line="253" w:lineRule="auto"/>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60" w:hanging="359"/>
        <w:spacing w:after="0" w:line="264" w:lineRule="auto"/>
        <w:tabs>
          <w:tab w:leader="none" w:pos="9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27"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As of September 30, 2019, our portfolio totaled $1,219.4 million and consisted of $695.3 million of first lien secured debt, $269.3 million of second lien secured debt, $61.2 million of subordinated debt and $193.7 million of preferred and common equity. Our debt portfolio consisted of 87% variable-rate investments and 13% fixed-rate investments. As of September 30, 2019, we had no portfolio companies on non-accrual. Overall, the portfolio had net unrealized depreciation of $37.6 million as of September 30, 2019. Our overall portfolio consisted of 67 companies with an average investment size of $18.2 million, had a weighted average yield on interest bearing debt investments of 9.8% and was invested 57% in first lien secured debt, 22% in second lien secured debt, 5% in subordinated debt and 16% in preferred and common equity.</w:t>
      </w:r>
    </w:p>
    <w:p>
      <w:pPr>
        <w:spacing w:after="0" w:line="11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16"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year ended September 30, 2019, we invested $533.6 million of investments in 24 new and 49 existing portfolio companies with a weighted average yield on debt investments of 9.4%. Sales and repayments of investments for the same period totaled $426.5 million.</w:t>
      </w:r>
    </w:p>
    <w:p>
      <w:pPr>
        <w:spacing w:after="0" w:line="93"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year ended September 30, 2018, we invested $604.7 million of investments in 17 new and 33 existing portfolio companies with a weighted average yield on debt investments of 10.2%. Sales and repayments of investments for the same period totaled $630.5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1" w:lineRule="exact"/>
        <w:rPr>
          <w:sz w:val="20"/>
          <w:szCs w:val="20"/>
          <w:color w:val="auto"/>
        </w:rPr>
      </w:pPr>
    </w:p>
    <w:p>
      <w:pPr>
        <w:ind w:left="920" w:right="20" w:hanging="372"/>
        <w:spacing w:after="0" w:line="253" w:lineRule="auto"/>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20" w:hanging="372"/>
        <w:spacing w:after="0" w:line="238" w:lineRule="auto"/>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72"/>
        <w:spacing w:after="0" w:line="253" w:lineRule="auto"/>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0" w:name="page41"/>
    <w:bookmarkEnd w:id="40"/>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23"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4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6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2019 Notes, our SBA debentures, our 2024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Facilities and, prior to their redemption, the 2019 Notes and 2025 Notes. We elected to use the fair value option for the Credit Facilities and, prior to their redemption, the 2019 Notes and 2025 Notes to align the measurement attributes of both our assets and liabilities while mitigating volatility in earnings from using different measurement attributes. Due to that election and in accordance with GAAP, we incurred expenses of $7.1 million, zero and $3.9 million relating to amendment costs on the Credit Facilities during the years ended September 30, 2019, 2018 and 2017,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prior to their redemption, the 2019 Notes and 2025 Notes are reported in our Consolidated Statements of Operations. We did not elect to apply ASC 825-10 to any other financial assets or liabilities, including the 2024 Notes and SBA debentures. For the years ended September 30, 2019 and 2018, the Credit Facilities and the 2019 Notes had a net change in unrealized depreciation of $5.7 million and $3.9 million, respectively. For the year ended September 30, 2017, our SunTrust Credit Facility, the 2019 Notes and, prior to their redemption, the 2025 Notes had a net change in unrealized appreciation of $7.6 million. As of September 30, 2019, the net unrealized depreciation on our Credit Facilities totaled $7.2 million. As of September 30, 2018, the net unrealized depreciation on our Credit Facilities and the 2019 Notes totaled $1.6 million. We use a nationally recognized independent valuation service to measure the fair value of our Credit Facilities and, prior to their redemption, the 2019 Notes in a manner consistent with the valuation process that the board of directors uses to value our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23"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Facilities and, prior to their redemption, the 2019 and 2025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23" w:lineRule="exact"/>
        <w:rPr>
          <w:sz w:val="20"/>
          <w:szCs w:val="20"/>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36" w:lineRule="exact"/>
        <w:rPr>
          <w:sz w:val="20"/>
          <w:szCs w:val="20"/>
          <w:color w:val="auto"/>
        </w:rPr>
      </w:pPr>
    </w:p>
    <w:p>
      <w:pPr>
        <w:jc w:val="both"/>
        <w:ind w:right="10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23"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6"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70" w:lineRule="exact"/>
        <w:rPr>
          <w:sz w:val="20"/>
          <w:szCs w:val="20"/>
          <w:color w:val="auto"/>
        </w:rPr>
      </w:pPr>
    </w:p>
    <w:p>
      <w:pPr>
        <w:ind w:right="26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Subsidiaries,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jc w:val="both"/>
        <w:ind w:right="80" w:firstLine="438"/>
        <w:spacing w:after="0" w:line="253" w:lineRule="auto"/>
        <w:rPr>
          <w:sz w:val="20"/>
          <w:szCs w:val="20"/>
          <w:color w:val="auto"/>
        </w:rPr>
      </w:pPr>
      <w:r>
        <w:rPr>
          <w:rFonts w:ascii="Arial" w:cs="Arial" w:eastAsia="Arial" w:hAnsi="Arial"/>
          <w:sz w:val="14"/>
          <w:szCs w:val="14"/>
          <w:color w:val="auto"/>
        </w:rPr>
        <w:t>Set forth below are the results of operations for the years ended September 30, 2019 and 2018. For information regarding results of operations for the year ended September 30, 2017, see the Company's Form 10-K for the fiscal year ended September 30, 2018, as filed with the SEC on November 15, 2018.</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jc w:val="both"/>
        <w:ind w:right="200" w:firstLine="438"/>
        <w:spacing w:after="0" w:line="290" w:lineRule="auto"/>
        <w:rPr>
          <w:sz w:val="20"/>
          <w:szCs w:val="20"/>
          <w:color w:val="auto"/>
        </w:rPr>
      </w:pPr>
      <w:r>
        <w:rPr>
          <w:rFonts w:ascii="Arial" w:cs="Arial" w:eastAsia="Arial" w:hAnsi="Arial"/>
          <w:sz w:val="13"/>
          <w:szCs w:val="13"/>
          <w:color w:val="auto"/>
        </w:rPr>
        <w:t>Investment income for the year ended September 30, 2019 was $112.1 million and was attributable to $62.6 million from first lien secured debt, $41.4 million from second lien secured debt and $8.1 million from subordinated debt and preferred and common equity. The increase in investment income over the prior year was primarily due to an increase in our portfolio at cost.</w:t>
      </w:r>
    </w:p>
    <w:p>
      <w:pPr>
        <w:spacing w:after="0" w:line="84" w:lineRule="exact"/>
        <w:rPr>
          <w:sz w:val="20"/>
          <w:szCs w:val="20"/>
          <w:color w:val="auto"/>
        </w:rPr>
      </w:pPr>
    </w:p>
    <w:p>
      <w:pPr>
        <w:jc w:val="both"/>
        <w:ind w:right="180" w:firstLine="438"/>
        <w:spacing w:after="0" w:line="290" w:lineRule="auto"/>
        <w:rPr>
          <w:sz w:val="20"/>
          <w:szCs w:val="20"/>
          <w:color w:val="auto"/>
        </w:rPr>
      </w:pPr>
      <w:r>
        <w:rPr>
          <w:rFonts w:ascii="Arial" w:cs="Arial" w:eastAsia="Arial" w:hAnsi="Arial"/>
          <w:sz w:val="13"/>
          <w:szCs w:val="13"/>
          <w:color w:val="auto"/>
        </w:rPr>
        <w:t>Investment income for the year ended September 30, 2018 was $108.3 million and was attributable to $49.5 million from first lien secured debt, $49.8 million from second lien secured debt and $9.0 million from subordinated debt and preferred and common equity. The decrease in investment income over the prior year was primarily due to a reduction of our portfolio at cost.</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Net expenses for the year ended September 30, 2019 totaled $67.5 million. Base management fee for the same period totaled $18.2 million, incentive fee totaled $5.1 million, debt related interest and expenses totaled $38.2 million (including one-time debt related cost of $9.2 million) and general and administrative expenses totaled $4.7 million. The increase in expenses over the prior year was primarily due to an increase in debt related expenses and base management fees, partially offset by smaller incentive fees.</w:t>
      </w:r>
    </w:p>
    <w:p>
      <w:pPr>
        <w:spacing w:after="0" w:line="115"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Net expenses for the year ended September 30, 2018 totaled $54.9 million. Base management fee for the same period totaled $16.5 million (after a base management fee waiver of $0.9 million), incentive fee totaled $11.0 million (after an incentive fee waiver of $0.5 million), debt related interest and expenses totaled $22.8 million and general and administrative expenses totaled $4.6 million. The decrease in expenses over the prior year was primarily due to a decrease in debt related expenses and base management fees.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Net investment income totaled $44.6 million or $0.66 per share and $53.3 million or $0.75 per share for the years ended September 30, 2019 and 2018, respectively. The decrease in net investment income per share compared to the prior year was primarily due to an increase in debt related expenses associated with the retirement of our 2019 Notes and amendments made to our BNP and SunTrust Credit Facilities.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Sales and repayments of investments for the years ended September 30, 2019 and 2018 totaled $426.5 million and $630.5 million, respectively, and net realized (losses) gains totaled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($108.5) million and $45.9 million, respectively. The change in realized gains/losses was primarily due to changes in the market conditions of our investments and the values at which they were</w:t>
      </w:r>
    </w:p>
    <w:p>
      <w:pPr>
        <w:spacing w:after="0"/>
        <w:rPr>
          <w:sz w:val="20"/>
          <w:szCs w:val="20"/>
          <w:color w:val="auto"/>
        </w:rPr>
      </w:pPr>
      <w:r>
        <w:rPr>
          <w:rFonts w:ascii="Arial" w:cs="Arial" w:eastAsia="Arial" w:hAnsi="Arial"/>
          <w:sz w:val="14"/>
          <w:szCs w:val="14"/>
          <w:color w:val="auto"/>
        </w:rPr>
        <w:t>realized including the net realized loss on Superior Digital Displays, LLC during the year ended September 30, 2019.</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Facilities, the 2019 Notes and the 2025 Notes</w:t>
      </w:r>
    </w:p>
    <w:p>
      <w:pPr>
        <w:spacing w:after="0" w:line="12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For the years ended September 30, 2019 and 2018, we reported net change in unrealized appreciation (depreciation) on investments of $74.1 million and $(55.3) million, respectively. As of September 30, 2019 and 2018, our net unrealized depreciation on investments totaled $37.6 million and $111.8 million, respectively. The net change in unrealized appreciation/depreciation on our investments for the year ended September 30, 2019 compared to the prior year was primarily due to changes in the capital market conditions, the financial performance of certain portfolio companies (including certain of our controlled and non-controlled affiliated portfolio companies) and the reversal of unrealized appreciation/depreciation on investments that were realized.</w:t>
      </w:r>
    </w:p>
    <w:p>
      <w:pPr>
        <w:spacing w:after="0" w:line="107" w:lineRule="exact"/>
        <w:rPr>
          <w:sz w:val="20"/>
          <w:szCs w:val="20"/>
          <w:color w:val="auto"/>
        </w:rPr>
      </w:pPr>
    </w:p>
    <w:p>
      <w:pPr>
        <w:ind w:right="140" w:firstLine="438"/>
        <w:spacing w:after="0" w:line="264" w:lineRule="auto"/>
        <w:rPr>
          <w:sz w:val="20"/>
          <w:szCs w:val="20"/>
          <w:color w:val="auto"/>
        </w:rPr>
      </w:pPr>
      <w:r>
        <w:rPr>
          <w:rFonts w:ascii="Arial" w:cs="Arial" w:eastAsia="Arial" w:hAnsi="Arial"/>
          <w:sz w:val="13"/>
          <w:szCs w:val="13"/>
          <w:color w:val="auto"/>
        </w:rPr>
        <w:t>For the years ended September 30, 2019 and 2018, our Credit Facilities and the 2019 Notes had a net change in unrealized depreciation of $5.7 million and $3.9 million, respectively. As of September 30, 2019 and 2018, our net unrealized depreciation (appreciation) on our Credit Facilities and, prior to their redemption, the 2019 Notes totaled $7.2 million and $1.6 million, respectively. The net change in unrealized depreciation for the year ended September 30, 2019 compared to the prior year was primarily due to changes in the capital markets.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23" w:lineRule="exact"/>
        <w:rPr>
          <w:sz w:val="20"/>
          <w:szCs w:val="20"/>
          <w:color w:val="auto"/>
        </w:rPr>
      </w:pPr>
    </w:p>
    <w:p>
      <w:pPr>
        <w:ind w:right="560" w:firstLine="438"/>
        <w:spacing w:after="0" w:line="238" w:lineRule="auto"/>
        <w:rPr>
          <w:sz w:val="20"/>
          <w:szCs w:val="20"/>
          <w:color w:val="auto"/>
        </w:rPr>
      </w:pPr>
      <w:r>
        <w:rPr>
          <w:rFonts w:ascii="Arial" w:cs="Arial" w:eastAsia="Arial" w:hAnsi="Arial"/>
          <w:sz w:val="14"/>
          <w:szCs w:val="14"/>
          <w:color w:val="auto"/>
        </w:rPr>
        <w:t>Net change in net assets resulting from operations totaled $15.9 million or $0.24 per share and $47.7 million or $0.68 per share for the years ended September 30, 2019 and 2018, respectively. The decrease in the net change in net assets from operations for year ended September 30, 2019 compared to the prior year was primarily due to a lower yielding portfolio, depreciation and net realized losses on our investments and credit facility amendment and debt issuance costs.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7"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2019,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For information regarding liquidity and capital resources for the year ended September 30, 2017, see the Company's Form 10-K for the fiscal year ended September 30, 2018, as filed with the SEC on November 15, 2018.</w:t>
      </w:r>
    </w:p>
    <w:p>
      <w:pPr>
        <w:spacing w:after="0" w:line="113"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September 30, 2019 and 2018, our asset coverage ratio, as computed in accordance with the 1940 Act, was 207% and 292%, respectively.</w:t>
      </w:r>
    </w:p>
    <w:p>
      <w:pPr>
        <w:spacing w:after="0" w:line="123"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annualized weighted average cost of debt for the years ended September 30, 2019 and 2018, inclusive of the fee on the undrawn commitment and amendment costs on the Credit Facilities, amortized upfront fees on SBA debentures and debt retirement and issuance costs, was 6.0% and 4.5%, respectively.</w:t>
      </w:r>
    </w:p>
    <w:p>
      <w:pPr>
        <w:spacing w:after="0" w:line="106" w:lineRule="exact"/>
        <w:rPr>
          <w:sz w:val="20"/>
          <w:szCs w:val="20"/>
          <w:color w:val="auto"/>
        </w:rPr>
      </w:pPr>
    </w:p>
    <w:p>
      <w:pPr>
        <w:ind w:right="160" w:firstLine="438"/>
        <w:spacing w:after="0" w:line="251" w:lineRule="auto"/>
        <w:rPr>
          <w:sz w:val="20"/>
          <w:szCs w:val="20"/>
          <w:color w:val="auto"/>
        </w:rPr>
      </w:pPr>
      <w:r>
        <w:rPr>
          <w:rFonts w:ascii="Arial" w:cs="Arial" w:eastAsia="Arial" w:hAnsi="Arial"/>
          <w:sz w:val="13"/>
          <w:szCs w:val="13"/>
          <w:color w:val="auto"/>
        </w:rPr>
        <w:t>On February 22, 2019, Funding I closed the BNP Credit Facility for up to $250.0 million in borrowings with certain lenders and BNP Paribas, as administrative agent, and The Bank of New York Mellon Trust Company, N.A., as collateral agent. As of September 30, 2019, Funding I had $171.0 million in outstanding borrowings under the BNP Credit Facility. The BNP Credit Facility had a weighted average interest rate of 4.6% as of September 30, 2019. The BNP Credit Facility is a five-year revolving facility with a stated maturity date of February 22, 2024 and pricing set at 260 basis points over LIBOR. As of September 30, 2019, Funding I had $79.0 million of unused borrowing capacity under the BNP Credit Facility, subject to the regulatory restrictions. The BNP Credit Facility is secured by all of our assets held by Funding I. As of September 30, 2019, we were in compliance with the terms of the BNP Credit Facility.</w:t>
      </w:r>
    </w:p>
    <w:p>
      <w:pPr>
        <w:spacing w:after="0" w:line="109"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As of September 30, 2019, we had the multi-currency SunTrust Credit Facility for up to $475.0 million in borrowings with certain lenders and SunTrust Bank, acting as administrative agent, and JPMorgan Chase Bank, N.A., acting as syndication agent for the lenders. As of September 30, 2019 and 2018, we had $301.6 million and $80.5 million (including a $2.0 million temporary draw), respectively, in outstanding borrowings under the SunTrust Credit Facility. The SunTrust Credit Facility had a weighted average interest rate of 4.2% and 3.8%, respectively, exclusive of the fee on undrawn commitments, as of September 30, 2019 and 2018. The SunTrust Credit Facility is a five-year revolving facility with a stated maturity date of September 4, 2024, a one-year term-out period on September 4, 2023 and pricing set at 225 basis points over LIBOR. As of September 30, 2019 and 2018, we had $173.4 million and $364.5 million of unused borrowing capacity under the SunTrust Credit Facility, respectively, subject to the regulatory restrictions. The SunTrust Credit Facility is secured by substantially all of our assets excluding assets held by Funding I and our SBIC Fund. As of September 30, 2019, we were in compliance with the terms of the SunTrust Credit Facility.</w:t>
      </w:r>
    </w:p>
    <w:p>
      <w:pPr>
        <w:spacing w:after="0" w:line="98" w:lineRule="exact"/>
        <w:rPr>
          <w:sz w:val="20"/>
          <w:szCs w:val="20"/>
          <w:color w:val="auto"/>
        </w:rPr>
      </w:pPr>
    </w:p>
    <w:p>
      <w:pPr>
        <w:ind w:right="180" w:firstLine="438"/>
        <w:spacing w:after="0" w:line="251" w:lineRule="auto"/>
        <w:rPr>
          <w:sz w:val="20"/>
          <w:szCs w:val="20"/>
          <w:color w:val="auto"/>
        </w:rPr>
      </w:pPr>
      <w:r>
        <w:rPr>
          <w:rFonts w:ascii="Arial" w:cs="Arial" w:eastAsia="Arial" w:hAnsi="Arial"/>
          <w:sz w:val="13"/>
          <w:szCs w:val="13"/>
          <w:color w:val="auto"/>
        </w:rPr>
        <w:t xml:space="preserve">In September 2019, we issued $75.0 million in aggregate principal amount of 2024 Notes, for net proceeds of $72.3 million after deducting underwriting discounts and offering costs. Interest on the 2024 Notes is paid quarterly on January 15, April 15, July 15 and October 15, at a rate of 5.50% per year, commencing January 15, 2020. The 2024 Notes mature on October 15, 2024. The 2024 Notes are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in right of payment with our existing and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09"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was paid semi-annually on April 1 and October 1, at a rate of 4.50% per year. On March 4, 2019 the 2019 Notes were redeemed in full and no amounts were outstanding as of September 30, 2019. The 2019 Notes were redeemed on March 4, 2019 at a redemption price equal to $1,008.65 for each $1,000.00 of principal of notes outstanding, plus accrued and unpaid interest to March 4, 2019, pursuant to the indenture governing the 2019 Notes.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09"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Facilities or SBA debentures. Furthermore, our Credit Facilities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6"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On May 9, 2018, we announced a share repurchase program which allowed us to repurchase up to $30 million of our outstanding common stock in the open market at prices below our NAV as reported in our then most recently published consolidated financial statements. The program expired on May 9, 2019. During the years ended September 30, 2019 and 2018, we repurchased 2.0 million and 2.0 million shares of common stock, respectively, in open market transactions for an aggregate cost (including transaction costs) of $14.5 million and $15.0 million, respectively. From May 9, 2018 through the program’s expiration, we purchased 4.0 million shares of common stock in open market transactions for an aggregate cost (including transaction costs) of $29.5 million.</w:t>
      </w:r>
    </w:p>
    <w:p>
      <w:pPr>
        <w:spacing w:after="0" w:line="11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During the year ended September 30, 2019 we liquidated and dissolved SBIC I. We have funded SBIC II with $75.0 million of equity capital and it had SBA debentures outstanding of $150.0 million as of September 30, 2019.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09"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 of September 30, 2019 and 2018, our SBIC Funds had $150.0 million and $300.0 million in debt commitments, respectively, of which $150.0 million and $180.0 million was drawn, respectively. As of September 30, 2019 and 2018, the unamortized fees on the SBA debentures were $3.9 million and $4.6 million, respectively. The SBA debentures’ upfront fees of 3.4% consist of a commitment fee of 1.0% and an issuance discount of 2.4%, which are being amortized.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2"/>
        </w:trPr>
        <w:tc>
          <w:tcPr>
            <w:tcW w:w="378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56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23"/>
                <w:szCs w:val="23"/>
                <w:color w:val="auto"/>
              </w:rPr>
            </w:pPr>
          </w:p>
        </w:tc>
        <w:tc>
          <w:tcPr>
            <w:tcW w:w="21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3"/>
                <w:szCs w:val="23"/>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60" w:type="dxa"/>
            <w:vAlign w:val="bottom"/>
            <w:vMerge w:val="restart"/>
          </w:tcPr>
          <w:p>
            <w:pPr>
              <w:spacing w:after="0"/>
              <w:rPr>
                <w:sz w:val="23"/>
                <w:szCs w:val="23"/>
                <w:color w:val="auto"/>
              </w:rPr>
            </w:pPr>
          </w:p>
        </w:tc>
        <w:tc>
          <w:tcPr>
            <w:tcW w:w="280" w:type="dxa"/>
            <w:vAlign w:val="bottom"/>
          </w:tcPr>
          <w:p>
            <w:pPr>
              <w:spacing w:after="0"/>
              <w:rPr>
                <w:sz w:val="23"/>
                <w:szCs w:val="23"/>
                <w:color w:val="auto"/>
              </w:rPr>
            </w:pP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 September 30, 2019</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March 23, 2016</w:t>
            </w:r>
          </w:p>
        </w:tc>
        <w:tc>
          <w:tcPr>
            <w:tcW w:w="220" w:type="dxa"/>
            <w:vAlign w:val="bottom"/>
            <w:shd w:val="clear" w:color="auto" w:fill="CFF0FC"/>
          </w:tcPr>
          <w:p>
            <w:pPr>
              <w:spacing w:after="0"/>
              <w:rPr>
                <w:sz w:val="13"/>
                <w:szCs w:val="13"/>
                <w:color w:val="auto"/>
              </w:rPr>
            </w:pPr>
          </w:p>
        </w:tc>
        <w:tc>
          <w:tcPr>
            <w:tcW w:w="2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ind w:left="1840"/>
              <w:spacing w:after="0" w:line="155" w:lineRule="exact"/>
              <w:rPr>
                <w:sz w:val="20"/>
                <w:szCs w:val="20"/>
                <w:color w:val="auto"/>
              </w:rPr>
            </w:pPr>
            <w:r>
              <w:rPr>
                <w:rFonts w:ascii="Arial" w:cs="Arial" w:eastAsia="Arial" w:hAnsi="Arial"/>
                <w:sz w:val="14"/>
                <w:szCs w:val="14"/>
                <w:color w:val="auto"/>
              </w:rPr>
              <w:t>2.9%</w:t>
            </w:r>
          </w:p>
        </w:tc>
        <w:tc>
          <w:tcPr>
            <w:tcW w:w="280" w:type="dxa"/>
            <w:vAlign w:val="bottom"/>
            <w:shd w:val="clear" w:color="auto" w:fill="CFF0FC"/>
          </w:tcPr>
          <w:p>
            <w:pPr>
              <w:spacing w:after="0"/>
              <w:rPr>
                <w:sz w:val="13"/>
                <w:szCs w:val="13"/>
                <w:color w:val="auto"/>
              </w:rPr>
            </w:pPr>
          </w:p>
        </w:tc>
        <w:tc>
          <w:tcPr>
            <w:tcW w:w="2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22,500,000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40" w:type="dxa"/>
            <w:vAlign w:val="bottom"/>
          </w:tcPr>
          <w:p>
            <w:pPr>
              <w:ind w:left="1840"/>
              <w:spacing w:after="0"/>
              <w:rPr>
                <w:sz w:val="20"/>
                <w:szCs w:val="20"/>
                <w:color w:val="auto"/>
              </w:rPr>
            </w:pPr>
            <w:r>
              <w:rPr>
                <w:rFonts w:ascii="Arial" w:cs="Arial" w:eastAsia="Arial" w:hAnsi="Arial"/>
                <w:sz w:val="14"/>
                <w:szCs w:val="14"/>
                <w:color w:val="auto"/>
                <w:w w:val="92"/>
              </w:rPr>
              <w:t>2.4</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September 1, 2027</w:t>
            </w:r>
          </w:p>
        </w:tc>
        <w:tc>
          <w:tcPr>
            <w:tcW w:w="2040" w:type="dxa"/>
            <w:vAlign w:val="bottom"/>
            <w:shd w:val="clear" w:color="auto" w:fill="CFF0FC"/>
          </w:tcPr>
          <w:p>
            <w:pPr>
              <w:ind w:left="1840"/>
              <w:spacing w:after="0"/>
              <w:rPr>
                <w:sz w:val="20"/>
                <w:szCs w:val="20"/>
                <w:color w:val="auto"/>
              </w:rPr>
            </w:pPr>
            <w:r>
              <w:rPr>
                <w:rFonts w:ascii="Arial" w:cs="Arial" w:eastAsia="Arial" w:hAnsi="Arial"/>
                <w:sz w:val="14"/>
                <w:szCs w:val="14"/>
                <w:color w:val="auto"/>
                <w:w w:val="92"/>
              </w:rPr>
              <w:t>2.9</w:t>
            </w: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March 1, 2028</w:t>
            </w:r>
          </w:p>
        </w:tc>
        <w:tc>
          <w:tcPr>
            <w:tcW w:w="204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w w:val="92"/>
              </w:rPr>
              <w:t>3.5</w:t>
            </w:r>
          </w:p>
        </w:tc>
        <w:tc>
          <w:tcPr>
            <w:tcW w:w="3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ind w:left="1840"/>
              <w:spacing w:after="0" w:line="155" w:lineRule="exact"/>
              <w:rPr>
                <w:sz w:val="20"/>
                <w:szCs w:val="20"/>
                <w:color w:val="auto"/>
              </w:rPr>
            </w:pPr>
            <w:r>
              <w:rPr>
                <w:rFonts w:ascii="Arial" w:cs="Arial" w:eastAsia="Arial" w:hAnsi="Arial"/>
                <w:sz w:val="14"/>
                <w:szCs w:val="14"/>
                <w:color w:val="auto"/>
              </w:rPr>
              <w:t>3.1%</w:t>
            </w: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2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150,000,000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56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24"/>
                <w:szCs w:val="24"/>
                <w:color w:val="auto"/>
              </w:rPr>
            </w:pPr>
          </w:p>
        </w:tc>
        <w:tc>
          <w:tcPr>
            <w:tcW w:w="21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6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 September 30, 2018</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September 21, 2011</w:t>
            </w:r>
          </w:p>
        </w:tc>
        <w:tc>
          <w:tcPr>
            <w:tcW w:w="220" w:type="dxa"/>
            <w:vAlign w:val="bottom"/>
            <w:shd w:val="clear" w:color="auto" w:fill="CFF0FC"/>
          </w:tcPr>
          <w:p>
            <w:pPr>
              <w:spacing w:after="0"/>
              <w:rPr>
                <w:sz w:val="13"/>
                <w:szCs w:val="13"/>
                <w:color w:val="auto"/>
              </w:rPr>
            </w:pPr>
          </w:p>
        </w:tc>
        <w:tc>
          <w:tcPr>
            <w:tcW w:w="2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ind w:left="1840"/>
              <w:spacing w:after="0" w:line="155" w:lineRule="exact"/>
              <w:rPr>
                <w:sz w:val="20"/>
                <w:szCs w:val="20"/>
                <w:color w:val="auto"/>
              </w:rPr>
            </w:pPr>
            <w:r>
              <w:rPr>
                <w:rFonts w:ascii="Arial" w:cs="Arial" w:eastAsia="Arial" w:hAnsi="Arial"/>
                <w:sz w:val="14"/>
                <w:szCs w:val="14"/>
                <w:color w:val="auto"/>
              </w:rPr>
              <w:t>3.4%</w:t>
            </w: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2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30,000,000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2040" w:type="dxa"/>
            <w:vAlign w:val="bottom"/>
          </w:tcPr>
          <w:p>
            <w:pPr>
              <w:ind w:left="1840"/>
              <w:spacing w:after="0"/>
              <w:rPr>
                <w:sz w:val="20"/>
                <w:szCs w:val="20"/>
                <w:color w:val="auto"/>
              </w:rPr>
            </w:pPr>
            <w:r>
              <w:rPr>
                <w:rFonts w:ascii="Arial" w:cs="Arial" w:eastAsia="Arial" w:hAnsi="Arial"/>
                <w:sz w:val="14"/>
                <w:szCs w:val="14"/>
                <w:color w:val="auto"/>
                <w:w w:val="92"/>
              </w:rPr>
              <w:t>2.9</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September 1, 2026</w:t>
            </w:r>
          </w:p>
        </w:tc>
        <w:tc>
          <w:tcPr>
            <w:tcW w:w="2040" w:type="dxa"/>
            <w:vAlign w:val="bottom"/>
            <w:shd w:val="clear" w:color="auto" w:fill="CFF0FC"/>
          </w:tcPr>
          <w:p>
            <w:pPr>
              <w:ind w:left="1840"/>
              <w:spacing w:after="0"/>
              <w:rPr>
                <w:sz w:val="20"/>
                <w:szCs w:val="20"/>
                <w:color w:val="auto"/>
              </w:rPr>
            </w:pPr>
            <w:r>
              <w:rPr>
                <w:rFonts w:ascii="Arial" w:cs="Arial" w:eastAsia="Arial" w:hAnsi="Arial"/>
                <w:sz w:val="14"/>
                <w:szCs w:val="14"/>
                <w:color w:val="auto"/>
                <w:w w:val="92"/>
              </w:rPr>
              <w:t>2.4</w:t>
            </w: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2040" w:type="dxa"/>
            <w:vAlign w:val="bottom"/>
          </w:tcPr>
          <w:p>
            <w:pPr>
              <w:ind w:left="1840"/>
              <w:spacing w:after="0"/>
              <w:rPr>
                <w:sz w:val="20"/>
                <w:szCs w:val="20"/>
                <w:color w:val="auto"/>
              </w:rPr>
            </w:pPr>
            <w:r>
              <w:rPr>
                <w:rFonts w:ascii="Arial" w:cs="Arial" w:eastAsia="Arial" w:hAnsi="Arial"/>
                <w:sz w:val="14"/>
                <w:szCs w:val="14"/>
                <w:color w:val="auto"/>
                <w:w w:val="92"/>
              </w:rPr>
              <w:t>2.9</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March 21, 2018</w:t>
            </w:r>
          </w:p>
        </w:tc>
        <w:tc>
          <w:tcPr>
            <w:tcW w:w="23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March 1, 2028</w:t>
            </w:r>
          </w:p>
        </w:tc>
        <w:tc>
          <w:tcPr>
            <w:tcW w:w="2040" w:type="dxa"/>
            <w:vAlign w:val="bottom"/>
            <w:tcBorders>
              <w:bottom w:val="single" w:sz="8" w:color="auto"/>
            </w:tcBorders>
            <w:shd w:val="clear" w:color="auto" w:fill="CFF0FC"/>
          </w:tcPr>
          <w:p>
            <w:pPr>
              <w:ind w:left="1840"/>
              <w:spacing w:after="0"/>
              <w:rPr>
                <w:sz w:val="20"/>
                <w:szCs w:val="20"/>
                <w:color w:val="auto"/>
              </w:rPr>
            </w:pPr>
            <w:r>
              <w:rPr>
                <w:rFonts w:ascii="Arial" w:cs="Arial" w:eastAsia="Arial" w:hAnsi="Arial"/>
                <w:sz w:val="14"/>
                <w:szCs w:val="14"/>
                <w:color w:val="auto"/>
                <w:w w:val="92"/>
              </w:rPr>
              <w:t>3.5</w:t>
            </w:r>
          </w:p>
        </w:tc>
        <w:tc>
          <w:tcPr>
            <w:tcW w:w="36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71,000,000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0" w:type="dxa"/>
            <w:vAlign w:val="bottom"/>
            <w:gridSpan w:val="2"/>
          </w:tcPr>
          <w:p>
            <w:pPr>
              <w:ind w:left="1840"/>
              <w:spacing w:after="0" w:line="155" w:lineRule="exact"/>
              <w:rPr>
                <w:sz w:val="20"/>
                <w:szCs w:val="20"/>
                <w:color w:val="auto"/>
              </w:rPr>
            </w:pPr>
            <w:r>
              <w:rPr>
                <w:rFonts w:ascii="Arial" w:cs="Arial" w:eastAsia="Arial" w:hAnsi="Arial"/>
                <w:sz w:val="14"/>
                <w:szCs w:val="14"/>
                <w:color w:val="auto"/>
              </w:rPr>
              <w:t>3.2%</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228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44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2"/>
          <w:szCs w:val="12"/>
          <w:color w:val="auto"/>
        </w:rPr>
      </w:pPr>
      <w:r>
        <w:rPr>
          <w:rFonts w:ascii="Arial" w:cs="Arial" w:eastAsia="Arial" w:hAnsi="Arial"/>
          <w:sz w:val="14"/>
          <w:szCs w:val="14"/>
          <w:color w:val="auto"/>
        </w:rPr>
        <w:t>Excluding 3.4% of upfront fees.</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2019, SBIC II was in compliance with their regulatory requirements.</w:t>
      </w:r>
    </w:p>
    <w:p>
      <w:pPr>
        <w:spacing w:after="0" w:line="116"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required 150% asset coverage ratio is met after such borrowing. As of September 30, 2019 and 2018,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94" w:lineRule="exact"/>
        <w:rPr>
          <w:sz w:val="20"/>
          <w:szCs w:val="20"/>
          <w:color w:val="auto"/>
        </w:rPr>
      </w:pPr>
    </w:p>
    <w:p>
      <w:pPr>
        <w:jc w:val="both"/>
        <w:ind w:right="80" w:firstLine="438"/>
        <w:spacing w:after="0" w:line="253" w:lineRule="auto"/>
        <w:rPr>
          <w:sz w:val="20"/>
          <w:szCs w:val="20"/>
          <w:color w:val="auto"/>
        </w:rPr>
      </w:pPr>
      <w:r>
        <w:rPr>
          <w:rFonts w:ascii="Arial" w:cs="Arial" w:eastAsia="Arial" w:hAnsi="Arial"/>
          <w:sz w:val="14"/>
          <w:szCs w:val="14"/>
          <w:color w:val="auto"/>
        </w:rPr>
        <w:t>As of September 30, 2019 and 2018, we had cash and cash equivalents of $59.5 million and $19.5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Our operating activities used cash of $81.1 million for the year ended September 30, 2019, and our financing activities provided cash of $121.1 million for the same period. Our operating activities provided cash from sales and repayments on our investments and our financing activities provided cash primarily for net borrowings under our credit facilities as well as the issuance of the 2024 Notes, partially offset by cash used by our stock repurchase program.</w:t>
      </w:r>
    </w:p>
    <w:p>
      <w:pPr>
        <w:spacing w:after="0" w:line="115"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Our operating activities provided cash of $66.9 million for the year ended September 30, 2018, and our financing activities used cash of $85.6 million for the same period. Our operating activities provided cash from sales and repayments on our investments and our financing activities used cash primarily for net repayments of the SBA debentures and our stock repurchase program.</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more information regarding our borrowing arrangements, see “Business—Leverage”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September 30, 2019, including borrowings under our various debt facilities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ind w:left="960"/>
              <w:spacing w:after="0"/>
              <w:rPr>
                <w:sz w:val="20"/>
                <w:szCs w:val="20"/>
                <w:color w:val="auto"/>
              </w:rPr>
            </w:pPr>
            <w:r>
              <w:rPr>
                <w:rFonts w:ascii="Arial" w:cs="Arial" w:eastAsia="Arial" w:hAnsi="Arial"/>
                <w:sz w:val="14"/>
                <w:szCs w:val="14"/>
                <w:b w:val="1"/>
                <w:bCs w:val="1"/>
                <w:color w:val="auto"/>
                <w:w w:val="94"/>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w w:val="98"/>
              </w:rPr>
              <w:t>3-5 years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BNP 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171.0</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171.0</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SunTrust Credit Facility</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301.6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301.6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SBA debentures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CFF"/>
          </w:tcPr>
          <w:p>
            <w:pPr>
              <w:spacing w:after="0"/>
              <w:rPr>
                <w:sz w:val="14"/>
                <w:szCs w:val="14"/>
                <w:color w:val="auto"/>
              </w:rPr>
            </w:pPr>
          </w:p>
        </w:tc>
      </w:tr>
      <w:tr>
        <w:trPr>
          <w:trHeight w:val="162"/>
        </w:trPr>
        <w:tc>
          <w:tcPr>
            <w:tcW w:w="36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2024 Notes</w:t>
            </w: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26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Borders>
              <w:bottom w:val="single" w:sz="8" w:color="CCECFF"/>
            </w:tcBorders>
          </w:tcPr>
          <w:p>
            <w:pPr>
              <w:spacing w:after="0"/>
              <w:rPr>
                <w:sz w:val="14"/>
                <w:szCs w:val="14"/>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697.6</w:t>
            </w:r>
          </w:p>
        </w:tc>
        <w:tc>
          <w:tcPr>
            <w:tcW w:w="2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80" w:type="dxa"/>
            <w:vAlign w:val="bottom"/>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472.6</w:t>
            </w:r>
          </w:p>
        </w:tc>
        <w:tc>
          <w:tcPr>
            <w:tcW w:w="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2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w:t>
            </w:r>
          </w:p>
        </w:tc>
        <w:tc>
          <w:tcPr>
            <w:tcW w:w="120" w:type="dxa"/>
            <w:vAlign w:val="bottom"/>
            <w:shd w:val="clear" w:color="auto" w:fill="CCECFF"/>
          </w:tcPr>
          <w:p>
            <w:pPr>
              <w:spacing w:after="0"/>
              <w:rPr>
                <w:sz w:val="13"/>
                <w:szCs w:val="13"/>
                <w:color w:val="auto"/>
              </w:rPr>
            </w:pPr>
          </w:p>
        </w:tc>
      </w:tr>
      <w:tr>
        <w:trPr>
          <w:trHeight w:val="162"/>
        </w:trPr>
        <w:tc>
          <w:tcPr>
            <w:tcW w:w="36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26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26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CFF"/>
            </w:tcBorders>
          </w:tcPr>
          <w:p>
            <w:pPr>
              <w:spacing w:after="0"/>
              <w:rPr>
                <w:sz w:val="14"/>
                <w:szCs w:val="14"/>
                <w:color w:val="auto"/>
              </w:rPr>
            </w:pPr>
          </w:p>
        </w:tc>
      </w:tr>
      <w:tr>
        <w:trPr>
          <w:trHeight w:val="155"/>
        </w:trPr>
        <w:tc>
          <w:tcPr>
            <w:tcW w:w="368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728.0</w:t>
            </w:r>
          </w:p>
        </w:tc>
        <w:tc>
          <w:tcPr>
            <w:tcW w:w="26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w:t>
            </w:r>
          </w:p>
        </w:tc>
        <w:tc>
          <w:tcPr>
            <w:tcW w:w="26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492.6</w:t>
            </w:r>
          </w:p>
        </w:tc>
        <w:tc>
          <w:tcPr>
            <w:tcW w:w="26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233.5</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44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50" w:lineRule="exact"/>
        <w:rPr>
          <w:sz w:val="20"/>
          <w:szCs w:val="20"/>
          <w:color w:val="auto"/>
        </w:rPr>
      </w:pPr>
    </w:p>
    <w:p>
      <w:pPr>
        <w:ind w:left="380" w:right="240" w:hanging="372"/>
        <w:spacing w:after="0" w:line="230" w:lineRule="auto"/>
        <w:tabs>
          <w:tab w:leader="none" w:pos="380" w:val="left"/>
        </w:tabs>
        <w:numPr>
          <w:ilvl w:val="0"/>
          <w:numId w:val="50"/>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September 30, 2019, excluding debt issuance and retirement costs, was 4.2% exclusive of the fee on the undrawn commitment on the Credit Facilities and of upfront fees on SBA debentures.</w:t>
      </w: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12 of our Consolidated Financial Statements.</w:t>
      </w:r>
    </w:p>
    <w:p>
      <w:pPr>
        <w:spacing w:after="0" w:line="124" w:lineRule="exact"/>
        <w:rPr>
          <w:sz w:val="20"/>
          <w:szCs w:val="20"/>
          <w:color w:val="auto"/>
        </w:rPr>
      </w:pPr>
    </w:p>
    <w:p>
      <w:pPr>
        <w:ind w:right="60" w:firstLine="438"/>
        <w:spacing w:after="0" w:line="273"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2019, and subsequently amended and restated in April 2019, as approved by our board of directors, including a majority of our directors who are not interested persons of us or our Investment Adviser,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4" w:name="page45"/>
    <w:bookmarkEnd w:id="44"/>
    <w:p>
      <w:pPr>
        <w:ind w:right="100" w:firstLine="438"/>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PennantPark Investment, through the Administrator, provides similar services to SBIC II under its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04"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Subsequent to year end, we issued an additional $11.3 million in aggregate principal of the 2024 Notes at par value, generating net proceeds of $10.9 million after underwriting discounts and offering expenses payable by us, as a result of the underwriters’ full exercise of the option to purchase additional 2024 Notes we granted to them in connection with the offering that closed in September 2019. In total, the Company has issued $86.3 of 2024 Notes at par value, generating net proceeds of $83.2 million.</w:t>
      </w:r>
    </w:p>
    <w:p>
      <w:pPr>
        <w:spacing w:after="0" w:line="115" w:lineRule="exact"/>
        <w:rPr>
          <w:sz w:val="20"/>
          <w:szCs w:val="20"/>
          <w:color w:val="auto"/>
        </w:rPr>
      </w:pPr>
    </w:p>
    <w:p>
      <w:pPr>
        <w:ind w:right="100" w:firstLine="438"/>
        <w:spacing w:after="0" w:line="287" w:lineRule="auto"/>
        <w:rPr>
          <w:sz w:val="20"/>
          <w:szCs w:val="20"/>
          <w:color w:val="auto"/>
        </w:rPr>
      </w:pPr>
      <w:r>
        <w:rPr>
          <w:rFonts w:ascii="Arial" w:cs="Arial" w:eastAsia="Arial" w:hAnsi="Arial"/>
          <w:sz w:val="14"/>
          <w:szCs w:val="14"/>
          <w:color w:val="auto"/>
        </w:rPr>
        <w:t>Subsequent to year end, the SBA issued a "green light" or "go forth" letter inviting the Company to file an application to obtain a license to form and operate a third Small Business Investment Company ("SBIC") subsidiary. Receipt of a green light letter from the SBA does not assure an applicant that the SBA will ultimately issue an SBIC license or of the timeframe in which it would receive a license, should one ultimately be granted.</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Subsequent to year end, we have invested approximately $70 million.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02"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6"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During the years ended September 30, 2019 and 2018, we declared distributions of $0.72 per share and $0.72 per share, respectively, for total distributions of $48.4 million and $50.6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123"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200" w:firstLine="438"/>
        <w:spacing w:after="0" w:line="233" w:lineRule="auto"/>
        <w:rPr>
          <w:sz w:val="20"/>
          <w:szCs w:val="20"/>
          <w:color w:val="auto"/>
        </w:rPr>
      </w:pPr>
      <w:r>
        <w:rPr>
          <w:rFonts w:ascii="Arial" w:cs="Arial" w:eastAsia="Arial" w:hAnsi="Arial"/>
          <w:sz w:val="14"/>
          <w:szCs w:val="14"/>
          <w:color w:val="auto"/>
        </w:rPr>
        <w:t>In August 2018, the FASB issued ASU 2018-13, which changed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7"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 xml:space="preserve">In August 2018, the SEC issued Securities Act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or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they are reflected in the Company’s consolidated financial statements and related disclosures. Certain prior year information has been adjusted to conform to these amendments.</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 xml:space="preserve">In March 2019, the SEC issued the Final Rule Release No. 33-10618, </w:t>
      </w:r>
      <w:r>
        <w:rPr>
          <w:rFonts w:ascii="Arial" w:cs="Arial" w:eastAsia="Arial" w:hAnsi="Arial"/>
          <w:sz w:val="14"/>
          <w:szCs w:val="14"/>
          <w:i w:val="1"/>
          <w:iCs w:val="1"/>
          <w:color w:val="auto"/>
        </w:rPr>
        <w:t>FAST Act Modernization and Simplification of Regulation S-K</w:t>
      </w:r>
      <w:r>
        <w:rPr>
          <w:rFonts w:ascii="Arial" w:cs="Arial" w:eastAsia="Arial" w:hAnsi="Arial"/>
          <w:sz w:val="14"/>
          <w:szCs w:val="14"/>
          <w:color w:val="auto"/>
        </w:rPr>
        <w:t>, which amends certain SEC disclosure requirements. The amendments are intended to simplify certain disclosure requirements and to provide for a consistent set of rules to govern incorporating information by reference and hyperlinking, improve readability and navigability of disclosure documents, and discourage repetition and disclosure of immaterial information. The amendments are effective for all filings submitted on or after May 2, 2019. We adopted these amendments as currently required and they are reflected in the Company’s consolidated financial statements and related disclosures. Certain prior year information has been adjusted to conform to these amendments.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5" w:name="page46"/>
    <w:bookmarkEnd w:id="45"/>
    <w:p>
      <w:pPr>
        <w:spacing w:after="0"/>
        <w:tabs>
          <w:tab w:leader="none" w:pos="9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2019, our debt portfolio consisted of 87% variable-rate investments and 13%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3"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500" w:type="dxa"/>
            <w:vAlign w:val="bottom"/>
            <w:tcBorders>
              <w:top w:val="single" w:sz="8" w:color="auto"/>
            </w:tcBorders>
            <w:shd w:val="clear" w:color="auto" w:fill="CCECFF"/>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2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(4,220)</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2980" w:type="dxa"/>
            <w:vAlign w:val="bottom"/>
          </w:tcPr>
          <w:p>
            <w:pPr>
              <w:jc w:val="right"/>
              <w:spacing w:after="0"/>
              <w:rPr>
                <w:sz w:val="20"/>
                <w:szCs w:val="20"/>
                <w:color w:val="auto"/>
              </w:rPr>
            </w:pPr>
            <w:r>
              <w:rPr>
                <w:rFonts w:ascii="Arial" w:cs="Arial" w:eastAsia="Arial" w:hAnsi="Arial"/>
                <w:sz w:val="14"/>
                <w:szCs w:val="14"/>
                <w:color w:val="auto"/>
              </w:rPr>
              <w:t>4,220</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20" w:type="dxa"/>
            <w:vAlign w:val="bottom"/>
            <w:gridSpan w:val="2"/>
            <w:shd w:val="clear" w:color="auto" w:fill="CCECFF"/>
          </w:tcPr>
          <w:p>
            <w:pPr>
              <w:jc w:val="right"/>
              <w:ind w:right="348"/>
              <w:spacing w:after="0"/>
              <w:rPr>
                <w:sz w:val="20"/>
                <w:szCs w:val="20"/>
                <w:color w:val="auto"/>
              </w:rPr>
            </w:pPr>
            <w:r>
              <w:rPr>
                <w:rFonts w:ascii="Arial" w:cs="Arial" w:eastAsia="Arial" w:hAnsi="Arial"/>
                <w:sz w:val="14"/>
                <w:szCs w:val="14"/>
                <w:color w:val="auto"/>
              </w:rPr>
              <w:t>$</w:t>
            </w:r>
          </w:p>
        </w:tc>
        <w:tc>
          <w:tcPr>
            <w:tcW w:w="2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8,439</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2980" w:type="dxa"/>
            <w:vAlign w:val="bottom"/>
          </w:tcPr>
          <w:p>
            <w:pPr>
              <w:jc w:val="right"/>
              <w:spacing w:after="0"/>
              <w:rPr>
                <w:sz w:val="20"/>
                <w:szCs w:val="20"/>
                <w:color w:val="auto"/>
              </w:rPr>
            </w:pPr>
            <w:r>
              <w:rPr>
                <w:rFonts w:ascii="Arial" w:cs="Arial" w:eastAsia="Arial" w:hAnsi="Arial"/>
                <w:sz w:val="14"/>
                <w:szCs w:val="14"/>
                <w:color w:val="auto"/>
              </w:rPr>
              <w:t>12,659</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20" w:type="dxa"/>
            <w:vAlign w:val="bottom"/>
            <w:gridSpan w:val="2"/>
            <w:shd w:val="clear" w:color="auto" w:fill="CCECFF"/>
          </w:tcPr>
          <w:p>
            <w:pPr>
              <w:jc w:val="right"/>
              <w:ind w:right="348"/>
              <w:spacing w:after="0"/>
              <w:rPr>
                <w:sz w:val="20"/>
                <w:szCs w:val="20"/>
                <w:color w:val="auto"/>
              </w:rPr>
            </w:pPr>
            <w:r>
              <w:rPr>
                <w:rFonts w:ascii="Arial" w:cs="Arial" w:eastAsia="Arial" w:hAnsi="Arial"/>
                <w:sz w:val="14"/>
                <w:szCs w:val="14"/>
                <w:color w:val="auto"/>
              </w:rPr>
              <w:t>$</w:t>
            </w:r>
          </w:p>
        </w:tc>
        <w:tc>
          <w:tcPr>
            <w:tcW w:w="2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16,908</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Facilities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740" w:type="dxa"/>
            <w:vAlign w:val="bottom"/>
          </w:tcPr>
          <w:p>
            <w:pPr>
              <w:jc w:val="right"/>
              <w:ind w:right="3628"/>
              <w:spacing w:after="0"/>
              <w:rPr>
                <w:sz w:val="20"/>
                <w:szCs w:val="20"/>
                <w:color w:val="auto"/>
              </w:rPr>
            </w:pPr>
            <w:r>
              <w:rPr>
                <w:rFonts w:ascii="Arial" w:cs="Arial" w:eastAsia="Arial" w:hAnsi="Arial"/>
                <w:sz w:val="14"/>
                <w:szCs w:val="14"/>
                <w:b w:val="1"/>
                <w:bCs w:val="1"/>
                <w:color w:val="auto"/>
              </w:rPr>
              <w:t>Consolidated Financial Statements and Supplementary Data</w:t>
            </w:r>
          </w:p>
        </w:tc>
        <w:tc>
          <w:tcPr>
            <w:tcW w:w="2760" w:type="dxa"/>
            <w:vAlign w:val="bottom"/>
          </w:tcPr>
          <w:p>
            <w:pPr>
              <w:spacing w:after="0"/>
              <w:rPr>
                <w:sz w:val="16"/>
                <w:szCs w:val="16"/>
                <w:color w:val="auto"/>
              </w:rPr>
            </w:pPr>
          </w:p>
        </w:tc>
      </w:tr>
      <w:tr>
        <w:trPr>
          <w:trHeight w:val="317"/>
        </w:trPr>
        <w:tc>
          <w:tcPr>
            <w:tcW w:w="7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76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182"/>
        </w:trPr>
        <w:tc>
          <w:tcPr>
            <w:tcW w:w="8500" w:type="dxa"/>
            <w:vAlign w:val="bottom"/>
            <w:gridSpan w:val="2"/>
          </w:tcPr>
          <w:p>
            <w:pPr>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Management’s Report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Report of Independent Registered Public Accounting Firm</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Report of Independent Registered Public Accounting Firm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Consolidated Statements of Assets and Liabilities as of September 30, 2019 and 2018</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Consolidated Statements of Operations for the years ended September 30, 2019, 2018 and 2017</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Consolidated Statements of Changes in Net Assets for the years ended September 30, 2019, 2018 and 2017</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Consolidated Statements of Cash Flows for the years ended September 30, 2019, 2018 and 2017</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Consolidated Schedules of Investments as of September 30, 2019 and 2018</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Notes to the Consolidated Financial Statements</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513"/>
        </w:trPr>
        <w:tc>
          <w:tcPr>
            <w:tcW w:w="760" w:type="dxa"/>
            <w:vAlign w:val="bottom"/>
          </w:tcPr>
          <w:p>
            <w:pPr>
              <w:spacing w:after="0"/>
              <w:rPr>
                <w:sz w:val="24"/>
                <w:szCs w:val="24"/>
                <w:color w:val="auto"/>
              </w:rPr>
            </w:pPr>
          </w:p>
        </w:tc>
        <w:tc>
          <w:tcPr>
            <w:tcW w:w="7740" w:type="dxa"/>
            <w:vAlign w:val="bottom"/>
          </w:tcPr>
          <w:p>
            <w:pPr>
              <w:jc w:val="right"/>
              <w:ind w:right="2728"/>
              <w:spacing w:after="0"/>
              <w:rPr>
                <w:sz w:val="20"/>
                <w:szCs w:val="20"/>
                <w:color w:val="auto"/>
              </w:rPr>
            </w:pPr>
            <w:r>
              <w:rPr>
                <w:rFonts w:ascii="Arial" w:cs="Arial" w:eastAsia="Arial" w:hAnsi="Arial"/>
                <w:sz w:val="14"/>
                <w:szCs w:val="14"/>
                <w:color w:val="auto"/>
              </w:rPr>
              <w:t>47</w:t>
            </w:r>
          </w:p>
        </w:tc>
        <w:tc>
          <w:tcPr>
            <w:tcW w:w="2760" w:type="dxa"/>
            <w:vAlign w:val="bottom"/>
          </w:tcPr>
          <w:p>
            <w:pPr>
              <w:spacing w:after="0"/>
              <w:rPr>
                <w:sz w:val="24"/>
                <w:szCs w:val="24"/>
                <w:color w:val="auto"/>
              </w:rPr>
            </w:pPr>
          </w:p>
        </w:tc>
      </w:tr>
      <w:tr>
        <w:trPr>
          <w:trHeight w:val="100"/>
        </w:trPr>
        <w:tc>
          <w:tcPr>
            <w:tcW w:w="760" w:type="dxa"/>
            <w:vAlign w:val="bottom"/>
            <w:tcBorders>
              <w:bottom w:val="single" w:sz="8" w:color="9A9A9A"/>
            </w:tcBorders>
          </w:tcPr>
          <w:p>
            <w:pPr>
              <w:spacing w:after="0"/>
              <w:rPr>
                <w:sz w:val="8"/>
                <w:szCs w:val="8"/>
                <w:color w:val="auto"/>
              </w:rPr>
            </w:pPr>
          </w:p>
        </w:tc>
        <w:tc>
          <w:tcPr>
            <w:tcW w:w="77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0"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2019. Our internal control system is a process designed to provide reasonable assurance to our management and board of directors regarding the preparation and fair presentation of published financial statements.</w:t>
      </w:r>
    </w:p>
    <w:p>
      <w:pPr>
        <w:spacing w:after="0" w:line="94"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7"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2019.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2019, our internal control over financial reporting is effective based on those criteria.</w:t>
      </w:r>
    </w:p>
    <w:p>
      <w:pPr>
        <w:spacing w:after="0" w:line="102"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PennantPark Investment’s independent registered public accounting firm has issued an audit report on the effectiveness of our internal control over financial reporting as of September 30, 2019. This report appears on page 50.</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40"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We have audited the accompanying consolidated statements of assets and liabilities, including the consolidated schedules of investments, of PennantPark Investment Corporation and its Subsidiaries (collectively referred to as the Company) as of September 30, 2019 and 2018, and the related consolidated statements of operations, changes in net assets and cash flows for each of the three years in the period ended September 30, 2019, and the related notes to the consolidated financial statements of the Company (collectively, the financial statements). In our opinion, the financial statements present fairly, in all material respects, the financial position of the Company as of September 30, 2019 and 2018, and the results of its operations and its cash flows for each of the three years in the period ended September 30, 2019, in conformity with accounting principles generally accepted in the United States of America, and in our opinion, the related financial statement schedules,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(PCAOB), PennantPark Investment Corporation and its Subsidiaries’ internal control over financial reporting as of September 30, 2019,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and our report dated November 21, 2019, expressed an unqualified opinion on the effectiveness of the Company’s internal control over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0"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5" w:lineRule="exact"/>
        <w:rPr>
          <w:sz w:val="20"/>
          <w:szCs w:val="20"/>
          <w:color w:val="auto"/>
        </w:rPr>
      </w:pPr>
    </w:p>
    <w:p>
      <w:pPr>
        <w:ind w:right="200" w:firstLine="438"/>
        <w:spacing w:after="0" w:line="248"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September 30, 2019, by correspondence with the custodians and brokers or by other appropriate auditing procedures where replies from brokers were not received. We believe that our audits provide a reasonable basis for our opinion.</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21,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Internal Control Over Financial Reporting</w:t>
      </w:r>
    </w:p>
    <w:p>
      <w:pPr>
        <w:spacing w:after="0" w:line="140"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 xml:space="preserve">We have audited PennantPark Investment Corporation and its Subsidiaries' (collectively referred to as the “Company”) internal control over financial reporting as of September 30, 2019,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In our opinion, the Company maintained, in all material respects, effective internal control over financial reporting as of September 30, 2019, based on criteria established in </w:t>
      </w:r>
      <w:r>
        <w:rPr>
          <w:rFonts w:ascii="Arial" w:cs="Arial" w:eastAsia="Arial" w:hAnsi="Arial"/>
          <w:sz w:val="14"/>
          <w:szCs w:val="14"/>
          <w:i w:val="1"/>
          <w:iCs w:val="1"/>
          <w:color w:val="auto"/>
        </w:rPr>
        <w:t>Internal Control — 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w:t>
      </w:r>
      <w:r>
        <w:rPr>
          <w:rFonts w:ascii="Arial" w:cs="Arial" w:eastAsia="Arial" w:hAnsi="Arial"/>
          <w:sz w:val="14"/>
          <w:szCs w:val="14"/>
          <w:color w:val="auto"/>
        </w:rPr>
        <w:t>issued by the Committee of Sponsoring Organizations of the Treadway Commission in 2013.</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statements of assets and liabilities, including the consolidated schedules of investments as of September 30, 2019 and 2018, the related consolidated statements of operations, changes in net assets and cash flows for each of the three years in the period ended September 30, 2019, and the related notes to the consolidated financial statements (collectively, the financial statements) of the Company and our report dated November 21, 2019 expressed an unqualified opinion.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0"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40"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80" w:firstLine="438"/>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 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2018</w:t>
            </w:r>
          </w:p>
        </w:tc>
        <w:tc>
          <w:tcPr>
            <w:tcW w:w="0" w:type="dxa"/>
            <w:vAlign w:val="bottom"/>
          </w:tcPr>
          <w:p>
            <w:pPr>
              <w:spacing w:after="0"/>
              <w:rPr>
                <w:sz w:val="1"/>
                <w:szCs w:val="1"/>
                <w:color w:val="auto"/>
              </w:rPr>
            </w:pPr>
          </w:p>
        </w:tc>
      </w:tr>
      <w:tr>
        <w:trPr>
          <w:trHeight w:val="155"/>
        </w:trPr>
        <w:tc>
          <w:tcPr>
            <w:tcW w:w="78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(cost—$922,304,099 and $896,720,950, respectively)</w:t>
            </w: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936,632,099</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905,271,258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60"/>
              <w:spacing w:after="0"/>
              <w:rPr>
                <w:sz w:val="20"/>
                <w:szCs w:val="20"/>
                <w:color w:val="auto"/>
              </w:rPr>
            </w:pPr>
            <w:r>
              <w:rPr>
                <w:rFonts w:ascii="Arial" w:cs="Arial" w:eastAsia="Arial" w:hAnsi="Arial"/>
                <w:sz w:val="14"/>
                <w:szCs w:val="14"/>
                <w:color w:val="auto"/>
              </w:rPr>
              <w:t>Non-controlled, affiliated investments (cost—$77,600,816 and $91,520,908, respectively)</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49,349,338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78,078,331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(cost—$257,117,800 and $255,574,317, respectively)</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233,451,359</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148,735,885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Pr>
          <w:p>
            <w:pPr>
              <w:ind w:left="260"/>
              <w:spacing w:after="0" w:line="155" w:lineRule="exact"/>
              <w:rPr>
                <w:sz w:val="20"/>
                <w:szCs w:val="20"/>
                <w:color w:val="auto"/>
              </w:rPr>
            </w:pPr>
            <w:r>
              <w:rPr>
                <w:rFonts w:ascii="Arial" w:cs="Arial" w:eastAsia="Arial" w:hAnsi="Arial"/>
                <w:sz w:val="14"/>
                <w:szCs w:val="14"/>
                <w:color w:val="auto"/>
              </w:rPr>
              <w:t>Total of investments (cost—$1,257,022,715 and $1,243,816,175, respectively)</w:t>
            </w: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1,219,432,796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1,132,085,474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(cost—$59,546,438 and $19,543,625, respectively)</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59,516,236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19,506,154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receivable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6,226,539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7,606,964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662,442</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920,235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1,285,838,013</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1,160,118,827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Distributions payable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12,068,119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12,429,712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BNP Credit Facility payable, at fair value (cost—$171,000,000 and zero, respectively) (See Notes 5 and 11)</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170,145,000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820" w:type="dxa"/>
            <w:vAlign w:val="bottom"/>
          </w:tcPr>
          <w:p>
            <w:pPr>
              <w:spacing w:after="0" w:line="143" w:lineRule="exact"/>
              <w:rPr>
                <w:sz w:val="20"/>
                <w:szCs w:val="20"/>
                <w:color w:val="auto"/>
              </w:rPr>
            </w:pPr>
            <w:r>
              <w:rPr>
                <w:rFonts w:ascii="Arial" w:cs="Arial" w:eastAsia="Arial" w:hAnsi="Arial"/>
                <w:sz w:val="14"/>
                <w:szCs w:val="14"/>
                <w:color w:val="auto"/>
              </w:rPr>
              <w:t>SunTrust Credit Facility payable, at fair value (cost—$301,636,000 and $80,520,000, respectively)</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tcPr>
          <w:p>
            <w:pPr>
              <w:ind w:left="120"/>
              <w:spacing w:after="0"/>
              <w:rPr>
                <w:sz w:val="20"/>
                <w:szCs w:val="20"/>
                <w:color w:val="auto"/>
              </w:rPr>
            </w:pPr>
            <w:r>
              <w:rPr>
                <w:rFonts w:ascii="Arial" w:cs="Arial" w:eastAsia="Arial" w:hAnsi="Arial"/>
                <w:sz w:val="14"/>
                <w:szCs w:val="14"/>
                <w:color w:val="auto"/>
              </w:rPr>
              <w:t>(See Notes 5 and 11)</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295,245,214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77,645,830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2024 Notes payable, net (par—$75,000,000 and zero, respectively) (See Notes 5 and 11)</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72,256,607</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2019 Notes payable, at fair value (par—zero and $250,000,000, respectively) (See Notes 5 and 11)</w:t>
            </w:r>
          </w:p>
        </w:tc>
        <w:tc>
          <w:tcPr>
            <w:tcW w:w="100" w:type="dxa"/>
            <w:vAlign w:val="bottom"/>
          </w:tcPr>
          <w:p>
            <w:pPr>
              <w:spacing w:after="0"/>
              <w:rPr>
                <w:sz w:val="14"/>
                <w:szCs w:val="14"/>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251,322,500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SBA debentures payable, net (par—$150,000,000 and $180,000,000, respectively) (See Notes 5 and 11)</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146,111,055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175,373,229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Base management fee payable, net (See Note 3)</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4,641,480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4,086,831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10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2,964,265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payable on debt</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2,895,695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6,576,393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569,175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818,172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703,932,345</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531,216,932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Common stock, 67,045,105 and 69,053,958 shares issued and outstanding, respectively.</w:t>
            </w:r>
          </w:p>
        </w:tc>
        <w:tc>
          <w:tcPr>
            <w:tcW w:w="10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67,045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69,054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788,192,159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803,729,220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Accumulated distributable loss</w:t>
            </w:r>
          </w:p>
        </w:tc>
        <w:tc>
          <w:tcPr>
            <w:tcW w:w="10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(206,353,536)</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(174,896,379)</w:t>
            </w: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581,905,668</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628,901,895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1,285,838,013</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1,160,118,827</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8.68</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Years Ended September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980" w:type="dxa"/>
            <w:vAlign w:val="bottom"/>
            <w:tcBorders>
              <w:bottom w:val="single" w:sz="8" w:color="CCECFF"/>
            </w:tcBorders>
          </w:tcPr>
          <w:p>
            <w:pPr>
              <w:spacing w:after="0"/>
              <w:rPr>
                <w:sz w:val="13"/>
                <w:szCs w:val="13"/>
                <w:color w:val="auto"/>
              </w:rPr>
            </w:pPr>
          </w:p>
        </w:tc>
        <w:tc>
          <w:tcPr>
            <w:tcW w:w="8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r>
      <w:tr>
        <w:trPr>
          <w:trHeight w:val="156"/>
        </w:trPr>
        <w:tc>
          <w:tcPr>
            <w:tcW w:w="59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8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1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88,060,418</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83,255,593</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84,685,961</w:t>
            </w:r>
          </w:p>
        </w:tc>
        <w:tc>
          <w:tcPr>
            <w:tcW w:w="120" w:type="dxa"/>
            <w:vAlign w:val="bottom"/>
            <w:shd w:val="clear" w:color="auto" w:fill="CCECFF"/>
          </w:tcPr>
          <w:p>
            <w:pPr>
              <w:spacing w:after="0"/>
              <w:rPr>
                <w:sz w:val="14"/>
                <w:szCs w:val="14"/>
                <w:color w:val="auto"/>
              </w:rPr>
            </w:pP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6,445,122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5,645,535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3,819,996</w:t>
            </w:r>
          </w:p>
        </w:tc>
        <w:tc>
          <w:tcPr>
            <w:tcW w:w="120" w:type="dxa"/>
            <w:vAlign w:val="bottom"/>
          </w:tcPr>
          <w:p>
            <w:pPr>
              <w:spacing w:after="0"/>
              <w:rPr>
                <w:sz w:val="14"/>
                <w:szCs w:val="14"/>
                <w:color w:val="auto"/>
              </w:rPr>
            </w:pP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3,122,988</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6,981,507</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7,079,034</w:t>
            </w:r>
          </w:p>
        </w:tc>
        <w:tc>
          <w:tcPr>
            <w:tcW w:w="120" w:type="dxa"/>
            <w:vAlign w:val="bottom"/>
            <w:shd w:val="clear" w:color="auto" w:fill="CCECFF"/>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3,013,976</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10,339,444</w:t>
            </w:r>
          </w:p>
        </w:tc>
        <w:tc>
          <w:tcPr>
            <w:tcW w:w="120" w:type="dxa"/>
            <w:vAlign w:val="bottom"/>
            <w:shd w:val="clear" w:color="auto" w:fill="CCECFF"/>
          </w:tcPr>
          <w:p>
            <w:pPr>
              <w:spacing w:after="0"/>
              <w:rPr>
                <w:sz w:val="14"/>
                <w:szCs w:val="14"/>
                <w:color w:val="auto"/>
              </w:rPr>
            </w:pP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2,031,589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5,475,491</w:t>
            </w:r>
          </w:p>
        </w:tc>
        <w:tc>
          <w:tcPr>
            <w:tcW w:w="120" w:type="dxa"/>
            <w:vAlign w:val="bottom"/>
          </w:tcPr>
          <w:p>
            <w:pPr>
              <w:spacing w:after="0"/>
              <w:rPr>
                <w:sz w:val="14"/>
                <w:szCs w:val="14"/>
                <w:color w:val="auto"/>
              </w:rPr>
            </w:pP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1,609,935</w:t>
            </w:r>
          </w:p>
        </w:tc>
        <w:tc>
          <w:tcPr>
            <w:tcW w:w="120" w:type="dxa"/>
            <w:vAlign w:val="bottom"/>
            <w:shd w:val="clear" w:color="auto" w:fill="CCECFF"/>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9,381,881</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4,499,350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734,163</w:t>
            </w:r>
          </w:p>
        </w:tc>
        <w:tc>
          <w:tcPr>
            <w:tcW w:w="120" w:type="dxa"/>
            <w:vAlign w:val="bottom"/>
            <w:shd w:val="clear" w:color="auto" w:fill="CCECFF"/>
          </w:tcPr>
          <w:p>
            <w:pPr>
              <w:spacing w:after="0"/>
              <w:rPr>
                <w:sz w:val="14"/>
                <w:szCs w:val="14"/>
                <w:color w:val="auto"/>
              </w:rPr>
            </w:pP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4,319,300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2,850,498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10,790,300</w:t>
            </w:r>
          </w:p>
        </w:tc>
        <w:tc>
          <w:tcPr>
            <w:tcW w:w="120" w:type="dxa"/>
            <w:vAlign w:val="bottom"/>
          </w:tcPr>
          <w:p>
            <w:pPr>
              <w:spacing w:after="0"/>
              <w:rPr>
                <w:sz w:val="14"/>
                <w:szCs w:val="14"/>
                <w:color w:val="auto"/>
              </w:rPr>
            </w:pP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776,945</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59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8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112,106,654</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108,278,048</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124,534,324</w:t>
            </w:r>
          </w:p>
        </w:tc>
        <w:tc>
          <w:tcPr>
            <w:tcW w:w="120" w:type="dxa"/>
            <w:vAlign w:val="bottom"/>
            <w:tcBorders>
              <w:bottom w:val="single" w:sz="8" w:color="CCECFF"/>
            </w:tcBorders>
          </w:tcPr>
          <w:p>
            <w:pPr>
              <w:spacing w:after="0"/>
              <w:rPr>
                <w:sz w:val="13"/>
                <w:szCs w:val="13"/>
                <w:color w:val="auto"/>
              </w:rPr>
            </w:pPr>
          </w:p>
        </w:tc>
      </w:tr>
      <w:tr>
        <w:trPr>
          <w:trHeight w:val="156"/>
        </w:trPr>
        <w:tc>
          <w:tcPr>
            <w:tcW w:w="59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8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18,225,229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17,468,376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24,218,029</w:t>
            </w:r>
          </w:p>
        </w:tc>
        <w:tc>
          <w:tcPr>
            <w:tcW w:w="120" w:type="dxa"/>
            <w:vAlign w:val="bottom"/>
          </w:tcPr>
          <w:p>
            <w:pPr>
              <w:spacing w:after="0"/>
              <w:rPr>
                <w:sz w:val="14"/>
                <w:szCs w:val="14"/>
                <w:color w:val="auto"/>
              </w:rPr>
            </w:pP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5,146,696</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11,492,928</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11,077,956</w:t>
            </w:r>
          </w:p>
        </w:tc>
        <w:tc>
          <w:tcPr>
            <w:tcW w:w="120" w:type="dxa"/>
            <w:vAlign w:val="bottom"/>
            <w:shd w:val="clear" w:color="auto" w:fill="CCECFF"/>
          </w:tcPr>
          <w:p>
            <w:pPr>
              <w:spacing w:after="0"/>
              <w:rPr>
                <w:sz w:val="14"/>
                <w:szCs w:val="14"/>
                <w:color w:val="auto"/>
              </w:rPr>
            </w:pP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11)</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28,943,312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22,818,492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26,642,113</w:t>
            </w:r>
          </w:p>
        </w:tc>
        <w:tc>
          <w:tcPr>
            <w:tcW w:w="120" w:type="dxa"/>
            <w:vAlign w:val="bottom"/>
          </w:tcPr>
          <w:p>
            <w:pPr>
              <w:spacing w:after="0"/>
              <w:rPr>
                <w:sz w:val="14"/>
                <w:szCs w:val="14"/>
                <w:color w:val="auto"/>
              </w:rPr>
            </w:pP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2,113,895</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2,086,500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3,576,000</w:t>
            </w:r>
          </w:p>
        </w:tc>
        <w:tc>
          <w:tcPr>
            <w:tcW w:w="120" w:type="dxa"/>
            <w:vAlign w:val="bottom"/>
            <w:shd w:val="clear" w:color="auto" w:fill="CCECFF"/>
          </w:tcPr>
          <w:p>
            <w:pPr>
              <w:spacing w:after="0"/>
              <w:rPr>
                <w:sz w:val="14"/>
                <w:szCs w:val="14"/>
                <w:color w:val="auto"/>
              </w:rPr>
            </w:pPr>
          </w:p>
        </w:tc>
      </w:tr>
      <w:tr>
        <w:trPr>
          <w:trHeight w:val="162"/>
        </w:trPr>
        <w:tc>
          <w:tcPr>
            <w:tcW w:w="59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8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2,637,820</w:t>
            </w:r>
          </w:p>
        </w:tc>
        <w:tc>
          <w:tcPr>
            <w:tcW w:w="2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2,504,853</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2,662,640</w:t>
            </w:r>
          </w:p>
        </w:tc>
        <w:tc>
          <w:tcPr>
            <w:tcW w:w="120" w:type="dxa"/>
            <w:vAlign w:val="bottom"/>
            <w:tcBorders>
              <w:bottom w:val="single" w:sz="8" w:color="CCECFF"/>
            </w:tcBorders>
          </w:tcPr>
          <w:p>
            <w:pPr>
              <w:spacing w:after="0"/>
              <w:rPr>
                <w:sz w:val="14"/>
                <w:szCs w:val="14"/>
                <w:color w:val="auto"/>
              </w:rPr>
            </w:pPr>
          </w:p>
        </w:tc>
      </w:tr>
      <w:tr>
        <w:trPr>
          <w:trHeight w:val="155"/>
        </w:trPr>
        <w:tc>
          <w:tcPr>
            <w:tcW w:w="59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management fee waiver, provision for taxes and financing costs</w:t>
            </w:r>
          </w:p>
        </w:tc>
        <w:tc>
          <w:tcPr>
            <w:tcW w:w="8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57,066,952</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56,371,149</w:t>
            </w: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68,176,738</w:t>
            </w:r>
          </w:p>
        </w:tc>
        <w:tc>
          <w:tcPr>
            <w:tcW w:w="120" w:type="dxa"/>
            <w:vAlign w:val="bottom"/>
            <w:shd w:val="clear" w:color="auto" w:fill="CCECFF"/>
          </w:tcPr>
          <w:p>
            <w:pPr>
              <w:spacing w:after="0"/>
              <w:rPr>
                <w:sz w:val="13"/>
                <w:szCs w:val="13"/>
                <w:color w:val="auto"/>
              </w:rPr>
            </w:pPr>
          </w:p>
        </w:tc>
      </w:tr>
      <w:tr>
        <w:trPr>
          <w:trHeight w:val="156"/>
        </w:trPr>
        <w:tc>
          <w:tcPr>
            <w:tcW w:w="5980" w:type="dxa"/>
            <w:vAlign w:val="bottom"/>
          </w:tcPr>
          <w:p>
            <w:pPr>
              <w:ind w:left="260"/>
              <w:spacing w:after="0" w:line="155" w:lineRule="exact"/>
              <w:rPr>
                <w:sz w:val="20"/>
                <w:szCs w:val="20"/>
                <w:color w:val="auto"/>
              </w:rPr>
            </w:pPr>
            <w:r>
              <w:rPr>
                <w:rFonts w:ascii="Arial" w:cs="Arial" w:eastAsia="Arial" w:hAnsi="Arial"/>
                <w:sz w:val="14"/>
                <w:szCs w:val="14"/>
                <w:color w:val="auto"/>
              </w:rPr>
              <w:t>Management Fees waiver (See Note 3)</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(1,427,253)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(5,647,358)</w:t>
            </w:r>
          </w:p>
        </w:tc>
        <w:tc>
          <w:tcPr>
            <w:tcW w:w="120" w:type="dxa"/>
            <w:vAlign w:val="bottom"/>
          </w:tcPr>
          <w:p>
            <w:pPr>
              <w:spacing w:after="0"/>
              <w:rPr>
                <w:sz w:val="13"/>
                <w:szCs w:val="13"/>
                <w:color w:val="auto"/>
              </w:rPr>
            </w:pP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1,200,000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1,700,000</w:t>
            </w:r>
          </w:p>
        </w:tc>
        <w:tc>
          <w:tcPr>
            <w:tcW w:w="120" w:type="dxa"/>
            <w:vAlign w:val="bottom"/>
            <w:shd w:val="clear" w:color="auto" w:fill="CCECFF"/>
          </w:tcPr>
          <w:p>
            <w:pPr>
              <w:spacing w:after="0"/>
              <w:rPr>
                <w:sz w:val="14"/>
                <w:szCs w:val="14"/>
                <w:color w:val="auto"/>
              </w:rPr>
            </w:pP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Make-whole premium (See Notes 5 and 11)</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2,162,526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amendment and debt issuance costs (See Notes 5 and 11)</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7,080,205</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3,866,633</w:t>
            </w:r>
          </w:p>
        </w:tc>
        <w:tc>
          <w:tcPr>
            <w:tcW w:w="120" w:type="dxa"/>
            <w:vAlign w:val="bottom"/>
            <w:shd w:val="clear" w:color="auto" w:fill="CCECFF"/>
          </w:tcPr>
          <w:p>
            <w:pPr>
              <w:spacing w:after="0"/>
              <w:rPr>
                <w:sz w:val="14"/>
                <w:szCs w:val="14"/>
                <w:color w:val="auto"/>
              </w:rPr>
            </w:pPr>
          </w:p>
        </w:tc>
      </w:tr>
      <w:tr>
        <w:trPr>
          <w:trHeight w:val="156"/>
        </w:trPr>
        <w:tc>
          <w:tcPr>
            <w:tcW w:w="59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8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67,509,683</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54,943,896</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68,096,013</w:t>
            </w:r>
          </w:p>
        </w:tc>
        <w:tc>
          <w:tcPr>
            <w:tcW w:w="120" w:type="dxa"/>
            <w:vAlign w:val="bottom"/>
            <w:tcBorders>
              <w:bottom w:val="single" w:sz="8" w:color="CCECFF"/>
            </w:tcBorders>
          </w:tcPr>
          <w:p>
            <w:pPr>
              <w:spacing w:after="0"/>
              <w:rPr>
                <w:sz w:val="13"/>
                <w:szCs w:val="13"/>
                <w:color w:val="auto"/>
              </w:rPr>
            </w:pPr>
          </w:p>
        </w:tc>
      </w:tr>
      <w:tr>
        <w:trPr>
          <w:trHeight w:val="155"/>
        </w:trPr>
        <w:tc>
          <w:tcPr>
            <w:tcW w:w="59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8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44,596,971</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53,334,152</w:t>
            </w: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56,438,311</w:t>
            </w:r>
          </w:p>
        </w:tc>
        <w:tc>
          <w:tcPr>
            <w:tcW w:w="120" w:type="dxa"/>
            <w:vAlign w:val="bottom"/>
            <w:shd w:val="clear" w:color="auto" w:fill="CCECFF"/>
          </w:tcPr>
          <w:p>
            <w:pPr>
              <w:spacing w:after="0"/>
              <w:rPr>
                <w:sz w:val="13"/>
                <w:szCs w:val="13"/>
                <w:color w:val="auto"/>
              </w:rPr>
            </w:pPr>
          </w:p>
        </w:tc>
      </w:tr>
      <w:tr>
        <w:trPr>
          <w:trHeight w:val="156"/>
        </w:trPr>
        <w:tc>
          <w:tcPr>
            <w:tcW w:w="598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change in unrealized (loss) gain on investments and debt:</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98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gain on investments on:</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(51,940,526)</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34,813,876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2,567,041</w:t>
            </w:r>
          </w:p>
        </w:tc>
        <w:tc>
          <w:tcPr>
            <w:tcW w:w="120" w:type="dxa"/>
            <w:vAlign w:val="bottom"/>
          </w:tcPr>
          <w:p>
            <w:pPr>
              <w:spacing w:after="0"/>
              <w:rPr>
                <w:sz w:val="14"/>
                <w:szCs w:val="14"/>
                <w:color w:val="auto"/>
              </w:rPr>
            </w:pP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(56,575,132)</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11,042,330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(33,594,078)</w:t>
            </w:r>
          </w:p>
        </w:tc>
      </w:tr>
      <w:tr>
        <w:trPr>
          <w:trHeight w:val="156"/>
        </w:trPr>
        <w:tc>
          <w:tcPr>
            <w:tcW w:w="59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Net realized (loss) gain on investments</w:t>
            </w:r>
          </w:p>
        </w:tc>
        <w:tc>
          <w:tcPr>
            <w:tcW w:w="8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(108,515,658)</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45,856,206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(31,027,037)</w:t>
            </w:r>
          </w:p>
        </w:tc>
        <w:tc>
          <w:tcPr>
            <w:tcW w:w="120" w:type="dxa"/>
            <w:vAlign w:val="bottom"/>
          </w:tcPr>
          <w:p>
            <w:pPr>
              <w:spacing w:after="0"/>
              <w:rPr>
                <w:sz w:val="13"/>
                <w:szCs w:val="13"/>
                <w:color w:val="auto"/>
              </w:rPr>
            </w:pPr>
          </w:p>
        </w:tc>
      </w:tr>
      <w:tr>
        <w:trPr>
          <w:trHeight w:val="162"/>
        </w:trPr>
        <w:tc>
          <w:tcPr>
            <w:tcW w:w="5980" w:type="dxa"/>
            <w:vAlign w:val="bottom"/>
            <w:shd w:val="clear" w:color="auto" w:fill="CCECFF"/>
          </w:tcPr>
          <w:p>
            <w:pPr>
              <w:spacing w:after="0"/>
              <w:rPr>
                <w:sz w:val="20"/>
                <w:szCs w:val="20"/>
                <w:color w:val="auto"/>
              </w:rPr>
            </w:pPr>
            <w:r>
              <w:rPr>
                <w:rFonts w:ascii="Arial" w:cs="Arial" w:eastAsia="Arial" w:hAnsi="Arial"/>
                <w:sz w:val="14"/>
                <w:szCs w:val="14"/>
                <w:color w:val="auto"/>
              </w:rPr>
              <w:t>Net change in change in unrealized appreciation (depreciation) on:</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22,788,117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(16,751,386)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16,950,900</w:t>
            </w:r>
          </w:p>
        </w:tc>
        <w:tc>
          <w:tcPr>
            <w:tcW w:w="120" w:type="dxa"/>
            <w:vAlign w:val="bottom"/>
          </w:tcPr>
          <w:p>
            <w:pPr>
              <w:spacing w:after="0"/>
              <w:rPr>
                <w:sz w:val="14"/>
                <w:szCs w:val="14"/>
                <w:color w:val="auto"/>
              </w:rPr>
            </w:pPr>
          </w:p>
        </w:tc>
      </w:tr>
      <w:tr>
        <w:trPr>
          <w:trHeight w:val="162"/>
        </w:trPr>
        <w:tc>
          <w:tcPr>
            <w:tcW w:w="59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8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51,361,260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(38,586,621)</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26,904,281</w:t>
            </w:r>
          </w:p>
        </w:tc>
        <w:tc>
          <w:tcPr>
            <w:tcW w:w="120" w:type="dxa"/>
            <w:vAlign w:val="bottom"/>
            <w:shd w:val="clear" w:color="auto" w:fill="CCECFF"/>
          </w:tcPr>
          <w:p>
            <w:pPr>
              <w:spacing w:after="0"/>
              <w:rPr>
                <w:sz w:val="14"/>
                <w:szCs w:val="14"/>
                <w:color w:val="auto"/>
              </w:rPr>
            </w:pPr>
          </w:p>
        </w:tc>
      </w:tr>
      <w:tr>
        <w:trPr>
          <w:trHeight w:val="162"/>
        </w:trPr>
        <w:tc>
          <w:tcPr>
            <w:tcW w:w="5980" w:type="dxa"/>
            <w:vAlign w:val="bottom"/>
          </w:tcPr>
          <w:p>
            <w:pPr>
              <w:ind w:left="260"/>
              <w:spacing w:after="0"/>
              <w:rPr>
                <w:sz w:val="20"/>
                <w:szCs w:val="20"/>
                <w:color w:val="auto"/>
              </w:rPr>
            </w:pPr>
            <w:r>
              <w:rPr>
                <w:rFonts w:ascii="Arial" w:cs="Arial" w:eastAsia="Arial" w:hAnsi="Arial"/>
                <w:sz w:val="14"/>
                <w:szCs w:val="14"/>
                <w:color w:val="auto"/>
              </w:rPr>
              <w:t>Debt depreciation (appreciation) (See Notes 5 and 11)</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5,694,116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3,861,111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(7,554,954)</w:t>
            </w:r>
          </w:p>
        </w:tc>
      </w:tr>
      <w:tr>
        <w:trPr>
          <w:trHeight w:val="155"/>
        </w:trPr>
        <w:tc>
          <w:tcPr>
            <w:tcW w:w="598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8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79,843,493</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(51,476,896)</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36,300,227</w:t>
            </w:r>
          </w:p>
        </w:tc>
        <w:tc>
          <w:tcPr>
            <w:tcW w:w="120" w:type="dxa"/>
            <w:vAlign w:val="bottom"/>
            <w:tcBorders>
              <w:top w:val="single" w:sz="8" w:color="CCECFF"/>
            </w:tcBorders>
            <w:shd w:val="clear" w:color="auto" w:fill="CCECFF"/>
          </w:tcPr>
          <w:p>
            <w:pPr>
              <w:spacing w:after="0"/>
              <w:rPr>
                <w:sz w:val="13"/>
                <w:szCs w:val="13"/>
                <w:color w:val="auto"/>
              </w:rPr>
            </w:pPr>
          </w:p>
        </w:tc>
      </w:tr>
      <w:tr>
        <w:trPr>
          <w:trHeight w:val="156"/>
        </w:trPr>
        <w:tc>
          <w:tcPr>
            <w:tcW w:w="59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change in unrealized (loss) gain from investments and debt</w:t>
            </w:r>
          </w:p>
        </w:tc>
        <w:tc>
          <w:tcPr>
            <w:tcW w:w="8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(28,672,165)</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(5,620,690)</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5,273,190</w:t>
            </w:r>
          </w:p>
        </w:tc>
        <w:tc>
          <w:tcPr>
            <w:tcW w:w="120" w:type="dxa"/>
            <w:vAlign w:val="bottom"/>
            <w:tcBorders>
              <w:bottom w:val="single" w:sz="8" w:color="CCECFF"/>
            </w:tcBorders>
          </w:tcPr>
          <w:p>
            <w:pPr>
              <w:spacing w:after="0"/>
              <w:rPr>
                <w:sz w:val="13"/>
                <w:szCs w:val="13"/>
                <w:color w:val="auto"/>
              </w:rPr>
            </w:pPr>
          </w:p>
        </w:tc>
      </w:tr>
      <w:tr>
        <w:trPr>
          <w:trHeight w:val="155"/>
        </w:trPr>
        <w:tc>
          <w:tcPr>
            <w:tcW w:w="59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8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15,924,806</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47,713,462</w:t>
            </w: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61,711,501</w:t>
            </w:r>
          </w:p>
        </w:tc>
        <w:tc>
          <w:tcPr>
            <w:tcW w:w="120" w:type="dxa"/>
            <w:vAlign w:val="bottom"/>
            <w:shd w:val="clear" w:color="auto" w:fill="CCECFF"/>
          </w:tcPr>
          <w:p>
            <w:pPr>
              <w:spacing w:after="0"/>
              <w:rPr>
                <w:sz w:val="13"/>
                <w:szCs w:val="13"/>
                <w:color w:val="auto"/>
              </w:rPr>
            </w:pPr>
          </w:p>
        </w:tc>
      </w:tr>
      <w:tr>
        <w:trPr>
          <w:trHeight w:val="195"/>
        </w:trPr>
        <w:tc>
          <w:tcPr>
            <w:tcW w:w="59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82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0.24</w:t>
            </w:r>
          </w:p>
        </w:tc>
        <w:tc>
          <w:tcPr>
            <w:tcW w:w="26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0.68</w:t>
            </w:r>
          </w:p>
        </w:tc>
        <w:tc>
          <w:tcPr>
            <w:tcW w:w="22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0.87</w:t>
            </w:r>
          </w:p>
        </w:tc>
        <w:tc>
          <w:tcPr>
            <w:tcW w:w="120" w:type="dxa"/>
            <w:vAlign w:val="bottom"/>
            <w:tcBorders>
              <w:bottom w:val="single" w:sz="8" w:color="CCECFF"/>
            </w:tcBorders>
          </w:tcPr>
          <w:p>
            <w:pPr>
              <w:spacing w:after="0"/>
              <w:rPr>
                <w:sz w:val="17"/>
                <w:szCs w:val="17"/>
                <w:color w:val="auto"/>
              </w:rPr>
            </w:pPr>
          </w:p>
        </w:tc>
      </w:tr>
      <w:tr>
        <w:trPr>
          <w:trHeight w:val="143"/>
        </w:trPr>
        <w:tc>
          <w:tcPr>
            <w:tcW w:w="59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82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0.66</w:t>
            </w:r>
          </w:p>
        </w:tc>
        <w:tc>
          <w:tcPr>
            <w:tcW w:w="26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0.75</w:t>
            </w:r>
          </w:p>
        </w:tc>
        <w:tc>
          <w:tcPr>
            <w:tcW w:w="22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0.79</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Years Ended September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480" w:type="dxa"/>
            <w:vAlign w:val="bottom"/>
            <w:tcBorders>
              <w:bottom w:val="single" w:sz="8" w:color="CCECFF"/>
            </w:tcBorders>
          </w:tcPr>
          <w:p>
            <w:pPr>
              <w:spacing w:after="0"/>
              <w:rPr>
                <w:sz w:val="13"/>
                <w:szCs w:val="13"/>
                <w:color w:val="auto"/>
              </w:rPr>
            </w:pPr>
          </w:p>
        </w:tc>
        <w:tc>
          <w:tcPr>
            <w:tcW w:w="13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r>
      <w:tr>
        <w:trPr>
          <w:trHeight w:val="156"/>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44,596,971</w:t>
            </w:r>
          </w:p>
        </w:tc>
        <w:tc>
          <w:tcPr>
            <w:tcW w:w="26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53,334,152</w:t>
            </w:r>
          </w:p>
        </w:tc>
        <w:tc>
          <w:tcPr>
            <w:tcW w:w="220" w:type="dxa"/>
            <w:vAlign w:val="bottom"/>
          </w:tcPr>
          <w:p>
            <w:pPr>
              <w:spacing w:after="0"/>
              <w:rPr>
                <w:sz w:val="14"/>
                <w:szCs w:val="14"/>
                <w:color w:val="auto"/>
              </w:rPr>
            </w:pPr>
          </w:p>
        </w:tc>
        <w:tc>
          <w:tcPr>
            <w:tcW w:w="3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56,438,311</w:t>
            </w:r>
          </w:p>
        </w:tc>
        <w:tc>
          <w:tcPr>
            <w:tcW w:w="120" w:type="dxa"/>
            <w:vAlign w:val="bottom"/>
          </w:tcPr>
          <w:p>
            <w:pPr>
              <w:spacing w:after="0"/>
              <w:rPr>
                <w:sz w:val="14"/>
                <w:szCs w:val="14"/>
                <w:color w:val="auto"/>
              </w:rPr>
            </w:pPr>
          </w:p>
        </w:tc>
      </w:tr>
      <w:tr>
        <w:trPr>
          <w:trHeight w:val="162"/>
        </w:trPr>
        <w:tc>
          <w:tcPr>
            <w:tcW w:w="5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gain on investments</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(108,515,658)</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45,856,206</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(31,027,037)</w:t>
            </w:r>
          </w:p>
        </w:tc>
      </w:tr>
      <w:tr>
        <w:trPr>
          <w:trHeight w:val="162"/>
        </w:trPr>
        <w:tc>
          <w:tcPr>
            <w:tcW w:w="548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74,149,377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(55,338,007)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43,855,181</w:t>
            </w:r>
          </w:p>
        </w:tc>
        <w:tc>
          <w:tcPr>
            <w:tcW w:w="120" w:type="dxa"/>
            <w:vAlign w:val="bottom"/>
          </w:tcPr>
          <w:p>
            <w:pPr>
              <w:spacing w:after="0"/>
              <w:rPr>
                <w:sz w:val="14"/>
                <w:szCs w:val="14"/>
                <w:color w:val="auto"/>
              </w:rPr>
            </w:pPr>
          </w:p>
        </w:tc>
      </w:tr>
      <w:tr>
        <w:trPr>
          <w:trHeight w:val="162"/>
        </w:trPr>
        <w:tc>
          <w:tcPr>
            <w:tcW w:w="5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(appreciation) on debt</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5,694,116</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3,861,111</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(7,554,954)</w:t>
            </w:r>
          </w:p>
        </w:tc>
      </w:tr>
      <w:tr>
        <w:trPr>
          <w:trHeight w:val="155"/>
        </w:trPr>
        <w:tc>
          <w:tcPr>
            <w:tcW w:w="54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3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15,924,806</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47,713,462</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61,711,501</w:t>
            </w:r>
          </w:p>
        </w:tc>
        <w:tc>
          <w:tcPr>
            <w:tcW w:w="120" w:type="dxa"/>
            <w:vAlign w:val="bottom"/>
            <w:tcBorders>
              <w:bottom w:val="single" w:sz="8" w:color="CCECFF"/>
            </w:tcBorders>
          </w:tcPr>
          <w:p>
            <w:pPr>
              <w:spacing w:after="0"/>
              <w:rPr>
                <w:sz w:val="13"/>
                <w:szCs w:val="13"/>
                <w:color w:val="auto"/>
              </w:rPr>
            </w:pPr>
          </w:p>
        </w:tc>
      </w:tr>
      <w:tr>
        <w:trPr>
          <w:trHeight w:val="156"/>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1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4"/>
                <w:szCs w:val="14"/>
                <w:color w:val="auto"/>
              </w:rPr>
              <w:t>Distribution of net investment income</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(48,449,313)</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(50,609,467)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(58,269,886)</w:t>
            </w:r>
          </w:p>
        </w:tc>
      </w:tr>
      <w:tr>
        <w:trPr>
          <w:trHeight w:val="162"/>
        </w:trPr>
        <w:tc>
          <w:tcPr>
            <w:tcW w:w="5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Distribution of realized gains</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54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13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(48,449,313)</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(50,609,467)</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(58,269,886)</w:t>
            </w:r>
          </w:p>
        </w:tc>
        <w:tc>
          <w:tcPr>
            <w:tcW w:w="120" w:type="dxa"/>
            <w:vAlign w:val="bottom"/>
            <w:tcBorders>
              <w:bottom w:val="single" w:sz="8" w:color="CCECFF"/>
            </w:tcBorders>
          </w:tcPr>
          <w:p>
            <w:pPr>
              <w:spacing w:after="0"/>
              <w:rPr>
                <w:sz w:val="13"/>
                <w:szCs w:val="13"/>
                <w:color w:val="auto"/>
              </w:rPr>
            </w:pPr>
          </w:p>
        </w:tc>
      </w:tr>
      <w:tr>
        <w:trPr>
          <w:trHeight w:val="156"/>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4"/>
                <w:szCs w:val="14"/>
                <w:color w:val="auto"/>
              </w:rPr>
              <w:t>Repurchase of common stock</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(14,471,720)</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(15,010,571)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54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13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(46,996,227)</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(17,906,576)</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3,441,615</w:t>
            </w:r>
          </w:p>
        </w:tc>
        <w:tc>
          <w:tcPr>
            <w:tcW w:w="120" w:type="dxa"/>
            <w:vAlign w:val="bottom"/>
            <w:tcBorders>
              <w:top w:val="single" w:sz="8" w:color="CCECFF"/>
            </w:tcBorders>
            <w:shd w:val="clear" w:color="auto" w:fill="CCECFF"/>
          </w:tcPr>
          <w:p>
            <w:pPr>
              <w:spacing w:after="0"/>
              <w:rPr>
                <w:sz w:val="13"/>
                <w:szCs w:val="13"/>
                <w:color w:val="auto"/>
              </w:rPr>
            </w:pPr>
          </w:p>
        </w:tc>
      </w:tr>
      <w:tr>
        <w:trPr>
          <w:trHeight w:val="155"/>
        </w:trPr>
        <w:tc>
          <w:tcPr>
            <w:tcW w:w="5480" w:type="dxa"/>
            <w:vAlign w:val="bottom"/>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Beginning of year</w:t>
            </w:r>
          </w:p>
        </w:tc>
        <w:tc>
          <w:tcPr>
            <w:tcW w:w="13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628,901,895</w:t>
            </w:r>
          </w:p>
        </w:tc>
        <w:tc>
          <w:tcPr>
            <w:tcW w:w="26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646,808,471</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643,366,856</w:t>
            </w:r>
          </w:p>
        </w:tc>
        <w:tc>
          <w:tcPr>
            <w:tcW w:w="120" w:type="dxa"/>
            <w:vAlign w:val="bottom"/>
            <w:shd w:val="clear" w:color="auto" w:fill="CCECFF"/>
          </w:tcPr>
          <w:p>
            <w:pPr>
              <w:spacing w:after="0"/>
              <w:rPr>
                <w:sz w:val="14"/>
                <w:szCs w:val="14"/>
                <w:color w:val="auto"/>
              </w:rPr>
            </w:pPr>
          </w:p>
        </w:tc>
      </w:tr>
      <w:tr>
        <w:trPr>
          <w:trHeight w:val="155"/>
        </w:trPr>
        <w:tc>
          <w:tcPr>
            <w:tcW w:w="5480" w:type="dxa"/>
            <w:vAlign w:val="bottom"/>
          </w:tcPr>
          <w:p>
            <w:pPr>
              <w:ind w:left="260"/>
              <w:spacing w:after="0" w:line="155" w:lineRule="exact"/>
              <w:rPr>
                <w:sz w:val="20"/>
                <w:szCs w:val="20"/>
                <w:color w:val="auto"/>
              </w:rPr>
            </w:pPr>
            <w:r>
              <w:rPr>
                <w:rFonts w:ascii="Arial" w:cs="Arial" w:eastAsia="Arial" w:hAnsi="Arial"/>
                <w:sz w:val="14"/>
                <w:szCs w:val="14"/>
                <w:color w:val="auto"/>
              </w:rPr>
              <w:t>End of year</w:t>
            </w:r>
          </w:p>
        </w:tc>
        <w:tc>
          <w:tcPr>
            <w:tcW w:w="132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581,905,668</w:t>
            </w:r>
          </w:p>
        </w:tc>
        <w:tc>
          <w:tcPr>
            <w:tcW w:w="26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628,901,895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646,808,471</w:t>
            </w:r>
          </w:p>
        </w:tc>
        <w:tc>
          <w:tcPr>
            <w:tcW w:w="120" w:type="dxa"/>
            <w:vAlign w:val="bottom"/>
          </w:tcPr>
          <w:p>
            <w:pPr>
              <w:spacing w:after="0"/>
              <w:rPr>
                <w:sz w:val="13"/>
                <w:szCs w:val="13"/>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Capital share activity:</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4"/>
                <w:szCs w:val="14"/>
                <w:color w:val="auto"/>
              </w:rPr>
              <w:t>Shares of common stock repurchased</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(2,008,853)</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(2,006,878)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0"/>
        </w:trPr>
        <w:tc>
          <w:tcPr>
            <w:tcW w:w="5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STEATEMENTS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Years Ended September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CECFF"/>
            </w:tcBorders>
          </w:tcPr>
          <w:p>
            <w:pPr>
              <w:spacing w:after="0"/>
              <w:rPr>
                <w:sz w:val="13"/>
                <w:szCs w:val="13"/>
                <w:color w:val="auto"/>
              </w:rPr>
            </w:pPr>
          </w:p>
        </w:tc>
        <w:tc>
          <w:tcPr>
            <w:tcW w:w="8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15,924,806</w:t>
            </w:r>
          </w:p>
        </w:tc>
        <w:tc>
          <w:tcPr>
            <w:tcW w:w="26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47,713,462</w:t>
            </w:r>
          </w:p>
        </w:tc>
        <w:tc>
          <w:tcPr>
            <w:tcW w:w="220" w:type="dxa"/>
            <w:vAlign w:val="bottom"/>
          </w:tcPr>
          <w:p>
            <w:pPr>
              <w:spacing w:after="0"/>
              <w:rPr>
                <w:sz w:val="14"/>
                <w:szCs w:val="14"/>
                <w:color w:val="auto"/>
              </w:rPr>
            </w:pPr>
          </w:p>
        </w:tc>
        <w:tc>
          <w:tcPr>
            <w:tcW w:w="3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61,711,501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96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w:t>
            </w:r>
          </w:p>
        </w:tc>
        <w:tc>
          <w:tcPr>
            <w:tcW w:w="8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96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(used in) provided by operating activities: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Net change in net unrealized (appreciation) appreciation on investments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(74,149,377)</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55,338,007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(43,855,181)</w:t>
            </w: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(depreciation) appreciation on debt</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(5,694,116)</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(3,861,111)</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7,554,954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Net realized loss (gain) on investments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108,515,658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(45,856,206)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31,027,037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(2,631,213)</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(2,285,720)</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(2,514,784)</w:t>
            </w: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(533,619,983)</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(604,740,676)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(508,261,736)</w:t>
            </w: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(12,011,137)</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(11,404,966)</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(21,200,913)</w:t>
            </w: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426,498,436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630,502,386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543,975,791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744,433</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1,730,326</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1,133,994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Decrease (increase) in interest receivable</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1,380,425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(1,699,988)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1,125,882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prepaid expenses and other assets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257,593</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3,589,054</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(1,894,057)</w:t>
            </w: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(Decrease) increase in payable for investments purchased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(1,014,000)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1,014,000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interest payable on debt</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(3,680,698)</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(300,363)</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(643,357)</w:t>
            </w: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Increase (decrease) in base management fee payable, net</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554,649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(758,406)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(229,593)</w:t>
            </w: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performance-based incentive fee payable, net</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(2,964,265)</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694,257</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(595,436)</w:t>
            </w: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(Decrease) increase in accrued other expenses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(248,997)</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(705,253)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900,545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6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in) provided by operating activities</w:t>
            </w:r>
          </w:p>
        </w:tc>
        <w:tc>
          <w:tcPr>
            <w:tcW w:w="8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(81,123,786)</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66,940,803</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69,248,647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Repurchase of common stock</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(14,471,720)</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(15,010,571)</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Distributions paid to stockholders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(48,810,906)</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(50,970,704)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(65,375,968)</w:t>
            </w: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SBA debentures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Proceeds from 2024 Notes issuance</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75,000,000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of SBA debentures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(30,000,000)</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(90,000,000)</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Repayments of 2019 Notes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(250,000,000)</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of 2025 Notes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(71,250,000)</w:t>
            </w: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Capitalized borrowing costs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(2,750,000)</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(1,721,750)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(1,513,875)</w:t>
            </w: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BNP Credit Facility</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194,000,000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Repayments under BNP Credit Facility</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(23,000,000)</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SunTrust Credit Facility</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697,000,000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235,520,000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363,760,000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Pr>
          <w:p>
            <w:pPr>
              <w:ind w:left="1000"/>
              <w:spacing w:after="0"/>
              <w:rPr>
                <w:sz w:val="20"/>
                <w:szCs w:val="20"/>
                <w:color w:val="auto"/>
              </w:rPr>
            </w:pPr>
            <w:r>
              <w:rPr>
                <w:rFonts w:ascii="Arial" w:cs="Arial" w:eastAsia="Arial" w:hAnsi="Arial"/>
                <w:sz w:val="14"/>
                <w:szCs w:val="14"/>
                <w:color w:val="auto"/>
              </w:rPr>
              <w:t>Repayments under SunTrust Credit Facility</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(475,884,000)</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(234,392,900)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(334,706,800)</w:t>
            </w:r>
          </w:p>
        </w:tc>
        <w:tc>
          <w:tcPr>
            <w:tcW w:w="0" w:type="dxa"/>
            <w:vAlign w:val="bottom"/>
          </w:tcPr>
          <w:p>
            <w:pPr>
              <w:spacing w:after="0"/>
              <w:rPr>
                <w:sz w:val="1"/>
                <w:szCs w:val="1"/>
                <w:color w:val="auto"/>
              </w:rPr>
            </w:pPr>
          </w:p>
        </w:tc>
      </w:tr>
      <w:tr>
        <w:trPr>
          <w:trHeight w:val="155"/>
        </w:trPr>
        <w:tc>
          <w:tcPr>
            <w:tcW w:w="596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8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121,083,374</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(85,575,925)</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(107,586,643)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39,959,588</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(18,635,122)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(38,337,996)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50,494</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(60,792)</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931,951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year</w:t>
            </w:r>
          </w:p>
        </w:tc>
        <w:tc>
          <w:tcPr>
            <w:tcW w:w="84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19,506,154</w:t>
            </w:r>
          </w:p>
        </w:tc>
        <w:tc>
          <w:tcPr>
            <w:tcW w:w="2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38,202,068</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75,608,113</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8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59,516,236</w:t>
            </w:r>
          </w:p>
        </w:tc>
        <w:tc>
          <w:tcPr>
            <w:tcW w:w="26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19,506,154</w:t>
            </w:r>
          </w:p>
        </w:tc>
        <w:tc>
          <w:tcPr>
            <w:tcW w:w="22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38,202,068</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11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31,879,577</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21,388,530</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26,151,475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CFF"/>
              <w:bottom w:val="single" w:sz="8" w:color="CCECFF"/>
            </w:tcBorders>
            <w:vMerge w:val="restart"/>
          </w:tcPr>
          <w:p>
            <w:pPr>
              <w:ind w:left="260"/>
              <w:spacing w:after="0"/>
              <w:rPr>
                <w:sz w:val="20"/>
                <w:szCs w:val="20"/>
                <w:color w:val="auto"/>
              </w:rPr>
            </w:pPr>
            <w:r>
              <w:rPr>
                <w:rFonts w:ascii="Arial" w:cs="Arial" w:eastAsia="Arial" w:hAnsi="Arial"/>
                <w:sz w:val="14"/>
                <w:szCs w:val="14"/>
                <w:color w:val="auto"/>
              </w:rPr>
              <w:t>Taxes paid</w:t>
            </w:r>
          </w:p>
        </w:tc>
        <w:tc>
          <w:tcPr>
            <w:tcW w:w="84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60" w:type="dxa"/>
            <w:vAlign w:val="bottom"/>
            <w:tcBorders>
              <w:bottom w:val="single" w:sz="8" w:color="CCECFF"/>
            </w:tcBorders>
            <w:vMerge w:val="continue"/>
          </w:tcPr>
          <w:p>
            <w:pPr>
              <w:spacing w:after="0"/>
              <w:rPr>
                <w:sz w:val="15"/>
                <w:szCs w:val="15"/>
                <w:color w:val="auto"/>
              </w:rPr>
            </w:pPr>
          </w:p>
        </w:tc>
        <w:tc>
          <w:tcPr>
            <w:tcW w:w="840" w:type="dxa"/>
            <w:vAlign w:val="bottom"/>
            <w:tcBorders>
              <w:bottom w:val="single" w:sz="8" w:color="CCEC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1,143,380</w:t>
            </w:r>
          </w:p>
        </w:tc>
        <w:tc>
          <w:tcPr>
            <w:tcW w:w="260" w:type="dxa"/>
            <w:vAlign w:val="bottom"/>
            <w:tcBorders>
              <w:bottom w:val="single" w:sz="8" w:color="CCEC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327,253</w:t>
            </w:r>
          </w:p>
        </w:tc>
        <w:tc>
          <w:tcPr>
            <w:tcW w:w="220" w:type="dxa"/>
            <w:vAlign w:val="bottom"/>
            <w:tcBorders>
              <w:bottom w:val="single" w:sz="8" w:color="CCECFF"/>
            </w:tcBorders>
          </w:tcPr>
          <w:p>
            <w:pPr>
              <w:spacing w:after="0"/>
              <w:rPr>
                <w:sz w:val="15"/>
                <w:szCs w:val="15"/>
                <w:color w:val="auto"/>
              </w:rPr>
            </w:pPr>
          </w:p>
        </w:tc>
        <w:tc>
          <w:tcPr>
            <w:tcW w:w="20" w:type="dxa"/>
            <w:vAlign w:val="bottom"/>
            <w:tcBorders>
              <w:bottom w:val="single" w:sz="8" w:color="CCEC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1,267,064</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96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84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14,823,909</w:t>
            </w:r>
          </w:p>
        </w:tc>
        <w:tc>
          <w:tcPr>
            <w:tcW w:w="26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31,942,605</w:t>
            </w:r>
          </w:p>
        </w:tc>
        <w:tc>
          <w:tcPr>
            <w:tcW w:w="22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93,152,647</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7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740" w:type="dxa"/>
            <w:vAlign w:val="bottom"/>
          </w:tcPr>
          <w:p>
            <w:pPr>
              <w:spacing w:after="0"/>
              <w:rPr>
                <w:sz w:val="10"/>
                <w:szCs w:val="10"/>
                <w:color w:val="auto"/>
              </w:rPr>
            </w:pPr>
          </w:p>
        </w:tc>
        <w:tc>
          <w:tcPr>
            <w:tcW w:w="1300" w:type="dxa"/>
            <w:vAlign w:val="bottom"/>
          </w:tcPr>
          <w:p>
            <w:pPr>
              <w:ind w:left="500"/>
              <w:spacing w:after="0" w:line="122" w:lineRule="exact"/>
              <w:rPr>
                <w:sz w:val="20"/>
                <w:szCs w:val="20"/>
                <w:color w:val="auto"/>
              </w:rPr>
            </w:pPr>
            <w:r>
              <w:rPr>
                <w:rFonts w:ascii="Arial" w:cs="Arial" w:eastAsia="Arial" w:hAnsi="Arial"/>
                <w:sz w:val="11"/>
                <w:szCs w:val="11"/>
                <w:b w:val="1"/>
                <w:bCs w:val="1"/>
                <w:color w:val="auto"/>
              </w:rPr>
              <w:t>Maturity /</w:t>
            </w: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300" w:type="dxa"/>
            <w:vAlign w:val="bottom"/>
          </w:tcPr>
          <w:p>
            <w:pPr>
              <w:ind w:left="480"/>
              <w:spacing w:after="0"/>
              <w:rPr>
                <w:sz w:val="20"/>
                <w:szCs w:val="20"/>
                <w:color w:val="auto"/>
              </w:rPr>
            </w:pPr>
            <w:r>
              <w:rPr>
                <w:rFonts w:ascii="Arial" w:cs="Arial" w:eastAsia="Arial" w:hAnsi="Arial"/>
                <w:sz w:val="11"/>
                <w:szCs w:val="11"/>
                <w:b w:val="1"/>
                <w:bCs w:val="1"/>
                <w:color w:val="auto"/>
              </w:rPr>
              <w:t>Expiration</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8"/>
        </w:trPr>
        <w:tc>
          <w:tcPr>
            <w:tcW w:w="40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6"/>
              </w:rPr>
              <w:t xml:space="preserve">Investments in Non-Controlled, Non-Affiliated Portfolio Companies—161.0 </w:t>
            </w:r>
            <w:r>
              <w:rPr>
                <w:rFonts w:ascii="Arial" w:cs="Arial" w:eastAsia="Arial" w:hAnsi="Arial"/>
                <w:sz w:val="9"/>
                <w:szCs w:val="9"/>
                <w:b w:val="1"/>
                <w:bCs w:val="1"/>
                <w:color w:val="auto"/>
                <w:w w:val="96"/>
              </w:rPr>
              <w:t>(1), (2)</w:t>
            </w:r>
          </w:p>
        </w:tc>
        <w:tc>
          <w:tcPr>
            <w:tcW w:w="25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First Lien Secured Debt—100.7%</w:t>
            </w:r>
          </w:p>
        </w:tc>
        <w:tc>
          <w:tcPr>
            <w:tcW w:w="1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07/24/2025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985,250</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07/24/2025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12/21/2023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8.10%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31,044,000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30,504,462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30,578,340</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12/21/2023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1,350,649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(20,260)</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Bazaarvoice, Inc.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02/01/2024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7.79%</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14,775,844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14,652,557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14,628,085</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Bottom Line Systems,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02/13/2023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8.04%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L+600</w:t>
            </w:r>
          </w:p>
        </w:tc>
        <w:tc>
          <w:tcPr>
            <w:tcW w:w="680" w:type="dxa"/>
            <w:vAlign w:val="bottom"/>
          </w:tcPr>
          <w:p>
            <w:pPr>
              <w:jc w:val="right"/>
              <w:spacing w:after="0"/>
              <w:rPr>
                <w:sz w:val="20"/>
                <w:szCs w:val="20"/>
                <w:color w:val="auto"/>
              </w:rPr>
            </w:pPr>
            <w:r>
              <w:rPr>
                <w:rFonts w:ascii="Arial" w:cs="Arial" w:eastAsia="Arial" w:hAnsi="Arial"/>
                <w:sz w:val="11"/>
                <w:szCs w:val="11"/>
                <w:color w:val="auto"/>
              </w:rPr>
              <w:t>21,722,525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21,510,208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21,718,181</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Broder Bros., Co.</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12/02/2022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10.60%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27,218,672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27,219,280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27,218,672</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Cano Health,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12/23/2021</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8.36%</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29,073,557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28,790,688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29,073,557</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DermaRite Industries LLC</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03/03/2022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Manufacturing / Basic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9.04%</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9,663,494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9,255,675</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Deva Holdings,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10/31/2023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7.54%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4,486,071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4,421,743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4,486,071</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Deva Holdings, Inc.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10/31/2022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17,480,806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17,317,655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17,480,806</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HW Holdco, LLC (Revolver)</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8.39%</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487,742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487,742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487,742</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2,899,355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Impact Group,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06/27/2023</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7"/>
              </w:rPr>
              <w:t>Personal, Food and Miscellaneous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8.72%</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20,101,907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20,001,084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19,900,888</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Juniper Landscaping of Florida,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12/22/2021</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7"/>
              </w:rPr>
              <w:t>Personal, Food and Miscellaneous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10.61%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14,627,202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14,463,765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14,627,202</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7.33%</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26,929,833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26,577,555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26,603,982</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K2 Pure Solutions NoCal, L.P.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678,333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678,333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670,125</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1,259,762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(15,243)</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03/07/2025</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10.60%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10,024,046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9,831,274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10,024,046</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03/07/2025</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2,482,759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Lombart Brothers,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17,093,818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16,900,562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16,922,880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Lombart Brothers, Inc. (Revolver)</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10.00%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621,551</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1,145,237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(5,726)</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05/23/2024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8.06%</w:t>
            </w:r>
          </w:p>
        </w:tc>
        <w:tc>
          <w:tcPr>
            <w:tcW w:w="9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rPr>
              <w:t>3ML+550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19,539,663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19,263,565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19,246,568</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05/23/2024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(37,775)</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8.29%</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21,785,448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21,461,501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21,785,448</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Ox Two, LLC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12.25%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P+725</w:t>
            </w:r>
          </w:p>
        </w:tc>
        <w:tc>
          <w:tcPr>
            <w:tcW w:w="680" w:type="dxa"/>
            <w:vAlign w:val="bottom"/>
          </w:tcPr>
          <w:p>
            <w:pPr>
              <w:jc w:val="right"/>
              <w:spacing w:after="0"/>
              <w:rPr>
                <w:sz w:val="20"/>
                <w:szCs w:val="20"/>
                <w:color w:val="auto"/>
              </w:rPr>
            </w:pPr>
            <w:r>
              <w:rPr>
                <w:rFonts w:ascii="Arial" w:cs="Arial" w:eastAsia="Arial" w:hAnsi="Arial"/>
                <w:sz w:val="11"/>
                <w:szCs w:val="11"/>
                <w:color w:val="auto"/>
              </w:rPr>
              <w:t>2,288,000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2,288,000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Peninsula Pacific Entertainment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11/13/2024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9.35%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L+725</w:t>
            </w:r>
          </w:p>
        </w:tc>
        <w:tc>
          <w:tcPr>
            <w:tcW w:w="680" w:type="dxa"/>
            <w:vAlign w:val="bottom"/>
          </w:tcPr>
          <w:p>
            <w:pPr>
              <w:jc w:val="right"/>
              <w:spacing w:after="0"/>
              <w:rPr>
                <w:sz w:val="20"/>
                <w:szCs w:val="20"/>
                <w:color w:val="auto"/>
              </w:rPr>
            </w:pPr>
            <w:r>
              <w:rPr>
                <w:rFonts w:ascii="Arial" w:cs="Arial" w:eastAsia="Arial" w:hAnsi="Arial"/>
                <w:sz w:val="11"/>
                <w:szCs w:val="11"/>
                <w:color w:val="auto"/>
              </w:rPr>
              <w:t>8,495,190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8,480,683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8,495,190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Pestell Minerals and Ingredients Inc. </w:t>
            </w:r>
            <w:r>
              <w:rPr>
                <w:rFonts w:ascii="Arial" w:cs="Arial" w:eastAsia="Arial" w:hAnsi="Arial"/>
                <w:sz w:val="9"/>
                <w:szCs w:val="9"/>
                <w:color w:val="auto"/>
              </w:rPr>
              <w:t>(5), (8), (11)</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06/01/2023</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7.57%</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5,458,750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5,411,313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5,404,163</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PlayPower,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05/08/2026</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4,189,500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4,148,451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PRA Events, Inc.</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08/08/2022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9.11%</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19,380,021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19,137,807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19,380,021</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PRA Events, Inc.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08/08/2022</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Provation Medical, Inc.</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03/11/2024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Electronics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9.34%</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26,797,500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26,265,386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26,422,335</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Quantum Spatial, Inc. </w:t>
            </w:r>
            <w:r>
              <w:rPr>
                <w:rFonts w:ascii="Arial" w:cs="Arial" w:eastAsia="Arial" w:hAnsi="Arial"/>
                <w:sz w:val="9"/>
                <w:szCs w:val="9"/>
                <w:color w:val="auto"/>
              </w:rPr>
              <w:t>(5)</w:t>
            </w:r>
          </w:p>
        </w:tc>
        <w:tc>
          <w:tcPr>
            <w:tcW w:w="1300" w:type="dxa"/>
            <w:vAlign w:val="bottom"/>
          </w:tcPr>
          <w:p>
            <w:pPr>
              <w:jc w:val="center"/>
              <w:ind w:left="106"/>
              <w:spacing w:after="0"/>
              <w:rPr>
                <w:sz w:val="20"/>
                <w:szCs w:val="20"/>
                <w:color w:val="auto"/>
              </w:rPr>
            </w:pPr>
            <w:r>
              <w:rPr>
                <w:rFonts w:ascii="Arial" w:cs="Arial" w:eastAsia="Arial" w:hAnsi="Arial"/>
                <w:sz w:val="11"/>
                <w:szCs w:val="11"/>
                <w:color w:val="auto"/>
                <w:w w:val="88"/>
              </w:rPr>
              <w:t>09/04/24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7.32%</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14,777,156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14,775,000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Questex, LLC</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09/09/2024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7.11%</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22,275,000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21,892,186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22,052,250</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09/09/2024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3,590,426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(35,904)</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Radius Aerospace, Inc.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7.85%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8,528,572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8,408,418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8,464,608</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Radius Aerospace, Inc.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428,571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428,571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425,358</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(7,498)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Research Horizons,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06/28/2022</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8.36%</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31,036,318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30,707,239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30,415,591</w:t>
            </w:r>
          </w:p>
        </w:tc>
        <w:tc>
          <w:tcPr>
            <w:tcW w:w="120" w:type="dxa"/>
            <w:vAlign w:val="bottom"/>
          </w:tcPr>
          <w:p>
            <w:pPr>
              <w:spacing w:after="0"/>
              <w:rPr>
                <w:sz w:val="11"/>
                <w:szCs w:val="11"/>
                <w:color w:val="auto"/>
              </w:rPr>
            </w:pPr>
          </w:p>
        </w:tc>
      </w:tr>
      <w:tr>
        <w:trPr>
          <w:trHeight w:val="125"/>
        </w:trPr>
        <w:tc>
          <w:tcPr>
            <w:tcW w:w="2740" w:type="dxa"/>
            <w:vAlign w:val="bottom"/>
            <w:shd w:val="clear" w:color="auto" w:fill="CCECFF"/>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130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31"/>
        </w:trPr>
        <w:tc>
          <w:tcPr>
            <w:tcW w:w="2740" w:type="dxa"/>
            <w:vAlign w:val="bottom"/>
            <w:shd w:val="clear" w:color="auto" w:fill="CCECFF"/>
          </w:tcPr>
          <w:p>
            <w:pPr>
              <w:ind w:left="80"/>
              <w:spacing w:after="0"/>
              <w:rPr>
                <w:sz w:val="20"/>
                <w:szCs w:val="20"/>
                <w:color w:val="auto"/>
              </w:rPr>
            </w:pPr>
            <w:r>
              <w:rPr>
                <w:rFonts w:ascii="Arial" w:cs="Arial" w:eastAsia="Arial" w:hAnsi="Arial"/>
                <w:sz w:val="11"/>
                <w:szCs w:val="11"/>
                <w:color w:val="auto"/>
              </w:rPr>
              <w:t>Sampling International LLC (5)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12/20/2024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7.75%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9,924,242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9,782,674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9,939,724</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Riverpoint Medical,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06/20/2025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1,995,000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1,975,739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1,984,626</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06/20/2025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(1,891)</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371,318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365,869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371,318</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Schlesinger Global, Inc.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81,514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7.82%</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13,586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13,586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13,586</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24,454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Signature Systems Holding Company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05/03/2024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P+650</w:t>
            </w:r>
          </w:p>
        </w:tc>
        <w:tc>
          <w:tcPr>
            <w:tcW w:w="680" w:type="dxa"/>
            <w:vAlign w:val="bottom"/>
          </w:tcPr>
          <w:p>
            <w:pPr>
              <w:jc w:val="right"/>
              <w:spacing w:after="0"/>
              <w:rPr>
                <w:sz w:val="20"/>
                <w:szCs w:val="20"/>
                <w:color w:val="auto"/>
              </w:rPr>
            </w:pPr>
            <w:r>
              <w:rPr>
                <w:rFonts w:ascii="Arial" w:cs="Arial" w:eastAsia="Arial" w:hAnsi="Arial"/>
                <w:sz w:val="11"/>
                <w:szCs w:val="11"/>
                <w:color w:val="auto"/>
              </w:rPr>
              <w:t>14,906,271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14,699,927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14,906,271</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05/03/2024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2,016,129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01/17/2024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0"/>
              </w:rPr>
              <w:t>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7.79%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13,253,400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13,015,745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13,082,432</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01/17/2024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Communications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(21,478)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Triad Manufacturing,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12/28/2020</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0"/>
              </w:rPr>
              <w:t>Manufacturing / Basic Industries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13.29%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L+1,125</w:t>
            </w:r>
          </w:p>
        </w:tc>
        <w:tc>
          <w:tcPr>
            <w:tcW w:w="680" w:type="dxa"/>
            <w:vAlign w:val="bottom"/>
          </w:tcPr>
          <w:p>
            <w:pPr>
              <w:jc w:val="right"/>
              <w:spacing w:after="0"/>
              <w:rPr>
                <w:sz w:val="20"/>
                <w:szCs w:val="20"/>
                <w:color w:val="auto"/>
              </w:rPr>
            </w:pPr>
            <w:r>
              <w:rPr>
                <w:rFonts w:ascii="Arial" w:cs="Arial" w:eastAsia="Arial" w:hAnsi="Arial"/>
                <w:sz w:val="11"/>
                <w:szCs w:val="11"/>
                <w:color w:val="auto"/>
              </w:rPr>
              <w:t>21,589,610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21,447,963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21,373,714</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7.55%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32,960,373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32,378,623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32,960,373</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4,053,227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 (Revolver)</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7.61%</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967,902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967,902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967,902</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1,734,249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8,640,294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8,673,000</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TWS Acquisition Corporation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495,600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1,137,857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(22,757)</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Tyto Athene,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08/27/2024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6,203,031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6,175,004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6,018,180</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UBEO, LLC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04/03/2024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6.78%</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2,300,400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2,279,160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2,277,396</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US Med Acquisition,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08/13/2021</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11.10%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80" w:type="dxa"/>
            <w:vAlign w:val="bottom"/>
          </w:tcPr>
          <w:p>
            <w:pPr>
              <w:jc w:val="right"/>
              <w:spacing w:after="0"/>
              <w:rPr>
                <w:sz w:val="20"/>
                <w:szCs w:val="20"/>
                <w:color w:val="auto"/>
              </w:rPr>
            </w:pPr>
            <w:r>
              <w:rPr>
                <w:rFonts w:ascii="Arial" w:cs="Arial" w:eastAsia="Arial" w:hAnsi="Arial"/>
                <w:sz w:val="11"/>
                <w:szCs w:val="11"/>
                <w:color w:val="auto"/>
              </w:rPr>
              <w:t>8,389,063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8,389,063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8,389,063</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Vision Purchaser Corporation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06/10/2025</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8.30%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3,440,998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3,374,373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3,406,588</w:t>
            </w:r>
          </w:p>
        </w:tc>
        <w:tc>
          <w:tcPr>
            <w:tcW w:w="12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Walker Edison Furniture Company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09/26/2024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Home and Office Furnishings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8.83%</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80" w:type="dxa"/>
            <w:vAlign w:val="bottom"/>
          </w:tcPr>
          <w:p>
            <w:pPr>
              <w:jc w:val="right"/>
              <w:spacing w:after="0"/>
              <w:rPr>
                <w:sz w:val="20"/>
                <w:szCs w:val="20"/>
                <w:color w:val="auto"/>
              </w:rPr>
            </w:pPr>
            <w:r>
              <w:rPr>
                <w:rFonts w:ascii="Arial" w:cs="Arial" w:eastAsia="Arial" w:hAnsi="Arial"/>
                <w:sz w:val="11"/>
                <w:szCs w:val="11"/>
                <w:color w:val="auto"/>
              </w:rPr>
              <w:t>22,078,125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21,695,009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22,243,711</w:t>
            </w:r>
          </w:p>
        </w:tc>
        <w:tc>
          <w:tcPr>
            <w:tcW w:w="12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(5)</w:t>
            </w:r>
          </w:p>
        </w:tc>
        <w:tc>
          <w:tcPr>
            <w:tcW w:w="1300" w:type="dxa"/>
            <w:vAlign w:val="bottom"/>
            <w:shd w:val="clear" w:color="auto" w:fill="CCECFF"/>
          </w:tcPr>
          <w:p>
            <w:pPr>
              <w:jc w:val="center"/>
              <w:ind w:left="126"/>
              <w:spacing w:after="0"/>
              <w:rPr>
                <w:sz w:val="20"/>
                <w:szCs w:val="20"/>
                <w:color w:val="auto"/>
              </w:rPr>
            </w:pPr>
            <w:r>
              <w:rPr>
                <w:rFonts w:ascii="Arial" w:cs="Arial" w:eastAsia="Arial" w:hAnsi="Arial"/>
                <w:sz w:val="11"/>
                <w:szCs w:val="11"/>
                <w:color w:val="auto"/>
                <w:w w:val="87"/>
              </w:rPr>
              <w:t>10/18/2022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9.55%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10,204,866</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10,061,266</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10,204,866</w:t>
            </w:r>
          </w:p>
        </w:tc>
        <w:tc>
          <w:tcPr>
            <w:tcW w:w="120" w:type="dxa"/>
            <w:vAlign w:val="bottom"/>
            <w:shd w:val="clear" w:color="auto" w:fill="CCECFF"/>
          </w:tcPr>
          <w:p>
            <w:pPr>
              <w:spacing w:after="0"/>
              <w:rPr>
                <w:sz w:val="11"/>
                <w:szCs w:val="11"/>
                <w:color w:val="auto"/>
              </w:rPr>
            </w:pPr>
          </w:p>
        </w:tc>
      </w:tr>
      <w:tr>
        <w:trPr>
          <w:trHeight w:val="129"/>
        </w:trPr>
        <w:tc>
          <w:tcPr>
            <w:tcW w:w="2740" w:type="dxa"/>
            <w:vAlign w:val="bottom"/>
          </w:tcPr>
          <w:p>
            <w:pPr>
              <w:spacing w:after="0"/>
              <w:rPr>
                <w:sz w:val="20"/>
                <w:szCs w:val="20"/>
                <w:color w:val="auto"/>
              </w:rPr>
            </w:pPr>
            <w:r>
              <w:rPr>
                <w:rFonts w:ascii="Arial" w:cs="Arial" w:eastAsia="Arial" w:hAnsi="Arial"/>
                <w:sz w:val="11"/>
                <w:szCs w:val="11"/>
                <w:b w:val="1"/>
                <w:bCs w:val="1"/>
                <w:color w:val="auto"/>
              </w:rPr>
              <w:t>Total First Lien Secured Debt</w:t>
            </w:r>
          </w:p>
        </w:tc>
        <w:tc>
          <w:tcPr>
            <w:tcW w:w="1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583,068,514</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585,776,415</w:t>
            </w:r>
          </w:p>
        </w:tc>
        <w:tc>
          <w:tcPr>
            <w:tcW w:w="120" w:type="dxa"/>
            <w:vAlign w:val="bottom"/>
          </w:tcPr>
          <w:p>
            <w:pPr>
              <w:spacing w:after="0"/>
              <w:rPr>
                <w:sz w:val="11"/>
                <w:szCs w:val="1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68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(3)</w:t>
            </w:r>
          </w:p>
        </w:tc>
      </w:tr>
      <w:tr>
        <w:trPr>
          <w:trHeight w:val="128"/>
        </w:trPr>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Debt—38.4%</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Condor Borrower, LLC</w:t>
            </w:r>
          </w:p>
        </w:tc>
        <w:tc>
          <w:tcPr>
            <w:tcW w:w="520" w:type="dxa"/>
            <w:vAlign w:val="bottom"/>
          </w:tcPr>
          <w:p>
            <w:pPr>
              <w:spacing w:after="0"/>
              <w:rPr>
                <w:sz w:val="20"/>
                <w:szCs w:val="20"/>
                <w:color w:val="auto"/>
              </w:rPr>
            </w:pPr>
            <w:r>
              <w:rPr>
                <w:rFonts w:ascii="Arial" w:cs="Arial" w:eastAsia="Arial" w:hAnsi="Arial"/>
                <w:sz w:val="11"/>
                <w:szCs w:val="11"/>
                <w:color w:val="auto"/>
                <w:w w:val="90"/>
              </w:rPr>
              <w:t>04/25/2025</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tcPr>
          <w:p>
            <w:pPr>
              <w:jc w:val="right"/>
              <w:spacing w:after="0"/>
              <w:rPr>
                <w:sz w:val="20"/>
                <w:szCs w:val="20"/>
                <w:color w:val="auto"/>
              </w:rPr>
            </w:pPr>
            <w:r>
              <w:rPr>
                <w:rFonts w:ascii="Arial" w:cs="Arial" w:eastAsia="Arial" w:hAnsi="Arial"/>
                <w:sz w:val="11"/>
                <w:szCs w:val="11"/>
                <w:color w:val="auto"/>
              </w:rPr>
              <w:t>10,344,828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   10,176,236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   10,241,379</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Confie Seguros Holding Co.</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10/31/2025</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11.02%</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14,244,005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13,593,750</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DecoPac, Inc.</w:t>
            </w:r>
          </w:p>
        </w:tc>
        <w:tc>
          <w:tcPr>
            <w:tcW w:w="520" w:type="dxa"/>
            <w:vAlign w:val="bottom"/>
          </w:tcPr>
          <w:p>
            <w:pPr>
              <w:spacing w:after="0"/>
              <w:rPr>
                <w:sz w:val="20"/>
                <w:szCs w:val="20"/>
                <w:color w:val="auto"/>
              </w:rPr>
            </w:pPr>
            <w:r>
              <w:rPr>
                <w:rFonts w:ascii="Arial" w:cs="Arial" w:eastAsia="Arial" w:hAnsi="Arial"/>
                <w:sz w:val="11"/>
                <w:szCs w:val="11"/>
                <w:color w:val="auto"/>
                <w:w w:val="90"/>
              </w:rPr>
              <w:t>03/31/2025</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19,627,143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19,345,304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19,627,143</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Halo Buyer, Inc.</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07/06/2026</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10.29%</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32,034,317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32,012,500</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Infogroup, Inc.</w:t>
            </w:r>
          </w:p>
        </w:tc>
        <w:tc>
          <w:tcPr>
            <w:tcW w:w="520" w:type="dxa"/>
            <w:vAlign w:val="bottom"/>
          </w:tcPr>
          <w:p>
            <w:pPr>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20,400,000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20,103,563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20,094,000</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MailSouth, Inc.</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10/23/2024</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12M L+925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36,828,975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36,207,203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35,724,106</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MBS Holdings, Inc.</w:t>
            </w:r>
          </w:p>
        </w:tc>
        <w:tc>
          <w:tcPr>
            <w:tcW w:w="520" w:type="dxa"/>
            <w:vAlign w:val="bottom"/>
          </w:tcPr>
          <w:p>
            <w:pPr>
              <w:spacing w:after="0"/>
              <w:rPr>
                <w:sz w:val="20"/>
                <w:szCs w:val="20"/>
                <w:color w:val="auto"/>
              </w:rPr>
            </w:pPr>
            <w:r>
              <w:rPr>
                <w:rFonts w:ascii="Arial" w:cs="Arial" w:eastAsia="Arial" w:hAnsi="Arial"/>
                <w:sz w:val="11"/>
                <w:szCs w:val="11"/>
                <w:color w:val="auto"/>
                <w:w w:val="90"/>
              </w:rPr>
              <w:t>01/02/2024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tcPr>
          <w:p>
            <w:pPr>
              <w:jc w:val="right"/>
              <w:spacing w:after="0"/>
              <w:rPr>
                <w:sz w:val="20"/>
                <w:szCs w:val="20"/>
                <w:color w:val="auto"/>
              </w:rPr>
            </w:pPr>
            <w:r>
              <w:rPr>
                <w:rFonts w:ascii="Arial" w:cs="Arial" w:eastAsia="Arial" w:hAnsi="Arial"/>
                <w:sz w:val="11"/>
                <w:szCs w:val="11"/>
                <w:color w:val="auto"/>
              </w:rPr>
              <w:t>19,623,649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19,288,817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19,623,649</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Shift4 Payments, LLC</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11/28/2025</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10.76%</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26,945,207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27,000,000</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VT Topco, Inc.</w:t>
            </w:r>
          </w:p>
        </w:tc>
        <w:tc>
          <w:tcPr>
            <w:tcW w:w="520" w:type="dxa"/>
            <w:vAlign w:val="bottom"/>
          </w:tcPr>
          <w:p>
            <w:pPr>
              <w:spacing w:after="0"/>
              <w:rPr>
                <w:sz w:val="20"/>
                <w:szCs w:val="20"/>
                <w:color w:val="auto"/>
              </w:rPr>
            </w:pPr>
            <w:r>
              <w:rPr>
                <w:rFonts w:ascii="Arial" w:cs="Arial" w:eastAsia="Arial" w:hAnsi="Arial"/>
                <w:sz w:val="11"/>
                <w:szCs w:val="11"/>
                <w:color w:val="auto"/>
                <w:w w:val="90"/>
              </w:rPr>
              <w:t>08/24/2026</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9,953,252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9,950,000</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Winter Park Intermediate, Inc.</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04/06/2026</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10.54%</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35,300,000</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34,742,373</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35,300,000</w:t>
            </w:r>
          </w:p>
        </w:tc>
        <w:tc>
          <w:tcPr>
            <w:tcW w:w="120" w:type="dxa"/>
            <w:vAlign w:val="bottom"/>
            <w:shd w:val="clear" w:color="auto" w:fill="CCECFF"/>
          </w:tcPr>
          <w:p>
            <w:pPr>
              <w:spacing w:after="0"/>
              <w:rPr>
                <w:sz w:val="11"/>
                <w:szCs w:val="11"/>
                <w:color w:val="auto"/>
              </w:rPr>
            </w:pPr>
          </w:p>
        </w:tc>
      </w:tr>
      <w:tr>
        <w:trPr>
          <w:trHeight w:val="128"/>
        </w:trPr>
        <w:tc>
          <w:tcPr>
            <w:tcW w:w="3160" w:type="dxa"/>
            <w:vAlign w:val="bottom"/>
            <w:gridSpan w:val="2"/>
          </w:tcPr>
          <w:p>
            <w:pPr>
              <w:spacing w:after="0"/>
              <w:rPr>
                <w:sz w:val="20"/>
                <w:szCs w:val="20"/>
                <w:color w:val="auto"/>
              </w:rPr>
            </w:pPr>
            <w:r>
              <w:rPr>
                <w:rFonts w:ascii="Arial" w:cs="Arial" w:eastAsia="Arial" w:hAnsi="Arial"/>
                <w:sz w:val="11"/>
                <w:szCs w:val="11"/>
                <w:b w:val="1"/>
                <w:bCs w:val="1"/>
                <w:color w:val="auto"/>
              </w:rPr>
              <w:t>Total Second Lien Secured Debt</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223,040,278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223,166,527</w:t>
            </w:r>
          </w:p>
        </w:tc>
        <w:tc>
          <w:tcPr>
            <w:tcW w:w="120" w:type="dxa"/>
            <w:vAlign w:val="bottom"/>
          </w:tcPr>
          <w:p>
            <w:pPr>
              <w:spacing w:after="0"/>
              <w:rPr>
                <w:sz w:val="11"/>
                <w:szCs w:val="11"/>
                <w:color w:val="auto"/>
              </w:rPr>
            </w:pPr>
          </w:p>
        </w:tc>
      </w:tr>
      <w:tr>
        <w:trPr>
          <w:trHeight w:val="129"/>
        </w:trPr>
        <w:tc>
          <w:tcPr>
            <w:tcW w:w="316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Subordinated Debt/Corporate Notes—10.5%</w:t>
            </w: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Blackhawk Industrial Distribution, Inc.</w:t>
            </w:r>
          </w:p>
        </w:tc>
        <w:tc>
          <w:tcPr>
            <w:tcW w:w="520" w:type="dxa"/>
            <w:vAlign w:val="bottom"/>
          </w:tcPr>
          <w:p>
            <w:pPr>
              <w:spacing w:after="0"/>
              <w:rPr>
                <w:sz w:val="20"/>
                <w:szCs w:val="20"/>
                <w:color w:val="auto"/>
              </w:rPr>
            </w:pPr>
            <w:r>
              <w:rPr>
                <w:rFonts w:ascii="Arial" w:cs="Arial" w:eastAsia="Arial" w:hAnsi="Arial"/>
                <w:sz w:val="11"/>
                <w:szCs w:val="11"/>
                <w:color w:val="auto"/>
                <w:w w:val="90"/>
              </w:rPr>
              <w:t>03/17/2025</w:t>
            </w:r>
          </w:p>
        </w:tc>
        <w:tc>
          <w:tcPr>
            <w:tcW w:w="220" w:type="dxa"/>
            <w:vAlign w:val="bottom"/>
          </w:tcPr>
          <w:p>
            <w:pPr>
              <w:spacing w:after="0"/>
              <w:rPr>
                <w:sz w:val="11"/>
                <w:szCs w:val="11"/>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13,773,533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13,529,203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13,773,533</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2.00%)</w:t>
            </w: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Cascade Environmental LLC</w:t>
            </w:r>
          </w:p>
        </w:tc>
        <w:tc>
          <w:tcPr>
            <w:tcW w:w="520" w:type="dxa"/>
            <w:vAlign w:val="bottom"/>
          </w:tcPr>
          <w:p>
            <w:pPr>
              <w:spacing w:after="0"/>
              <w:rPr>
                <w:sz w:val="20"/>
                <w:szCs w:val="20"/>
                <w:color w:val="auto"/>
              </w:rPr>
            </w:pPr>
            <w:r>
              <w:rPr>
                <w:rFonts w:ascii="Arial" w:cs="Arial" w:eastAsia="Arial" w:hAnsi="Arial"/>
                <w:sz w:val="11"/>
                <w:szCs w:val="11"/>
                <w:color w:val="auto"/>
                <w:w w:val="90"/>
              </w:rPr>
              <w:t>08/20/2021</w:t>
            </w:r>
          </w:p>
        </w:tc>
        <w:tc>
          <w:tcPr>
            <w:tcW w:w="220" w:type="dxa"/>
            <w:vAlign w:val="bottom"/>
          </w:tcPr>
          <w:p>
            <w:pPr>
              <w:spacing w:after="0"/>
              <w:rPr>
                <w:sz w:val="11"/>
                <w:szCs w:val="11"/>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15.00%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48,381,773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47,992,863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47,414,137</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15.00%)</w:t>
            </w: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28"/>
        </w:trPr>
        <w:tc>
          <w:tcPr>
            <w:tcW w:w="3160" w:type="dxa"/>
            <w:vAlign w:val="bottom"/>
            <w:gridSpan w:val="2"/>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61,522,066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61,187,670</w:t>
            </w:r>
          </w:p>
        </w:tc>
        <w:tc>
          <w:tcPr>
            <w:tcW w:w="120" w:type="dxa"/>
            <w:vAlign w:val="bottom"/>
          </w:tcPr>
          <w:p>
            <w:pPr>
              <w:spacing w:after="0"/>
              <w:rPr>
                <w:sz w:val="11"/>
                <w:szCs w:val="11"/>
                <w:color w:val="auto"/>
              </w:rPr>
            </w:pPr>
          </w:p>
        </w:tc>
      </w:tr>
      <w:tr>
        <w:trPr>
          <w:trHeight w:val="128"/>
        </w:trPr>
        <w:tc>
          <w:tcPr>
            <w:tcW w:w="316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Interests—0.5% </w:t>
            </w:r>
            <w:r>
              <w:rPr>
                <w:rFonts w:ascii="Arial" w:cs="Arial" w:eastAsia="Arial" w:hAnsi="Arial"/>
                <w:sz w:val="9"/>
                <w:szCs w:val="9"/>
                <w:b w:val="1"/>
                <w:bCs w:val="1"/>
                <w:color w:val="auto"/>
              </w:rPr>
              <w:t>(6)</w:t>
            </w: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AH Holdings, Inc.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322,850</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(8), (11)</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556,000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64,277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71,556</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(8), (11)</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556,000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491,723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547,406</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Holdings, LP</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563,657</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NXOF Holdings, Inc. (Tyto Athene, LLC)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106,823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79,190</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Signature CR Intermediate Holdco, Inc.</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1,347</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1,346,530</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1,413,300</w:t>
            </w:r>
          </w:p>
        </w:tc>
        <w:tc>
          <w:tcPr>
            <w:tcW w:w="120" w:type="dxa"/>
            <w:vAlign w:val="bottom"/>
            <w:shd w:val="clear" w:color="auto" w:fill="CCECFF"/>
          </w:tcPr>
          <w:p>
            <w:pPr>
              <w:spacing w:after="0"/>
              <w:rPr>
                <w:sz w:val="11"/>
                <w:szCs w:val="11"/>
                <w:color w:val="auto"/>
              </w:rPr>
            </w:pPr>
          </w:p>
        </w:tc>
      </w:tr>
      <w:tr>
        <w:trPr>
          <w:trHeight w:val="128"/>
        </w:trPr>
        <w:tc>
          <w:tcPr>
            <w:tcW w:w="3160" w:type="dxa"/>
            <w:vAlign w:val="bottom"/>
            <w:gridSpan w:val="2"/>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3,049,353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2,997,959</w:t>
            </w:r>
          </w:p>
        </w:tc>
        <w:tc>
          <w:tcPr>
            <w:tcW w:w="120" w:type="dxa"/>
            <w:vAlign w:val="bottom"/>
          </w:tcPr>
          <w:p>
            <w:pPr>
              <w:spacing w:after="0"/>
              <w:rPr>
                <w:sz w:val="11"/>
                <w:szCs w:val="11"/>
                <w:color w:val="auto"/>
              </w:rPr>
            </w:pPr>
          </w:p>
        </w:tc>
      </w:tr>
      <w:tr>
        <w:trPr>
          <w:trHeight w:val="128"/>
        </w:trPr>
        <w:tc>
          <w:tcPr>
            <w:tcW w:w="316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Equity/Partnership Interests/Warrants—10.9% </w:t>
            </w:r>
            <w:r>
              <w:rPr>
                <w:rFonts w:ascii="Arial" w:cs="Arial" w:eastAsia="Arial" w:hAnsi="Arial"/>
                <w:sz w:val="9"/>
                <w:szCs w:val="9"/>
                <w:b w:val="1"/>
                <w:bCs w:val="1"/>
                <w:color w:val="auto"/>
              </w:rPr>
              <w:t>(6)</w:t>
            </w: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Affinion Group Holdings, Inc. (Warrants)</w:t>
            </w:r>
          </w:p>
        </w:tc>
        <w:tc>
          <w:tcPr>
            <w:tcW w:w="520" w:type="dxa"/>
            <w:vAlign w:val="bottom"/>
          </w:tcPr>
          <w:p>
            <w:pPr>
              <w:spacing w:after="0"/>
              <w:rPr>
                <w:sz w:val="20"/>
                <w:szCs w:val="20"/>
                <w:color w:val="auto"/>
              </w:rPr>
            </w:pPr>
            <w:r>
              <w:rPr>
                <w:rFonts w:ascii="Arial" w:cs="Arial" w:eastAsia="Arial" w:hAnsi="Arial"/>
                <w:sz w:val="11"/>
                <w:szCs w:val="11"/>
                <w:color w:val="auto"/>
                <w:w w:val="90"/>
              </w:rPr>
              <w:t>04/10/2024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77,190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2,126,399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817,028</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285,348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AH Holdings, Inc. (Warrants)</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03/23/2021</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Altamira Intermediate Company II, Inc.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125,000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125,000</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ASP LCG Holdings, Inc. (Warrants)</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05/05/2026</w:t>
            </w: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586,975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2,260,044</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Autumn Games, LLC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Broadcasting and Entertainment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1,333,330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3,000,000</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33,901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2,852,080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469,430</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CI (Allied) Investment Holdings, LLC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120,962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1,243,217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1,260,269</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CI (Summit) Investment Holdings LLC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114,646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1,171,206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1,504,587</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(SFP Holdings, Inc.)</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Cowboy Parent LLC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2,250,000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2,278,089</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(Blackhawk Industrial Distribution, Inc.)</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DecoPac Holdings Inc.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3,449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3,448,658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6,651,822</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1,004,625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1,481,743</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Faraday Holdings, LLC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4,277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217,635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1,243,208</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Gauge Schlesinger Coinvest, LLC</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8,197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8,197</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Gauge TVC Coinvest, LLC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810,645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810,645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828,333</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(TVC Enterprises, LLC)</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Go Dawgs Capital III, LP</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675,325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675,325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688,831</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Green Veracity Holdings, LP - Class A</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1,500,000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2,367,746</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(VT Topco, Inc.)</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Infogroup Parent Holdings, Inc.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181,495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2,040,000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2,119,257</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252,176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2,993,665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7,110,734</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JWC-WE Holdings, L.P.</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1,906,433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1,906,433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4,961,006</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(Walker Edison Furniture Company LLC)</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(12)</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252,014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2,265,639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635,075</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(9)</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161,252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307,888</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363,656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363,656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451,341</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Holdings, LP</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55,482</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NXOF Holdings, Inc.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2,180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2,180</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1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(Tyto Athene, LLC)</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Signature CR Intermediate Holdco, Inc.</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70,870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34,484</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1,620,000</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ind w:left="140"/>
              <w:spacing w:after="0"/>
              <w:rPr>
                <w:sz w:val="20"/>
                <w:szCs w:val="20"/>
                <w:color w:val="auto"/>
              </w:rPr>
            </w:pPr>
            <w:r>
              <w:rPr>
                <w:rFonts w:ascii="Arial" w:cs="Arial" w:eastAsia="Arial" w:hAnsi="Arial"/>
                <w:sz w:val="11"/>
                <w:szCs w:val="11"/>
                <w:color w:val="auto"/>
              </w:rPr>
              <w:t>Class A (US Dominion, Inc.)</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2,185,803</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ind w:left="140"/>
              <w:spacing w:after="0"/>
              <w:rPr>
                <w:sz w:val="20"/>
                <w:szCs w:val="20"/>
                <w:color w:val="auto"/>
              </w:rPr>
            </w:pPr>
            <w:r>
              <w:rPr>
                <w:rFonts w:ascii="Arial" w:cs="Arial" w:eastAsia="Arial" w:hAnsi="Arial"/>
                <w:sz w:val="11"/>
                <w:szCs w:val="11"/>
                <w:color w:val="auto"/>
              </w:rPr>
              <w:t>Class B (US Dominion, Inc.)</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(11), (12)</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72,833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728,330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159,504</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color w:val="auto"/>
              </w:rPr>
              <w:t xml:space="preserve">USWS Holdings, LLC </w:t>
            </w:r>
            <w:r>
              <w:rPr>
                <w:rFonts w:ascii="Arial" w:cs="Arial" w:eastAsia="Arial" w:hAnsi="Arial"/>
                <w:sz w:val="9"/>
                <w:szCs w:val="9"/>
                <w:color w:val="auto"/>
              </w:rPr>
              <w:t>(9), (11)</w:t>
            </w: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1,188,368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11,883,680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2,472,400</w:t>
            </w: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WBB Equity, LLC</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628,571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628,571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2,193,714</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Wheel Pros Holdings, L.P.</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3,778,704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14,655,027</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gridSpan w:val="2"/>
          </w:tcPr>
          <w:p>
            <w:pPr>
              <w:ind w:left="140"/>
              <w:spacing w:after="0"/>
              <w:rPr>
                <w:sz w:val="20"/>
                <w:szCs w:val="20"/>
                <w:color w:val="auto"/>
              </w:rPr>
            </w:pPr>
            <w:r>
              <w:rPr>
                <w:rFonts w:ascii="Arial" w:cs="Arial" w:eastAsia="Arial" w:hAnsi="Arial"/>
                <w:sz w:val="11"/>
                <w:szCs w:val="11"/>
                <w:color w:val="auto"/>
              </w:rPr>
              <w:t>(Winter Park Intermediate, Inc.)</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ZS Juniper L.P.</w:t>
            </w:r>
          </w:p>
        </w:tc>
        <w:tc>
          <w:tcPr>
            <w:tcW w:w="74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1,056,250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1,842,833</w:t>
            </w:r>
          </w:p>
        </w:tc>
        <w:tc>
          <w:tcPr>
            <w:tcW w:w="120" w:type="dxa"/>
            <w:vAlign w:val="bottom"/>
            <w:shd w:val="clear" w:color="auto" w:fill="CCECFF"/>
          </w:tcPr>
          <w:p>
            <w:pPr>
              <w:spacing w:after="0"/>
              <w:rPr>
                <w:sz w:val="11"/>
                <w:szCs w:val="11"/>
                <w:color w:val="auto"/>
              </w:rPr>
            </w:pPr>
          </w:p>
        </w:tc>
      </w:tr>
      <w:tr>
        <w:trPr>
          <w:trHeight w:val="135"/>
        </w:trPr>
        <w:tc>
          <w:tcPr>
            <w:tcW w:w="3160" w:type="dxa"/>
            <w:vAlign w:val="bottom"/>
            <w:tcBorders>
              <w:bottom w:val="single" w:sz="8" w:color="CCECFF"/>
            </w:tcBorders>
            <w:gridSpan w:val="2"/>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9"/>
        </w:trPr>
        <w:tc>
          <w:tcPr>
            <w:tcW w:w="31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51,623,889</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63,503,528</w:t>
            </w:r>
          </w:p>
        </w:tc>
        <w:tc>
          <w:tcPr>
            <w:tcW w:w="120" w:type="dxa"/>
            <w:vAlign w:val="bottom"/>
            <w:shd w:val="clear" w:color="auto" w:fill="CCECFF"/>
          </w:tcPr>
          <w:p>
            <w:pPr>
              <w:spacing w:after="0"/>
              <w:rPr>
                <w:sz w:val="11"/>
                <w:szCs w:val="11"/>
                <w:color w:val="auto"/>
              </w:rPr>
            </w:pPr>
          </w:p>
        </w:tc>
      </w:tr>
      <w:tr>
        <w:trPr>
          <w:trHeight w:val="128"/>
        </w:trPr>
        <w:tc>
          <w:tcPr>
            <w:tcW w:w="3900" w:type="dxa"/>
            <w:vAlign w:val="bottom"/>
            <w:gridSpan w:val="4"/>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922,304,099</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936,632,099</w:t>
            </w:r>
          </w:p>
        </w:tc>
        <w:tc>
          <w:tcPr>
            <w:tcW w:w="120" w:type="dxa"/>
            <w:vAlign w:val="bottom"/>
          </w:tcPr>
          <w:p>
            <w:pPr>
              <w:spacing w:after="0"/>
              <w:rPr>
                <w:sz w:val="11"/>
                <w:szCs w:val="1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5"/>
              </w:rPr>
              <w:t>Spread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Maturity /</w:t>
            </w: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100" w:type="dxa"/>
            <w:vAlign w:val="bottom"/>
          </w:tcPr>
          <w:p>
            <w:pPr>
              <w:spacing w:after="0"/>
              <w:rPr>
                <w:sz w:val="10"/>
                <w:szCs w:val="10"/>
                <w:color w:val="auto"/>
              </w:rPr>
            </w:pPr>
          </w:p>
        </w:tc>
        <w:tc>
          <w:tcPr>
            <w:tcW w:w="880" w:type="dxa"/>
            <w:vAlign w:val="bottom"/>
            <w:gridSpan w:val="3"/>
          </w:tcPr>
          <w:p>
            <w:pPr>
              <w:jc w:val="center"/>
              <w:ind w:right="420"/>
              <w:spacing w:after="0" w:line="122" w:lineRule="exact"/>
              <w:rPr>
                <w:sz w:val="20"/>
                <w:szCs w:val="20"/>
                <w:color w:val="auto"/>
              </w:rPr>
            </w:pPr>
            <w:r>
              <w:rPr>
                <w:rFonts w:ascii="Arial" w:cs="Arial" w:eastAsia="Arial" w:hAnsi="Arial"/>
                <w:sz w:val="11"/>
                <w:szCs w:val="11"/>
                <w:b w:val="1"/>
                <w:bCs w:val="1"/>
                <w:color w:val="auto"/>
                <w:w w:val="92"/>
              </w:rPr>
              <w:t>Par /</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100" w:type="dxa"/>
            <w:vAlign w:val="bottom"/>
          </w:tcPr>
          <w:p>
            <w:pPr>
              <w:spacing w:after="0"/>
              <w:rPr>
                <w:sz w:val="11"/>
                <w:szCs w:val="11"/>
                <w:color w:val="auto"/>
              </w:rPr>
            </w:pPr>
          </w:p>
        </w:tc>
        <w:tc>
          <w:tcPr>
            <w:tcW w:w="88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w w:val="87"/>
              </w:rPr>
              <w:t>Shares</w:t>
            </w:r>
          </w:p>
        </w:tc>
        <w:tc>
          <w:tcPr>
            <w:tcW w:w="660" w:type="dxa"/>
            <w:vAlign w:val="bottom"/>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8"/>
        </w:trPr>
        <w:tc>
          <w:tcPr>
            <w:tcW w:w="398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Non-Controlled, Affiliated Portfolio Companies—8.5% </w:t>
            </w:r>
            <w:r>
              <w:rPr>
                <w:rFonts w:ascii="Arial" w:cs="Arial" w:eastAsia="Arial" w:hAnsi="Arial"/>
                <w:sz w:val="9"/>
                <w:szCs w:val="9"/>
                <w:b w:val="1"/>
                <w:bCs w:val="1"/>
                <w:color w:val="auto"/>
              </w:rPr>
              <w:t>(1), (2)</w:t>
            </w:r>
          </w:p>
        </w:tc>
        <w:tc>
          <w:tcPr>
            <w:tcW w:w="25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Equity/Partnership Interests—8.1% </w:t>
            </w:r>
            <w:r>
              <w:rPr>
                <w:rFonts w:ascii="Arial" w:cs="Arial" w:eastAsia="Arial" w:hAnsi="Arial"/>
                <w:sz w:val="9"/>
                <w:szCs w:val="9"/>
                <w:b w:val="1"/>
                <w:bCs w:val="1"/>
                <w:color w:val="auto"/>
              </w:rPr>
              <w:t>(6)</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ETX Energy, LLC</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61,732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6,173,200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22,717,376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MidOcean JF Holdings Corp.</w:t>
            </w:r>
          </w:p>
        </w:tc>
        <w:tc>
          <w:tcPr>
            <w:tcW w:w="1000" w:type="dxa"/>
            <w:vAlign w:val="bottom"/>
            <w:tcBorders>
              <w:bottom w:val="single" w:sz="8" w:color="CCECFF"/>
            </w:tcBorders>
          </w:tcPr>
          <w:p>
            <w:pPr>
              <w:ind w:left="380"/>
              <w:spacing w:after="0"/>
              <w:rPr>
                <w:sz w:val="20"/>
                <w:szCs w:val="20"/>
                <w:color w:val="auto"/>
              </w:rPr>
            </w:pPr>
            <w:r>
              <w:rPr>
                <w:rFonts w:ascii="Arial" w:cs="Arial" w:eastAsia="Arial" w:hAnsi="Arial"/>
                <w:sz w:val="11"/>
                <w:szCs w:val="11"/>
                <w:color w:val="auto"/>
              </w:rPr>
              <w:t>—</w:t>
            </w:r>
          </w:p>
        </w:tc>
        <w:tc>
          <w:tcPr>
            <w:tcW w:w="262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1"/>
                <w:szCs w:val="11"/>
                <w:color w:val="auto"/>
                <w:w w:val="94"/>
              </w:rPr>
              <w:t>Distribution</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153,922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15,392,188</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24,549,408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21,565,388</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47,266,784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Interests/Warrants—0.4% </w:t>
            </w:r>
            <w:r>
              <w:rPr>
                <w:rFonts w:ascii="Arial" w:cs="Arial" w:eastAsia="Arial" w:hAnsi="Arial"/>
                <w:sz w:val="9"/>
                <w:szCs w:val="9"/>
                <w:b w:val="1"/>
                <w:bCs w:val="1"/>
                <w:color w:val="auto"/>
                <w:w w:val="99"/>
              </w:rPr>
              <w:t>(6)</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1,658,389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29,711,576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ETX Energy Management Company, LLC</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1,754,104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1,562,020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MidOcean JF Holdings Corp.</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65,933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24,761,831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2,082,554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56,035,427</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2,082,554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77,600,816</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49,349,338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Companies—40.1% </w:t>
            </w:r>
            <w:r>
              <w:rPr>
                <w:rFonts w:ascii="Arial" w:cs="Arial" w:eastAsia="Arial" w:hAnsi="Arial"/>
                <w:sz w:val="9"/>
                <w:szCs w:val="9"/>
                <w:b w:val="1"/>
                <w:bCs w:val="1"/>
                <w:color w:val="auto"/>
              </w:rPr>
              <w:t>(1), (2)</w:t>
            </w: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First Lien Secured Debt—18.8%</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000" w:type="dxa"/>
            <w:vAlign w:val="bottom"/>
          </w:tcPr>
          <w:p>
            <w:pPr>
              <w:ind w:left="140"/>
              <w:spacing w:after="0"/>
              <w:rPr>
                <w:sz w:val="20"/>
                <w:szCs w:val="20"/>
                <w:color w:val="auto"/>
              </w:rPr>
            </w:pPr>
            <w:r>
              <w:rPr>
                <w:rFonts w:ascii="Arial" w:cs="Arial" w:eastAsia="Arial" w:hAnsi="Arial"/>
                <w:sz w:val="11"/>
                <w:szCs w:val="11"/>
                <w:color w:val="auto"/>
              </w:rPr>
              <w:t>03/13/2024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28,000,000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39,051,600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34,504,400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RAM Energy LLC</w:t>
            </w:r>
          </w:p>
        </w:tc>
        <w:tc>
          <w:tcPr>
            <w:tcW w:w="1000" w:type="dxa"/>
            <w:vAlign w:val="bottom"/>
            <w:shd w:val="clear" w:color="auto" w:fill="CCECFF"/>
          </w:tcPr>
          <w:p>
            <w:pPr>
              <w:ind w:left="140"/>
              <w:spacing w:after="0"/>
              <w:rPr>
                <w:sz w:val="20"/>
                <w:szCs w:val="20"/>
                <w:color w:val="auto"/>
              </w:rPr>
            </w:pPr>
            <w:r>
              <w:rPr>
                <w:rFonts w:ascii="Arial" w:cs="Arial" w:eastAsia="Arial" w:hAnsi="Arial"/>
                <w:sz w:val="11"/>
                <w:szCs w:val="11"/>
                <w:color w:val="auto"/>
              </w:rPr>
              <w:t>07/01/2022</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35,000,000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35,000,000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35,000,000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RAM Energy LLC (Revolver)</w:t>
            </w:r>
          </w:p>
        </w:tc>
        <w:tc>
          <w:tcPr>
            <w:tcW w:w="1000" w:type="dxa"/>
            <w:vAlign w:val="bottom"/>
            <w:tcBorders>
              <w:bottom w:val="single" w:sz="8" w:color="CCECFF"/>
            </w:tcBorders>
          </w:tcPr>
          <w:p>
            <w:pPr>
              <w:ind w:left="140"/>
              <w:spacing w:after="0"/>
              <w:rPr>
                <w:sz w:val="20"/>
                <w:szCs w:val="20"/>
                <w:color w:val="auto"/>
              </w:rPr>
            </w:pPr>
            <w:r>
              <w:rPr>
                <w:rFonts w:ascii="Arial" w:cs="Arial" w:eastAsia="Arial" w:hAnsi="Arial"/>
                <w:sz w:val="11"/>
                <w:szCs w:val="11"/>
                <w:color w:val="auto"/>
              </w:rPr>
              <w:t>07/01/2022</w:t>
            </w:r>
          </w:p>
        </w:tc>
        <w:tc>
          <w:tcPr>
            <w:tcW w:w="262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8.00%</w:t>
            </w:r>
          </w:p>
        </w:tc>
        <w:tc>
          <w:tcPr>
            <w:tcW w:w="9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w w:val="98"/>
              </w:rPr>
              <w:t>40,000,000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40,000,000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40,000,000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114,051,600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109,504,400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20"/>
                <w:szCs w:val="20"/>
                <w:color w:val="auto"/>
              </w:rPr>
            </w:pPr>
            <w:r>
              <w:rPr>
                <w:rFonts w:ascii="Arial" w:cs="Arial" w:eastAsia="Arial" w:hAnsi="Arial"/>
                <w:sz w:val="11"/>
                <w:szCs w:val="11"/>
                <w:b w:val="1"/>
                <w:bCs w:val="1"/>
                <w:color w:val="auto"/>
              </w:rPr>
              <w:t>Second Lien Secured Debt—7.9%</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PT Network Intermediate Holdings, LLC</w:t>
            </w:r>
          </w:p>
        </w:tc>
        <w:tc>
          <w:tcPr>
            <w:tcW w:w="1000" w:type="dxa"/>
            <w:vAlign w:val="bottom"/>
            <w:shd w:val="clear" w:color="auto" w:fill="CCECFF"/>
          </w:tcPr>
          <w:p>
            <w:pPr>
              <w:ind w:left="140"/>
              <w:spacing w:after="0"/>
              <w:rPr>
                <w:sz w:val="20"/>
                <w:szCs w:val="20"/>
                <w:color w:val="auto"/>
              </w:rPr>
            </w:pPr>
            <w:r>
              <w:rPr>
                <w:rFonts w:ascii="Arial" w:cs="Arial" w:eastAsia="Arial" w:hAnsi="Arial"/>
                <w:sz w:val="11"/>
                <w:szCs w:val="11"/>
                <w:color w:val="auto"/>
              </w:rPr>
              <w:t>11/30/2024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12.30%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46,610,223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46,163,881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46,144,120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12.30%)</w:t>
            </w: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46,163,881</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46,144,120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Equity—1.6% </w:t>
            </w:r>
            <w:r>
              <w:rPr>
                <w:rFonts w:ascii="Arial" w:cs="Arial" w:eastAsia="Arial" w:hAnsi="Arial"/>
                <w:sz w:val="9"/>
                <w:szCs w:val="9"/>
                <w:b w:val="1"/>
                <w:bCs w:val="1"/>
                <w:color w:val="auto"/>
              </w:rPr>
              <w:t>(6)</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8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546,750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11,251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8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000" w:type="dxa"/>
            <w:vAlign w:val="bottom"/>
            <w:shd w:val="clear" w:color="auto" w:fill="CCECFF"/>
          </w:tcPr>
          <w:p>
            <w:pPr>
              <w:spacing w:after="0"/>
              <w:rPr>
                <w:sz w:val="11"/>
                <w:szCs w:val="11"/>
                <w:color w:val="auto"/>
              </w:rPr>
            </w:pP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12.14%</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8,975,000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9,264,347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Preferred Equity</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9,521,750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9,275,598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Equity—11.8% </w:t>
            </w:r>
            <w:r>
              <w:rPr>
                <w:rFonts w:ascii="Arial" w:cs="Arial" w:eastAsia="Arial" w:hAnsi="Arial"/>
                <w:sz w:val="9"/>
                <w:szCs w:val="9"/>
                <w:b w:val="1"/>
                <w:bCs w:val="1"/>
                <w:color w:val="auto"/>
              </w:rPr>
              <w:t>(6)</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132,497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2,554,804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000" w:type="dxa"/>
            <w:vAlign w:val="bottom"/>
          </w:tcPr>
          <w:p>
            <w:pPr>
              <w:spacing w:after="0"/>
              <w:rPr>
                <w:sz w:val="11"/>
                <w:szCs w:val="11"/>
                <w:color w:val="auto"/>
              </w:rPr>
            </w:pP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5,983,333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17,014,720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RAM Energy Holdings LLC</w:t>
            </w:r>
          </w:p>
        </w:tc>
        <w:tc>
          <w:tcPr>
            <w:tcW w:w="10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84,747</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76,264,739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48,957,717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87,380,569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68,527,241</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w w:val="90"/>
              </w:rPr>
              <w:t>Total Investments in Controlled, Affiliated Portfolio Companies</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257,117,800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233,451,359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Investments—209.6%</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1,257,022,715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1,219,432,796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Equivalents—10.2%</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BlackRock Federal FD Institutional 30</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47,640,291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w w:val="93"/>
              </w:rPr>
              <w:t>47,640,291.72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color w:val="auto"/>
              </w:rPr>
              <w:t>BNY Mellon Cash Reserve and Cash</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11,906,147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11,875,944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0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59,546,438</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59,516,236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Equivalents—219.8%</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8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8"/>
              </w:rPr>
              <w:t>1,316,569,153</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3"/>
              </w:rPr>
              <w:t>1,278,949,032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1"/>
                <w:szCs w:val="11"/>
                <w:b w:val="1"/>
                <w:bCs w:val="1"/>
                <w:color w:val="auto"/>
              </w:rPr>
              <w:t>Liabilities in Excess of Other Assets—(119.8%)</w:t>
            </w:r>
          </w:p>
        </w:tc>
        <w:tc>
          <w:tcPr>
            <w:tcW w:w="1000" w:type="dxa"/>
            <w:vAlign w:val="bottom"/>
            <w:tcBorders>
              <w:top w:val="single" w:sz="8" w:color="CCECFF"/>
            </w:tcBorders>
          </w:tcPr>
          <w:p>
            <w:pPr>
              <w:spacing w:after="0" w:line="20" w:lineRule="exact"/>
              <w:rPr>
                <w:sz w:val="1"/>
                <w:szCs w:val="1"/>
                <w:color w:val="auto"/>
              </w:rPr>
            </w:pPr>
          </w:p>
        </w:tc>
        <w:tc>
          <w:tcPr>
            <w:tcW w:w="25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(697,043,364)</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Net Assets—100.0%</w:t>
            </w:r>
          </w:p>
        </w:tc>
        <w:tc>
          <w:tcPr>
            <w:tcW w:w="10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581,905,668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CCECFF"/>
            </w:tcBorders>
          </w:tcPr>
          <w:p>
            <w:pPr>
              <w:spacing w:after="0" w:line="20" w:lineRule="exact"/>
              <w:rPr>
                <w:sz w:val="1"/>
                <w:szCs w:val="1"/>
                <w:color w:val="auto"/>
              </w:rPr>
            </w:pPr>
          </w:p>
        </w:tc>
        <w:tc>
          <w:tcPr>
            <w:tcW w:w="25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76" w:lineRule="exact"/>
        <w:rPr>
          <w:sz w:val="20"/>
          <w:szCs w:val="20"/>
          <w:color w:val="auto"/>
        </w:rPr>
      </w:pPr>
    </w:p>
    <w:p>
      <w:pPr>
        <w:ind w:left="380" w:hanging="372"/>
        <w:spacing w:after="0" w:line="252" w:lineRule="auto"/>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69" w:lineRule="auto"/>
        <w:tabs>
          <w:tab w:leader="none" w:pos="380" w:val="left"/>
        </w:tabs>
        <w:numPr>
          <w:ilvl w:val="0"/>
          <w:numId w:val="51"/>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13" w:lineRule="exact"/>
        <w:rPr>
          <w:rFonts w:ascii="Arial" w:cs="Arial" w:eastAsia="Arial" w:hAnsi="Arial"/>
          <w:sz w:val="11"/>
          <w:szCs w:val="11"/>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securities, or a portion thereof, are pledged as collateral under the BNP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or in Euros (€) as denoted.</w:t>
      </w:r>
    </w:p>
    <w:p>
      <w:pPr>
        <w:spacing w:after="0" w:line="37" w:lineRule="exact"/>
        <w:rPr>
          <w:rFonts w:ascii="Arial" w:cs="Arial" w:eastAsia="Arial" w:hAnsi="Arial"/>
          <w:sz w:val="12"/>
          <w:szCs w:val="12"/>
          <w:color w:val="auto"/>
        </w:rPr>
      </w:pPr>
    </w:p>
    <w:p>
      <w:pPr>
        <w:ind w:left="380" w:right="20" w:hanging="372"/>
        <w:spacing w:after="0" w:line="294" w:lineRule="auto"/>
        <w:tabs>
          <w:tab w:leader="none" w:pos="380" w:val="left"/>
        </w:tabs>
        <w:numPr>
          <w:ilvl w:val="0"/>
          <w:numId w:val="51"/>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96% of the Company’s total assets and non-qualifying assets represent 4% of the Company’s total assets.</w:t>
      </w: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6"/>
        </w:trPr>
        <w:tc>
          <w:tcPr>
            <w:tcW w:w="2860" w:type="dxa"/>
            <w:vAlign w:val="bottom"/>
          </w:tcPr>
          <w:p>
            <w:pPr>
              <w:spacing w:after="0"/>
              <w:rPr>
                <w:sz w:val="10"/>
                <w:szCs w:val="10"/>
                <w:color w:val="auto"/>
              </w:rPr>
            </w:pPr>
          </w:p>
        </w:tc>
        <w:tc>
          <w:tcPr>
            <w:tcW w:w="980" w:type="dxa"/>
            <w:vAlign w:val="bottom"/>
          </w:tcPr>
          <w:p>
            <w:pPr>
              <w:ind w:left="200"/>
              <w:spacing w:after="0" w:line="126" w:lineRule="exact"/>
              <w:rPr>
                <w:sz w:val="20"/>
                <w:szCs w:val="20"/>
                <w:color w:val="auto"/>
              </w:rPr>
            </w:pPr>
            <w:r>
              <w:rPr>
                <w:rFonts w:ascii="Arial" w:cs="Arial" w:eastAsia="Arial" w:hAnsi="Arial"/>
                <w:sz w:val="12"/>
                <w:szCs w:val="12"/>
                <w:b w:val="1"/>
                <w:bCs w:val="1"/>
                <w:color w:val="auto"/>
              </w:rPr>
              <w:t>Maturity /</w:t>
            </w: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120"/>
              <w:spacing w:after="0" w:line="126" w:lineRule="exact"/>
              <w:rPr>
                <w:sz w:val="20"/>
                <w:szCs w:val="20"/>
                <w:color w:val="auto"/>
              </w:rPr>
            </w:pPr>
            <w:r>
              <w:rPr>
                <w:rFonts w:ascii="Arial" w:cs="Arial" w:eastAsia="Arial" w:hAnsi="Arial"/>
                <w:sz w:val="12"/>
                <w:szCs w:val="12"/>
                <w:b w:val="1"/>
                <w:bCs w:val="1"/>
                <w:color w:val="auto"/>
              </w:rPr>
              <w:t>Current</w:t>
            </w:r>
          </w:p>
        </w:tc>
        <w:tc>
          <w:tcPr>
            <w:tcW w:w="1100" w:type="dxa"/>
            <w:vAlign w:val="bottom"/>
            <w:gridSpan w:val="2"/>
          </w:tcPr>
          <w:p>
            <w:pPr>
              <w:jc w:val="center"/>
              <w:ind w:right="260"/>
              <w:spacing w:after="0" w:line="126"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26"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Expiration</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1"/>
                <w:szCs w:val="11"/>
                <w:b w:val="1"/>
                <w:bCs w:val="1"/>
                <w:color w:val="auto"/>
                <w:w w:val="91"/>
              </w:rPr>
              <w:t xml:space="preserve">Index </w:t>
            </w:r>
            <w:r>
              <w:rPr>
                <w:rFonts w:ascii="Arial" w:cs="Arial" w:eastAsia="Arial" w:hAnsi="Arial"/>
                <w:sz w:val="17"/>
                <w:szCs w:val="17"/>
                <w:b w:val="1"/>
                <w:bCs w:val="1"/>
                <w:color w:val="auto"/>
                <w:w w:val="91"/>
                <w:vertAlign w:val="superscript"/>
              </w:rPr>
              <w:t>(4)</w:t>
            </w:r>
          </w:p>
        </w:tc>
        <w:tc>
          <w:tcPr>
            <w:tcW w:w="660" w:type="dxa"/>
            <w:vAlign w:val="bottom"/>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70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3"/>
                <w:szCs w:val="13"/>
                <w:color w:val="auto"/>
              </w:rPr>
            </w:pP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1"/>
                <w:szCs w:val="11"/>
                <w:b w:val="1"/>
                <w:bCs w:val="1"/>
                <w:color w:val="auto"/>
                <w:w w:val="94"/>
              </w:rPr>
              <w:t xml:space="preserve">Fair Value </w:t>
            </w:r>
            <w:r>
              <w:rPr>
                <w:rFonts w:ascii="Arial" w:cs="Arial" w:eastAsia="Arial" w:hAnsi="Arial"/>
                <w:sz w:val="17"/>
                <w:szCs w:val="17"/>
                <w:b w:val="1"/>
                <w:bCs w:val="1"/>
                <w:color w:val="auto"/>
                <w:w w:val="94"/>
                <w:vertAlign w:val="superscript"/>
              </w:rPr>
              <w:t>(3)</w:t>
            </w:r>
          </w:p>
        </w:tc>
      </w:tr>
      <w:tr>
        <w:trPr>
          <w:trHeight w:val="142"/>
        </w:trPr>
        <w:tc>
          <w:tcPr>
            <w:tcW w:w="6400" w:type="dxa"/>
            <w:vAlign w:val="bottom"/>
            <w:tcBorders>
              <w:top w:val="single" w:sz="8" w:color="auto"/>
            </w:tcBorders>
            <w:gridSpan w:val="3"/>
            <w:shd w:val="clear" w:color="auto" w:fill="CCEC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Companies—144.0% </w:t>
            </w:r>
            <w:r>
              <w:rPr>
                <w:rFonts w:ascii="Arial" w:cs="Arial" w:eastAsia="Arial" w:hAnsi="Arial"/>
                <w:sz w:val="16"/>
                <w:szCs w:val="16"/>
                <w:b w:val="1"/>
                <w:bCs w:val="1"/>
                <w:color w:val="auto"/>
                <w:vertAlign w:val="superscript"/>
              </w:rPr>
              <w:t>(1), (2)</w:t>
            </w: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Debt—66.9%</w:t>
            </w: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Allied America,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08/08/2022</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9.39%</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21,435,548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21,116,138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21,478,419</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Allied America, Inc. (Revolver) </w:t>
            </w:r>
            <w:r>
              <w:rPr>
                <w:rFonts w:ascii="Arial" w:cs="Arial" w:eastAsia="Arial" w:hAnsi="Arial"/>
                <w:sz w:val="17"/>
                <w:szCs w:val="17"/>
                <w:color w:val="auto"/>
                <w:vertAlign w:val="superscript"/>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08/08/2022</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Bazaarvoice,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02/01/2024</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10.24%</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14,783,825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80" w:type="dxa"/>
            <w:vAlign w:val="bottom"/>
          </w:tcPr>
          <w:p>
            <w:pPr>
              <w:ind w:left="200"/>
              <w:spacing w:after="0"/>
              <w:rPr>
                <w:sz w:val="20"/>
                <w:szCs w:val="20"/>
                <w:color w:val="auto"/>
              </w:rPr>
            </w:pPr>
            <w:r>
              <w:rPr>
                <w:rFonts w:ascii="Arial" w:cs="Arial" w:eastAsia="Arial" w:hAnsi="Arial"/>
                <w:sz w:val="12"/>
                <w:szCs w:val="12"/>
                <w:color w:val="auto"/>
              </w:rPr>
              <w:t>02/13/2023</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9.74%</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tcPr>
          <w:p>
            <w:pPr>
              <w:jc w:val="right"/>
              <w:spacing w:after="0"/>
              <w:rPr>
                <w:sz w:val="20"/>
                <w:szCs w:val="20"/>
                <w:color w:val="auto"/>
              </w:rPr>
            </w:pPr>
            <w:r>
              <w:rPr>
                <w:rFonts w:ascii="Arial" w:cs="Arial" w:eastAsia="Arial" w:hAnsi="Arial"/>
                <w:sz w:val="12"/>
                <w:szCs w:val="12"/>
                <w:color w:val="auto"/>
              </w:rPr>
              <w:t>19,583,330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19,345,650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Broder Bros., Co.</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12/02/2022</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10.33%</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31,676,768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31,678,078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31,676,768</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Cano Health, LLC</w:t>
            </w:r>
          </w:p>
        </w:tc>
        <w:tc>
          <w:tcPr>
            <w:tcW w:w="980" w:type="dxa"/>
            <w:vAlign w:val="bottom"/>
          </w:tcPr>
          <w:p>
            <w:pPr>
              <w:ind w:left="200"/>
              <w:spacing w:after="0"/>
              <w:rPr>
                <w:sz w:val="20"/>
                <w:szCs w:val="20"/>
                <w:color w:val="auto"/>
              </w:rPr>
            </w:pPr>
            <w:r>
              <w:rPr>
                <w:rFonts w:ascii="Arial" w:cs="Arial" w:eastAsia="Arial" w:hAnsi="Arial"/>
                <w:sz w:val="12"/>
                <w:szCs w:val="12"/>
                <w:color w:val="auto"/>
              </w:rPr>
              <w:t>12/23/2021</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10.61%</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32,813,941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32,240,776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 (Revolver)</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11/05/2018</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10.68%</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80" w:type="dxa"/>
            <w:vAlign w:val="bottom"/>
          </w:tcPr>
          <w:p>
            <w:pPr>
              <w:ind w:left="200"/>
              <w:spacing w:after="0"/>
              <w:rPr>
                <w:sz w:val="20"/>
                <w:szCs w:val="20"/>
                <w:color w:val="auto"/>
              </w:rPr>
            </w:pPr>
            <w:r>
              <w:rPr>
                <w:rFonts w:ascii="Arial" w:cs="Arial" w:eastAsia="Arial" w:hAnsi="Arial"/>
                <w:sz w:val="12"/>
                <w:szCs w:val="12"/>
                <w:color w:val="auto"/>
              </w:rPr>
              <w:t>03/03/2022</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9.24%</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1M L+700</w:t>
            </w:r>
          </w:p>
        </w:tc>
        <w:tc>
          <w:tcPr>
            <w:tcW w:w="660" w:type="dxa"/>
            <w:vAlign w:val="bottom"/>
          </w:tcPr>
          <w:p>
            <w:pPr>
              <w:jc w:val="right"/>
              <w:spacing w:after="0"/>
              <w:rPr>
                <w:sz w:val="20"/>
                <w:szCs w:val="20"/>
                <w:color w:val="auto"/>
              </w:rPr>
            </w:pPr>
            <w:r>
              <w:rPr>
                <w:rFonts w:ascii="Arial" w:cs="Arial" w:eastAsia="Arial" w:hAnsi="Arial"/>
                <w:sz w:val="12"/>
                <w:szCs w:val="12"/>
                <w:color w:val="auto"/>
              </w:rPr>
              <w:t>9,850,000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9,738,431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10/31/2023</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7.74%</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4,962,500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4,877,212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4,962,500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Deva Holdings, Inc. </w:t>
            </w:r>
            <w:r>
              <w:rPr>
                <w:rFonts w:ascii="Arial" w:cs="Arial" w:eastAsia="Arial" w:hAnsi="Arial"/>
                <w:sz w:val="17"/>
                <w:szCs w:val="17"/>
                <w:color w:val="auto"/>
                <w:vertAlign w:val="superscript"/>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10/31/2022</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7"/>
                <w:szCs w:val="17"/>
                <w:color w:val="auto"/>
                <w:vertAlign w:val="superscript"/>
              </w:rPr>
              <w:t>(11)</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08/29/2022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9.74%</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19,800,000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19,475,599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19,800,000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7"/>
                <w:szCs w:val="17"/>
                <w:color w:val="auto"/>
                <w:vertAlign w:val="superscript"/>
              </w:rPr>
              <w:t>(7), (11)</w:t>
            </w:r>
          </w:p>
        </w:tc>
        <w:tc>
          <w:tcPr>
            <w:tcW w:w="980" w:type="dxa"/>
            <w:vAlign w:val="bottom"/>
          </w:tcPr>
          <w:p>
            <w:pPr>
              <w:ind w:left="200"/>
              <w:spacing w:after="0"/>
              <w:rPr>
                <w:sz w:val="20"/>
                <w:szCs w:val="20"/>
                <w:color w:val="auto"/>
              </w:rPr>
            </w:pPr>
            <w:r>
              <w:rPr>
                <w:rFonts w:ascii="Arial" w:cs="Arial" w:eastAsia="Arial" w:hAnsi="Arial"/>
                <w:sz w:val="12"/>
                <w:szCs w:val="12"/>
                <w:color w:val="auto"/>
              </w:rPr>
              <w:t>08/29/2022</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7"/>
                <w:szCs w:val="17"/>
                <w:color w:val="auto"/>
                <w:vertAlign w:val="superscript"/>
              </w:rPr>
              <w:t>(7), (11)</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08/29/2022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80" w:type="dxa"/>
            <w:vAlign w:val="bottom"/>
          </w:tcPr>
          <w:p>
            <w:pPr>
              <w:ind w:left="200"/>
              <w:spacing w:after="0"/>
              <w:rPr>
                <w:sz w:val="20"/>
                <w:szCs w:val="20"/>
                <w:color w:val="auto"/>
              </w:rPr>
            </w:pPr>
            <w:r>
              <w:rPr>
                <w:rFonts w:ascii="Arial" w:cs="Arial" w:eastAsia="Arial" w:hAnsi="Arial"/>
                <w:sz w:val="12"/>
                <w:szCs w:val="12"/>
                <w:color w:val="auto"/>
              </w:rPr>
              <w:t>06/09/2023</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10.39%</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19,713,838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19,386,443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06/27/2023</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8.64%</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22,457,923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22,225,155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22,345,634</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Impact Group, LLC </w:t>
            </w:r>
            <w:r>
              <w:rPr>
                <w:rFonts w:ascii="Arial" w:cs="Arial" w:eastAsia="Arial" w:hAnsi="Arial"/>
                <w:sz w:val="17"/>
                <w:szCs w:val="17"/>
                <w:color w:val="auto"/>
                <w:vertAlign w:val="superscript"/>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06/27/2023</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12,491,009</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(62,455)</w:t>
            </w: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12/22/2021</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11.61%</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14,350,500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14,140,360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14,350,500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80" w:type="dxa"/>
            <w:vAlign w:val="bottom"/>
          </w:tcPr>
          <w:p>
            <w:pPr>
              <w:ind w:left="200"/>
              <w:spacing w:after="0"/>
              <w:rPr>
                <w:sz w:val="20"/>
                <w:szCs w:val="20"/>
                <w:color w:val="auto"/>
              </w:rPr>
            </w:pPr>
            <w:r>
              <w:rPr>
                <w:rFonts w:ascii="Arial" w:cs="Arial" w:eastAsia="Arial" w:hAnsi="Arial"/>
                <w:sz w:val="12"/>
                <w:szCs w:val="12"/>
                <w:color w:val="auto"/>
              </w:rPr>
              <w:t>02/19/2021</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11.24%</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14,243,249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14,033,015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Ox Two, LLC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02/27/2023</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8.49%</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22,218,750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21,819,701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22,218,750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Ox Two, LLC (Revolver)</w:t>
            </w:r>
          </w:p>
        </w:tc>
        <w:tc>
          <w:tcPr>
            <w:tcW w:w="980" w:type="dxa"/>
            <w:vAlign w:val="bottom"/>
          </w:tcPr>
          <w:p>
            <w:pPr>
              <w:ind w:left="200"/>
              <w:spacing w:after="0"/>
              <w:rPr>
                <w:sz w:val="20"/>
                <w:szCs w:val="20"/>
                <w:color w:val="auto"/>
              </w:rPr>
            </w:pPr>
            <w:r>
              <w:rPr>
                <w:rFonts w:ascii="Arial" w:cs="Arial" w:eastAsia="Arial" w:hAnsi="Arial"/>
                <w:sz w:val="12"/>
                <w:szCs w:val="12"/>
                <w:color w:val="auto"/>
              </w:rPr>
              <w:t>02/27/2023</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tcPr>
          <w:p>
            <w:pPr>
              <w:jc w:val="right"/>
              <w:spacing w:after="0"/>
              <w:rPr>
                <w:sz w:val="20"/>
                <w:szCs w:val="20"/>
                <w:color w:val="auto"/>
              </w:rPr>
            </w:pPr>
            <w:r>
              <w:rPr>
                <w:rFonts w:ascii="Arial" w:cs="Arial" w:eastAsia="Arial" w:hAnsi="Arial"/>
                <w:sz w:val="12"/>
                <w:szCs w:val="12"/>
                <w:color w:val="auto"/>
              </w:rPr>
              <w:t>750,000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7"/>
                <w:szCs w:val="17"/>
                <w:color w:val="auto"/>
                <w:vertAlign w:val="superscript"/>
              </w:rPr>
              <w:t>(7)</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02/27/2023</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Questex, LLC</w:t>
            </w:r>
          </w:p>
        </w:tc>
        <w:tc>
          <w:tcPr>
            <w:tcW w:w="980" w:type="dxa"/>
            <w:vAlign w:val="bottom"/>
          </w:tcPr>
          <w:p>
            <w:pPr>
              <w:ind w:left="200"/>
              <w:spacing w:after="0"/>
              <w:rPr>
                <w:sz w:val="20"/>
                <w:szCs w:val="20"/>
                <w:color w:val="auto"/>
              </w:rPr>
            </w:pPr>
            <w:r>
              <w:rPr>
                <w:rFonts w:ascii="Arial" w:cs="Arial" w:eastAsia="Arial" w:hAnsi="Arial"/>
                <w:sz w:val="12"/>
                <w:szCs w:val="12"/>
                <w:color w:val="auto"/>
              </w:rPr>
              <w:t>09/09/2024</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8.57%</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22,054,120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Questex, LLC (Revolver)</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09/09/2024</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8.57%</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598,404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598,404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586,436</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7"/>
                <w:szCs w:val="17"/>
                <w:color w:val="auto"/>
                <w:vertAlign w:val="superscript"/>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09/09/2024</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2,992,021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(59,840)</w:t>
            </w: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06/28/2022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8.36%</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22,071,351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Research Horizons, LLC </w:t>
            </w:r>
            <w:r>
              <w:rPr>
                <w:rFonts w:ascii="Arial" w:cs="Arial" w:eastAsia="Arial" w:hAnsi="Arial"/>
                <w:sz w:val="17"/>
                <w:szCs w:val="17"/>
                <w:color w:val="auto"/>
                <w:vertAlign w:val="superscript"/>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06/28/2022</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9,121,622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(182,432)</w:t>
            </w: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 (Revolver)</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06/28/2022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8.36%</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1,748,108</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Research Horizons, LLC (Revolver) </w:t>
            </w:r>
            <w:r>
              <w:rPr>
                <w:rFonts w:ascii="Arial" w:cs="Arial" w:eastAsia="Arial" w:hAnsi="Arial"/>
                <w:sz w:val="17"/>
                <w:szCs w:val="17"/>
                <w:color w:val="auto"/>
                <w:vertAlign w:val="superscript"/>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06/28/2022</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2,270,270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(45,405)</w:t>
            </w: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09/01/2022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8.59%</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20,925,313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20,642,473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20,925,313</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SFP Holding, Inc. </w:t>
            </w:r>
            <w:r>
              <w:rPr>
                <w:rFonts w:ascii="Arial" w:cs="Arial" w:eastAsia="Arial" w:hAnsi="Arial"/>
                <w:sz w:val="17"/>
                <w:szCs w:val="17"/>
                <w:color w:val="auto"/>
                <w:vertAlign w:val="superscript"/>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09/01/2022</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1,375,000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SFP Holding, Inc. (Revolver) </w:t>
            </w:r>
            <w:r>
              <w:rPr>
                <w:rFonts w:ascii="Arial" w:cs="Arial" w:eastAsia="Arial" w:hAnsi="Arial"/>
                <w:sz w:val="17"/>
                <w:szCs w:val="17"/>
                <w:color w:val="auto"/>
                <w:vertAlign w:val="superscript"/>
              </w:rPr>
              <w:t>(7)</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09/01/2022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980" w:type="dxa"/>
            <w:vAlign w:val="bottom"/>
          </w:tcPr>
          <w:p>
            <w:pPr>
              <w:ind w:left="200"/>
              <w:spacing w:after="0"/>
              <w:rPr>
                <w:sz w:val="20"/>
                <w:szCs w:val="20"/>
                <w:color w:val="auto"/>
              </w:rPr>
            </w:pPr>
            <w:r>
              <w:rPr>
                <w:rFonts w:ascii="Arial" w:cs="Arial" w:eastAsia="Arial" w:hAnsi="Arial"/>
                <w:sz w:val="12"/>
                <w:szCs w:val="12"/>
                <w:color w:val="auto"/>
              </w:rPr>
              <w:t>12/28/2020</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15.49%</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1M L+1,325</w:t>
            </w:r>
          </w:p>
        </w:tc>
        <w:tc>
          <w:tcPr>
            <w:tcW w:w="660" w:type="dxa"/>
            <w:vAlign w:val="bottom"/>
          </w:tcPr>
          <w:p>
            <w:pPr>
              <w:jc w:val="right"/>
              <w:spacing w:after="0"/>
              <w:rPr>
                <w:sz w:val="20"/>
                <w:szCs w:val="20"/>
                <w:color w:val="auto"/>
              </w:rPr>
            </w:pPr>
            <w:r>
              <w:rPr>
                <w:rFonts w:ascii="Arial" w:cs="Arial" w:eastAsia="Arial" w:hAnsi="Arial"/>
                <w:sz w:val="12"/>
                <w:szCs w:val="12"/>
                <w:color w:val="auto"/>
              </w:rPr>
              <w:t>23,718,379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23,464,517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07/15/2024</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9.14%</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29,925,000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29,415,076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29,925,000</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US Dominion, Inc. (Revolver) </w:t>
            </w:r>
            <w:r>
              <w:rPr>
                <w:rFonts w:ascii="Arial" w:cs="Arial" w:eastAsia="Arial" w:hAnsi="Arial"/>
                <w:sz w:val="17"/>
                <w:szCs w:val="17"/>
                <w:color w:val="auto"/>
                <w:vertAlign w:val="superscript"/>
              </w:rPr>
              <w:t>(7)</w:t>
            </w:r>
          </w:p>
        </w:tc>
        <w:tc>
          <w:tcPr>
            <w:tcW w:w="980" w:type="dxa"/>
            <w:vAlign w:val="bottom"/>
          </w:tcPr>
          <w:p>
            <w:pPr>
              <w:ind w:left="200"/>
              <w:spacing w:after="0"/>
              <w:rPr>
                <w:sz w:val="20"/>
                <w:szCs w:val="20"/>
                <w:color w:val="auto"/>
              </w:rPr>
            </w:pPr>
            <w:r>
              <w:rPr>
                <w:rFonts w:ascii="Arial" w:cs="Arial" w:eastAsia="Arial" w:hAnsi="Arial"/>
                <w:sz w:val="12"/>
                <w:szCs w:val="12"/>
                <w:color w:val="auto"/>
              </w:rPr>
              <w:t>07/15/2024</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08/13/2021</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11.39%</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8,476,563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8,476,563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8,052,732</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Walker Edison Furniture Company LLC</w:t>
            </w:r>
          </w:p>
        </w:tc>
        <w:tc>
          <w:tcPr>
            <w:tcW w:w="980" w:type="dxa"/>
            <w:vAlign w:val="bottom"/>
          </w:tcPr>
          <w:p>
            <w:pPr>
              <w:ind w:left="200"/>
              <w:spacing w:after="0"/>
              <w:rPr>
                <w:sz w:val="20"/>
                <w:szCs w:val="20"/>
                <w:color w:val="auto"/>
              </w:rPr>
            </w:pPr>
            <w:r>
              <w:rPr>
                <w:rFonts w:ascii="Arial" w:cs="Arial" w:eastAsia="Arial" w:hAnsi="Arial"/>
                <w:sz w:val="12"/>
                <w:szCs w:val="12"/>
                <w:color w:val="auto"/>
              </w:rPr>
              <w:t>09/26/2024</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Home and Office Furnishings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8.88%</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22,050,866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10/18/2022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11.25%</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19,305,000</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18,977,907</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19,305,000</w:t>
            </w:r>
          </w:p>
        </w:tc>
        <w:tc>
          <w:tcPr>
            <w:tcW w:w="100" w:type="dxa"/>
            <w:vAlign w:val="bottom"/>
            <w:shd w:val="clear" w:color="auto" w:fill="CCECFF"/>
          </w:tcPr>
          <w:p>
            <w:pPr>
              <w:spacing w:after="0"/>
              <w:rPr>
                <w:sz w:val="12"/>
                <w:szCs w:val="12"/>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418,295,444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420,847,539</w:t>
            </w:r>
          </w:p>
        </w:tc>
        <w:tc>
          <w:tcPr>
            <w:tcW w:w="100" w:type="dxa"/>
            <w:vAlign w:val="bottom"/>
          </w:tcPr>
          <w:p>
            <w:pPr>
              <w:spacing w:after="0"/>
              <w:rPr>
                <w:sz w:val="12"/>
                <w:szCs w:val="12"/>
                <w:color w:val="auto"/>
              </w:rPr>
            </w:pPr>
          </w:p>
        </w:tc>
      </w:tr>
      <w:tr>
        <w:trPr>
          <w:trHeight w:val="142"/>
        </w:trPr>
        <w:tc>
          <w:tcPr>
            <w:tcW w:w="28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Debt—62.2%</w:t>
            </w:r>
          </w:p>
        </w:tc>
        <w:tc>
          <w:tcPr>
            <w:tcW w:w="980" w:type="dxa"/>
            <w:vAlign w:val="bottom"/>
            <w:tcBorders>
              <w:top w:val="single" w:sz="8" w:color="CCECFF"/>
            </w:tcBorders>
            <w:shd w:val="clear" w:color="auto" w:fill="CCECFF"/>
          </w:tcPr>
          <w:p>
            <w:pPr>
              <w:spacing w:after="0"/>
              <w:rPr>
                <w:sz w:val="12"/>
                <w:szCs w:val="12"/>
                <w:color w:val="auto"/>
              </w:rPr>
            </w:pPr>
          </w:p>
        </w:tc>
        <w:tc>
          <w:tcPr>
            <w:tcW w:w="25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Condor Borrower, LLC</w:t>
            </w:r>
          </w:p>
        </w:tc>
        <w:tc>
          <w:tcPr>
            <w:tcW w:w="980" w:type="dxa"/>
            <w:vAlign w:val="bottom"/>
          </w:tcPr>
          <w:p>
            <w:pPr>
              <w:ind w:left="200"/>
              <w:spacing w:after="0"/>
              <w:rPr>
                <w:sz w:val="20"/>
                <w:szCs w:val="20"/>
                <w:color w:val="auto"/>
              </w:rPr>
            </w:pPr>
            <w:r>
              <w:rPr>
                <w:rFonts w:ascii="Arial" w:cs="Arial" w:eastAsia="Arial" w:hAnsi="Arial"/>
                <w:sz w:val="12"/>
                <w:szCs w:val="12"/>
                <w:color w:val="auto"/>
              </w:rPr>
              <w:t>04/25/2025</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11.09%</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12,271,734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DecoPac,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03/31/2025</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10.64%</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22,607,675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Halo Buyer, Inc.</w:t>
            </w:r>
          </w:p>
        </w:tc>
        <w:tc>
          <w:tcPr>
            <w:tcW w:w="980" w:type="dxa"/>
            <w:vAlign w:val="bottom"/>
          </w:tcPr>
          <w:p>
            <w:pPr>
              <w:ind w:left="200"/>
              <w:spacing w:after="0"/>
              <w:rPr>
                <w:sz w:val="20"/>
                <w:szCs w:val="20"/>
                <w:color w:val="auto"/>
              </w:rPr>
            </w:pPr>
            <w:r>
              <w:rPr>
                <w:rFonts w:ascii="Arial" w:cs="Arial" w:eastAsia="Arial" w:hAnsi="Arial"/>
                <w:sz w:val="12"/>
                <w:szCs w:val="12"/>
                <w:color w:val="auto"/>
              </w:rPr>
              <w:t>07/06/2026</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10.49%</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1M L+825</w:t>
            </w:r>
          </w:p>
        </w:tc>
        <w:tc>
          <w:tcPr>
            <w:tcW w:w="660" w:type="dxa"/>
            <w:vAlign w:val="bottom"/>
          </w:tcPr>
          <w:p>
            <w:pPr>
              <w:jc w:val="right"/>
              <w:spacing w:after="0"/>
              <w:rPr>
                <w:sz w:val="20"/>
                <w:szCs w:val="20"/>
                <w:color w:val="auto"/>
              </w:rPr>
            </w:pPr>
            <w:r>
              <w:rPr>
                <w:rFonts w:ascii="Arial" w:cs="Arial" w:eastAsia="Arial" w:hAnsi="Arial"/>
                <w:sz w:val="12"/>
                <w:szCs w:val="12"/>
                <w:color w:val="auto"/>
              </w:rPr>
              <w:t>45,000,000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44,338,109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Infogroup,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04/03/2024</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11.64%</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20,056,087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Integrity Marketing Partners, LLC</w:t>
            </w:r>
          </w:p>
        </w:tc>
        <w:tc>
          <w:tcPr>
            <w:tcW w:w="980" w:type="dxa"/>
            <w:vAlign w:val="bottom"/>
          </w:tcPr>
          <w:p>
            <w:pPr>
              <w:ind w:left="200"/>
              <w:spacing w:after="0"/>
              <w:rPr>
                <w:sz w:val="20"/>
                <w:szCs w:val="20"/>
                <w:color w:val="auto"/>
              </w:rPr>
            </w:pPr>
            <w:r>
              <w:rPr>
                <w:rFonts w:ascii="Arial" w:cs="Arial" w:eastAsia="Arial" w:hAnsi="Arial"/>
                <w:sz w:val="12"/>
                <w:szCs w:val="12"/>
                <w:color w:val="auto"/>
              </w:rPr>
              <w:t>01/02/2023</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11.17%</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6,000,000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5,913,341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Intermediate Transportation 100, LLC </w:t>
            </w:r>
            <w:r>
              <w:rPr>
                <w:rFonts w:ascii="Arial" w:cs="Arial" w:eastAsia="Arial" w:hAnsi="Arial"/>
                <w:sz w:val="17"/>
                <w:szCs w:val="17"/>
                <w:color w:val="auto"/>
                <w:vertAlign w:val="superscript"/>
              </w:rPr>
              <w:t>(5)</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03/01/2019</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Cargo Transport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11.00%</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481,052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447,988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481,052</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2"/>
                <w:szCs w:val="12"/>
                <w:color w:val="auto"/>
              </w:rPr>
              <w:t>(PIK 11.00%)</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10/23/2024</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48,425,000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47,496,549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47,456,500</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MBS Holdings, Inc.</w:t>
            </w:r>
          </w:p>
        </w:tc>
        <w:tc>
          <w:tcPr>
            <w:tcW w:w="980" w:type="dxa"/>
            <w:vAlign w:val="bottom"/>
          </w:tcPr>
          <w:p>
            <w:pPr>
              <w:ind w:left="200"/>
              <w:spacing w:after="0"/>
              <w:rPr>
                <w:sz w:val="20"/>
                <w:szCs w:val="20"/>
                <w:color w:val="auto"/>
              </w:rPr>
            </w:pPr>
            <w:r>
              <w:rPr>
                <w:rFonts w:ascii="Arial" w:cs="Arial" w:eastAsia="Arial" w:hAnsi="Arial"/>
                <w:sz w:val="12"/>
                <w:szCs w:val="12"/>
                <w:color w:val="auto"/>
              </w:rPr>
              <w:t>01/02/2024</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10.60%</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14,710,035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Parq Holdings Limited Partnership </w:t>
            </w:r>
            <w:r>
              <w:rPr>
                <w:rFonts w:ascii="Arial" w:cs="Arial" w:eastAsia="Arial" w:hAnsi="Arial"/>
                <w:sz w:val="17"/>
                <w:szCs w:val="17"/>
                <w:color w:val="auto"/>
                <w:vertAlign w:val="superscript"/>
              </w:rPr>
              <w:t>(8), (11)</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12/17/2021</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Hotels, Motels, Inns and Gaming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14.39%</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L+1,200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76,500,000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80,904,325</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Pathway Partners Vet Management LLC</w:t>
            </w:r>
          </w:p>
        </w:tc>
        <w:tc>
          <w:tcPr>
            <w:tcW w:w="980" w:type="dxa"/>
            <w:vAlign w:val="bottom"/>
          </w:tcPr>
          <w:p>
            <w:pPr>
              <w:ind w:left="200"/>
              <w:spacing w:after="0"/>
              <w:rPr>
                <w:sz w:val="20"/>
                <w:szCs w:val="20"/>
                <w:color w:val="auto"/>
              </w:rPr>
            </w:pPr>
            <w:r>
              <w:rPr>
                <w:rFonts w:ascii="Arial" w:cs="Arial" w:eastAsia="Arial" w:hAnsi="Arial"/>
                <w:sz w:val="12"/>
                <w:szCs w:val="12"/>
                <w:color w:val="auto"/>
              </w:rPr>
              <w:t>10/10/2025</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10.24%</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19,300,700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19,246,644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19,107,693</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Pathway Partners Vet Management LLC </w:t>
            </w:r>
            <w:r>
              <w:rPr>
                <w:rFonts w:ascii="Arial" w:cs="Arial" w:eastAsia="Arial" w:hAnsi="Arial"/>
                <w:sz w:val="17"/>
                <w:szCs w:val="17"/>
                <w:color w:val="auto"/>
                <w:vertAlign w:val="superscript"/>
              </w:rPr>
              <w:t>(7)</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10/10/2025</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4,699,300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(46,993)</w:t>
            </w: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PT Network, LLC</w:t>
            </w:r>
          </w:p>
        </w:tc>
        <w:tc>
          <w:tcPr>
            <w:tcW w:w="980" w:type="dxa"/>
            <w:vAlign w:val="bottom"/>
          </w:tcPr>
          <w:p>
            <w:pPr>
              <w:ind w:left="200"/>
              <w:spacing w:after="0"/>
              <w:rPr>
                <w:sz w:val="20"/>
                <w:szCs w:val="20"/>
                <w:color w:val="auto"/>
              </w:rPr>
            </w:pPr>
            <w:r>
              <w:rPr>
                <w:rFonts w:ascii="Arial" w:cs="Arial" w:eastAsia="Arial" w:hAnsi="Arial"/>
                <w:sz w:val="12"/>
                <w:szCs w:val="12"/>
                <w:color w:val="auto"/>
              </w:rPr>
              <w:t>04/12/2023</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12.34%</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tcPr>
          <w:p>
            <w:pPr>
              <w:jc w:val="right"/>
              <w:spacing w:after="0"/>
              <w:rPr>
                <w:sz w:val="20"/>
                <w:szCs w:val="20"/>
                <w:color w:val="auto"/>
              </w:rPr>
            </w:pPr>
            <w:r>
              <w:rPr>
                <w:rFonts w:ascii="Arial" w:cs="Arial" w:eastAsia="Arial" w:hAnsi="Arial"/>
                <w:sz w:val="12"/>
                <w:szCs w:val="12"/>
                <w:color w:val="auto"/>
              </w:rPr>
              <w:t>41,666,667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40,959,198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41,250,000</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Shift4 Payments, LLC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11/28/2025</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10.84%</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36,835,458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36,768,750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VT Topco, Inc.</w:t>
            </w:r>
          </w:p>
        </w:tc>
        <w:tc>
          <w:tcPr>
            <w:tcW w:w="980" w:type="dxa"/>
            <w:vAlign w:val="bottom"/>
          </w:tcPr>
          <w:p>
            <w:pPr>
              <w:ind w:left="200"/>
              <w:spacing w:after="0"/>
              <w:rPr>
                <w:sz w:val="20"/>
                <w:szCs w:val="20"/>
                <w:color w:val="auto"/>
              </w:rPr>
            </w:pPr>
            <w:r>
              <w:rPr>
                <w:rFonts w:ascii="Arial" w:cs="Arial" w:eastAsia="Arial" w:hAnsi="Arial"/>
                <w:sz w:val="12"/>
                <w:szCs w:val="12"/>
                <w:color w:val="auto"/>
              </w:rPr>
              <w:t>08/24/2026</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9.34%</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12,437,500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Winter Park Intermediate, Inc.</w:t>
            </w:r>
          </w:p>
        </w:tc>
        <w:tc>
          <w:tcPr>
            <w:tcW w:w="980" w:type="dxa"/>
            <w:vAlign w:val="bottom"/>
            <w:shd w:val="clear" w:color="auto" w:fill="CCECFF"/>
          </w:tcPr>
          <w:p>
            <w:pPr>
              <w:ind w:left="200"/>
              <w:spacing w:after="0"/>
              <w:rPr>
                <w:sz w:val="20"/>
                <w:szCs w:val="20"/>
                <w:color w:val="auto"/>
              </w:rPr>
            </w:pPr>
            <w:r>
              <w:rPr>
                <w:rFonts w:ascii="Arial" w:cs="Arial" w:eastAsia="Arial" w:hAnsi="Arial"/>
                <w:sz w:val="12"/>
                <w:szCs w:val="12"/>
                <w:color w:val="auto"/>
              </w:rPr>
              <w:t>04/03/2026</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Auto Sector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10.62%</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32,000,000</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31,380,959</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31,680,000</w:t>
            </w:r>
          </w:p>
        </w:tc>
        <w:tc>
          <w:tcPr>
            <w:tcW w:w="100" w:type="dxa"/>
            <w:vAlign w:val="bottom"/>
            <w:shd w:val="clear" w:color="auto" w:fill="CCECFF"/>
          </w:tcPr>
          <w:p>
            <w:pPr>
              <w:spacing w:after="0"/>
              <w:rPr>
                <w:sz w:val="12"/>
                <w:szCs w:val="12"/>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385,201,277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391,038,029</w:t>
            </w:r>
          </w:p>
        </w:tc>
        <w:tc>
          <w:tcPr>
            <w:tcW w:w="100" w:type="dxa"/>
            <w:vAlign w:val="bottom"/>
          </w:tcPr>
          <w:p>
            <w:pPr>
              <w:spacing w:after="0"/>
              <w:rPr>
                <w:sz w:val="12"/>
                <w:szCs w:val="12"/>
                <w:color w:val="auto"/>
              </w:rPr>
            </w:pPr>
          </w:p>
        </w:tc>
      </w:tr>
      <w:tr>
        <w:trPr>
          <w:trHeight w:val="142"/>
        </w:trPr>
        <w:tc>
          <w:tcPr>
            <w:tcW w:w="28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Notes—7.7%</w:t>
            </w:r>
          </w:p>
        </w:tc>
        <w:tc>
          <w:tcPr>
            <w:tcW w:w="980" w:type="dxa"/>
            <w:vAlign w:val="bottom"/>
            <w:tcBorders>
              <w:top w:val="single" w:sz="8" w:color="CCECFF"/>
            </w:tcBorders>
            <w:shd w:val="clear" w:color="auto" w:fill="CCECFF"/>
          </w:tcPr>
          <w:p>
            <w:pPr>
              <w:spacing w:after="0"/>
              <w:rPr>
                <w:sz w:val="12"/>
                <w:szCs w:val="12"/>
                <w:color w:val="auto"/>
              </w:rPr>
            </w:pPr>
          </w:p>
        </w:tc>
        <w:tc>
          <w:tcPr>
            <w:tcW w:w="25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Blackhawk Industrial Distribution, Inc.</w:t>
            </w:r>
          </w:p>
        </w:tc>
        <w:tc>
          <w:tcPr>
            <w:tcW w:w="980" w:type="dxa"/>
            <w:vAlign w:val="bottom"/>
          </w:tcPr>
          <w:p>
            <w:pPr>
              <w:ind w:left="200"/>
              <w:spacing w:after="0"/>
              <w:rPr>
                <w:sz w:val="20"/>
                <w:szCs w:val="20"/>
                <w:color w:val="auto"/>
              </w:rPr>
            </w:pPr>
            <w:r>
              <w:rPr>
                <w:rFonts w:ascii="Arial" w:cs="Arial" w:eastAsia="Arial" w:hAnsi="Arial"/>
                <w:sz w:val="12"/>
                <w:szCs w:val="12"/>
                <w:color w:val="auto"/>
              </w:rPr>
              <w:t>03/17/2025</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13,230,411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13,230,000</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2.00%)</w:t>
            </w:r>
          </w:p>
        </w:tc>
        <w:tc>
          <w:tcPr>
            <w:tcW w:w="8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Cascade Environmental LLC</w:t>
            </w:r>
          </w:p>
        </w:tc>
        <w:tc>
          <w:tcPr>
            <w:tcW w:w="980" w:type="dxa"/>
            <w:vAlign w:val="bottom"/>
            <w:tcBorders>
              <w:bottom w:val="single" w:sz="8" w:color="CCECFF"/>
            </w:tcBorders>
          </w:tcPr>
          <w:p>
            <w:pPr>
              <w:ind w:left="200"/>
              <w:spacing w:after="0"/>
              <w:rPr>
                <w:sz w:val="20"/>
                <w:szCs w:val="20"/>
                <w:color w:val="auto"/>
              </w:rPr>
            </w:pPr>
            <w:r>
              <w:rPr>
                <w:rFonts w:ascii="Arial" w:cs="Arial" w:eastAsia="Arial" w:hAnsi="Arial"/>
                <w:sz w:val="12"/>
                <w:szCs w:val="12"/>
                <w:color w:val="auto"/>
              </w:rPr>
              <w:t>08/20/2021</w:t>
            </w:r>
          </w:p>
        </w:tc>
        <w:tc>
          <w:tcPr>
            <w:tcW w:w="26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15.00%</w:t>
            </w:r>
          </w:p>
        </w:tc>
        <w:tc>
          <w:tcPr>
            <w:tcW w:w="11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35,792,396</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35,386,702</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34,897,586</w:t>
            </w:r>
          </w:p>
        </w:tc>
        <w:tc>
          <w:tcPr>
            <w:tcW w:w="100" w:type="dxa"/>
            <w:vAlign w:val="bottom"/>
            <w:tcBorders>
              <w:bottom w:val="single" w:sz="8" w:color="CCECFF"/>
            </w:tcBorders>
          </w:tcPr>
          <w:p>
            <w:pPr>
              <w:spacing w:after="0"/>
              <w:rPr>
                <w:sz w:val="12"/>
                <w:szCs w:val="12"/>
                <w:color w:val="auto"/>
              </w:rPr>
            </w:pPr>
          </w:p>
        </w:tc>
      </w:tr>
      <w:tr>
        <w:trPr>
          <w:trHeight w:val="142"/>
        </w:trPr>
        <w:tc>
          <w:tcPr>
            <w:tcW w:w="28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13.00%)</w:t>
            </w:r>
          </w:p>
        </w:tc>
        <w:tc>
          <w:tcPr>
            <w:tcW w:w="8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48,617,113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48,127,586</w:t>
            </w:r>
          </w:p>
        </w:tc>
        <w:tc>
          <w:tcPr>
            <w:tcW w:w="100" w:type="dxa"/>
            <w:vAlign w:val="bottom"/>
            <w:shd w:val="clear" w:color="auto" w:fill="CCECFF"/>
          </w:tcPr>
          <w:p>
            <w:pPr>
              <w:spacing w:after="0"/>
              <w:rPr>
                <w:sz w:val="12"/>
                <w:szCs w:val="12"/>
                <w:color w:val="auto"/>
              </w:rPr>
            </w:pPr>
          </w:p>
        </w:tc>
      </w:tr>
      <w:tr>
        <w:trPr>
          <w:trHeight w:val="142"/>
        </w:trPr>
        <w:tc>
          <w:tcPr>
            <w:tcW w:w="2860" w:type="dxa"/>
            <w:vAlign w:val="bottom"/>
          </w:tcPr>
          <w:p>
            <w:pPr>
              <w:spacing w:after="0" w:line="142" w:lineRule="exact"/>
              <w:rPr>
                <w:sz w:val="20"/>
                <w:szCs w:val="20"/>
                <w:color w:val="auto"/>
              </w:rPr>
            </w:pPr>
            <w:r>
              <w:rPr>
                <w:rFonts w:ascii="Arial" w:cs="Arial" w:eastAsia="Arial" w:hAnsi="Arial"/>
                <w:sz w:val="10"/>
                <w:szCs w:val="10"/>
                <w:b w:val="1"/>
                <w:bCs w:val="1"/>
                <w:color w:val="auto"/>
              </w:rPr>
              <w:t xml:space="preserve">Preferred Equity/Partnership Interests—0.2% </w:t>
            </w:r>
            <w:r>
              <w:rPr>
                <w:rFonts w:ascii="Arial" w:cs="Arial" w:eastAsia="Arial" w:hAnsi="Arial"/>
                <w:sz w:val="16"/>
                <w:szCs w:val="16"/>
                <w:b w:val="1"/>
                <w:bCs w:val="1"/>
                <w:color w:val="auto"/>
                <w:vertAlign w:val="superscript"/>
              </w:rPr>
              <w:t>(6)</w:t>
            </w: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AH Holdings, Inc.</w:t>
            </w:r>
          </w:p>
        </w:tc>
        <w:tc>
          <w:tcPr>
            <w:tcW w:w="980" w:type="dxa"/>
            <w:vAlign w:val="bottom"/>
            <w:shd w:val="clear" w:color="auto" w:fill="CCECFF"/>
          </w:tcPr>
          <w:p>
            <w:pPr>
              <w:ind w:left="4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396,898</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980" w:type="dxa"/>
            <w:vAlign w:val="bottom"/>
          </w:tcPr>
          <w:p>
            <w:pPr>
              <w:ind w:left="4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36,450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546,750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565,339</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7"/>
                <w:szCs w:val="17"/>
                <w:color w:val="auto"/>
                <w:vertAlign w:val="superscript"/>
              </w:rPr>
              <w:t>(9)</w:t>
            </w:r>
          </w:p>
        </w:tc>
        <w:tc>
          <w:tcPr>
            <w:tcW w:w="98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17"/>
                <w:szCs w:val="17"/>
                <w:color w:val="auto"/>
                <w:vertAlign w:val="superscript"/>
              </w:rPr>
              <w:t>(8), (11)</w:t>
            </w:r>
          </w:p>
        </w:tc>
        <w:tc>
          <w:tcPr>
            <w:tcW w:w="980" w:type="dxa"/>
            <w:vAlign w:val="bottom"/>
          </w:tcPr>
          <w:p>
            <w:pPr>
              <w:ind w:left="4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64,277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64,277</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17"/>
                <w:szCs w:val="17"/>
                <w:color w:val="auto"/>
                <w:vertAlign w:val="superscript"/>
              </w:rPr>
              <w:t>(8), (11)</w:t>
            </w:r>
          </w:p>
        </w:tc>
        <w:tc>
          <w:tcPr>
            <w:tcW w:w="980" w:type="dxa"/>
            <w:vAlign w:val="bottom"/>
            <w:shd w:val="clear" w:color="auto" w:fill="CCECFF"/>
          </w:tcPr>
          <w:p>
            <w:pPr>
              <w:ind w:left="4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HW Holdco, LLC</w:t>
            </w:r>
          </w:p>
        </w:tc>
        <w:tc>
          <w:tcPr>
            <w:tcW w:w="980" w:type="dxa"/>
            <w:vAlign w:val="bottom"/>
            <w:tcBorders>
              <w:bottom w:val="single" w:sz="8" w:color="CCECFF"/>
            </w:tcBorders>
          </w:tcPr>
          <w:p>
            <w:pPr>
              <w:ind w:left="460"/>
              <w:spacing w:after="0"/>
              <w:rPr>
                <w:sz w:val="20"/>
                <w:szCs w:val="20"/>
                <w:color w:val="auto"/>
              </w:rPr>
            </w:pPr>
            <w:r>
              <w:rPr>
                <w:rFonts w:ascii="Arial" w:cs="Arial" w:eastAsia="Arial" w:hAnsi="Arial"/>
                <w:sz w:val="12"/>
                <w:szCs w:val="12"/>
                <w:color w:val="auto"/>
              </w:rPr>
              <w:t>—</w:t>
            </w:r>
          </w:p>
        </w:tc>
        <w:tc>
          <w:tcPr>
            <w:tcW w:w="26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7"/>
              </w:rPr>
              <w:t>Other Media</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8.00%</w:t>
            </w:r>
          </w:p>
        </w:tc>
        <w:tc>
          <w:tcPr>
            <w:tcW w:w="11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3,591</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25,771</w:t>
            </w:r>
          </w:p>
        </w:tc>
        <w:tc>
          <w:tcPr>
            <w:tcW w:w="100" w:type="dxa"/>
            <w:vAlign w:val="bottom"/>
            <w:tcBorders>
              <w:bottom w:val="single" w:sz="8" w:color="CCECFF"/>
            </w:tcBorders>
          </w:tcPr>
          <w:p>
            <w:pPr>
              <w:spacing w:after="0"/>
              <w:rPr>
                <w:sz w:val="12"/>
                <w:szCs w:val="12"/>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8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1,602,750</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1,544,008</w:t>
            </w:r>
          </w:p>
        </w:tc>
        <w:tc>
          <w:tcPr>
            <w:tcW w:w="100" w:type="dxa"/>
            <w:vAlign w:val="bottom"/>
            <w:shd w:val="clear" w:color="auto" w:fill="CCECFF"/>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55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660" w:type="dxa"/>
            <w:vAlign w:val="bottom"/>
          </w:tcPr>
          <w:p>
            <w:pPr>
              <w:spacing w:after="0"/>
              <w:rPr>
                <w:sz w:val="14"/>
                <w:szCs w:val="14"/>
                <w:color w:val="auto"/>
              </w:rPr>
            </w:pPr>
          </w:p>
        </w:tc>
      </w:tr>
      <w:tr>
        <w:trPr>
          <w:trHeight w:val="148"/>
        </w:trPr>
        <w:tc>
          <w:tcPr>
            <w:tcW w:w="3000" w:type="dxa"/>
            <w:vAlign w:val="bottom"/>
          </w:tcPr>
          <w:p>
            <w:pPr>
              <w:spacing w:after="0"/>
              <w:rPr>
                <w:sz w:val="12"/>
                <w:szCs w:val="12"/>
                <w:color w:val="auto"/>
              </w:rPr>
            </w:pPr>
          </w:p>
        </w:tc>
        <w:tc>
          <w:tcPr>
            <w:tcW w:w="552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rPr>
              <w:t>CONSOLIDATED SCHEDULE OF INVESTMENTS—(Continued)</w:t>
            </w:r>
          </w:p>
        </w:tc>
        <w:tc>
          <w:tcPr>
            <w:tcW w:w="660" w:type="dxa"/>
            <w:vAlign w:val="bottom"/>
          </w:tcPr>
          <w:p>
            <w:pPr>
              <w:spacing w:after="0"/>
              <w:rPr>
                <w:sz w:val="12"/>
                <w:szCs w:val="12"/>
                <w:color w:val="auto"/>
              </w:rPr>
            </w:pPr>
          </w:p>
        </w:tc>
      </w:tr>
      <w:tr>
        <w:trPr>
          <w:trHeight w:val="186"/>
        </w:trPr>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00" w:type="dxa"/>
            <w:vAlign w:val="bottom"/>
            <w:gridSpan w:val="2"/>
          </w:tcPr>
          <w:p>
            <w:pPr>
              <w:jc w:val="center"/>
              <w:ind w:left="761"/>
              <w:spacing w:after="0"/>
              <w:rPr>
                <w:sz w:val="20"/>
                <w:szCs w:val="20"/>
                <w:color w:val="auto"/>
              </w:rPr>
            </w:pPr>
            <w:r>
              <w:rPr>
                <w:rFonts w:ascii="Arial" w:cs="Arial" w:eastAsia="Arial" w:hAnsi="Arial"/>
                <w:sz w:val="14"/>
                <w:szCs w:val="14"/>
                <w:b w:val="1"/>
                <w:bCs w:val="1"/>
                <w:color w:val="auto"/>
              </w:rPr>
              <w:t>SEPTEMBER 30, 2018</w:t>
            </w: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74"/>
        </w:trPr>
        <w:tc>
          <w:tcPr>
            <w:tcW w:w="30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23"/>
                <w:szCs w:val="23"/>
                <w:color w:val="auto"/>
              </w:rPr>
            </w:pPr>
          </w:p>
        </w:tc>
      </w:tr>
      <w:tr>
        <w:trPr>
          <w:trHeight w:val="135"/>
        </w:trPr>
        <w:tc>
          <w:tcPr>
            <w:tcW w:w="3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r>
      <w:tr>
        <w:trPr>
          <w:trHeight w:val="126"/>
        </w:trPr>
        <w:tc>
          <w:tcPr>
            <w:tcW w:w="3000" w:type="dxa"/>
            <w:vAlign w:val="bottom"/>
          </w:tcPr>
          <w:p>
            <w:pPr>
              <w:spacing w:after="0"/>
              <w:rPr>
                <w:sz w:val="10"/>
                <w:szCs w:val="10"/>
                <w:color w:val="auto"/>
              </w:rPr>
            </w:pPr>
          </w:p>
        </w:tc>
        <w:tc>
          <w:tcPr>
            <w:tcW w:w="96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Maturity /</w:t>
            </w: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ind w:left="120"/>
              <w:spacing w:after="0" w:line="126" w:lineRule="exact"/>
              <w:rPr>
                <w:sz w:val="20"/>
                <w:szCs w:val="20"/>
                <w:color w:val="auto"/>
              </w:rPr>
            </w:pPr>
            <w:r>
              <w:rPr>
                <w:rFonts w:ascii="Arial" w:cs="Arial" w:eastAsia="Arial" w:hAnsi="Arial"/>
                <w:sz w:val="12"/>
                <w:szCs w:val="12"/>
                <w:b w:val="1"/>
                <w:bCs w:val="1"/>
                <w:color w:val="auto"/>
              </w:rPr>
              <w:t>Current</w:t>
            </w:r>
          </w:p>
        </w:tc>
        <w:tc>
          <w:tcPr>
            <w:tcW w:w="1120" w:type="dxa"/>
            <w:vAlign w:val="bottom"/>
            <w:gridSpan w:val="2"/>
          </w:tcPr>
          <w:p>
            <w:pPr>
              <w:jc w:val="center"/>
              <w:ind w:right="240"/>
              <w:spacing w:after="0" w:line="126"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26" w:lineRule="exact"/>
              <w:rPr>
                <w:sz w:val="20"/>
                <w:szCs w:val="20"/>
                <w:color w:val="auto"/>
              </w:rPr>
            </w:pPr>
            <w:r>
              <w:rPr>
                <w:rFonts w:ascii="Arial" w:cs="Arial" w:eastAsia="Arial" w:hAnsi="Arial"/>
                <w:sz w:val="12"/>
                <w:szCs w:val="12"/>
                <w:b w:val="1"/>
                <w:bCs w:val="1"/>
                <w:color w:val="auto"/>
              </w:rPr>
              <w:t>Par /</w:t>
            </w:r>
          </w:p>
        </w:tc>
      </w:tr>
      <w:tr>
        <w:trPr>
          <w:trHeight w:val="15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Expiration</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Coupon</w:t>
            </w: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1"/>
                <w:szCs w:val="11"/>
                <w:b w:val="1"/>
                <w:bCs w:val="1"/>
                <w:color w:val="auto"/>
                <w:w w:val="96"/>
              </w:rPr>
              <w:t xml:space="preserve">Index </w:t>
            </w:r>
            <w:r>
              <w:rPr>
                <w:rFonts w:ascii="Arial" w:cs="Arial" w:eastAsia="Arial" w:hAnsi="Arial"/>
                <w:sz w:val="17"/>
                <w:szCs w:val="17"/>
                <w:b w:val="1"/>
                <w:bCs w:val="1"/>
                <w:color w:val="auto"/>
                <w:w w:val="96"/>
                <w:vertAlign w:val="superscript"/>
              </w:rPr>
              <w:t>(4)</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r>
      <w:tr>
        <w:trPr>
          <w:trHeight w:val="149"/>
        </w:trPr>
        <w:tc>
          <w:tcPr>
            <w:tcW w:w="3000" w:type="dxa"/>
            <w:vAlign w:val="bottom"/>
            <w:tcBorders>
              <w:top w:val="single" w:sz="8" w:color="auto"/>
            </w:tcBorders>
          </w:tcPr>
          <w:p>
            <w:pPr>
              <w:spacing w:after="0" w:line="150" w:lineRule="exact"/>
              <w:rPr>
                <w:sz w:val="20"/>
                <w:szCs w:val="20"/>
                <w:color w:val="auto"/>
              </w:rPr>
            </w:pPr>
            <w:r>
              <w:rPr>
                <w:rFonts w:ascii="Arial" w:cs="Arial" w:eastAsia="Arial" w:hAnsi="Arial"/>
                <w:sz w:val="11"/>
                <w:szCs w:val="11"/>
                <w:b w:val="1"/>
                <w:bCs w:val="1"/>
                <w:color w:val="auto"/>
                <w:w w:val="98"/>
              </w:rPr>
              <w:t xml:space="preserve">Common Equity/Partnership Interests/Warrants—7.0% </w:t>
            </w:r>
            <w:r>
              <w:rPr>
                <w:rFonts w:ascii="Arial" w:cs="Arial" w:eastAsia="Arial" w:hAnsi="Arial"/>
                <w:sz w:val="17"/>
                <w:szCs w:val="17"/>
                <w:b w:val="1"/>
                <w:bCs w:val="1"/>
                <w:color w:val="auto"/>
                <w:w w:val="98"/>
                <w:vertAlign w:val="superscript"/>
              </w:rPr>
              <w:t>(6)</w:t>
            </w:r>
          </w:p>
        </w:tc>
        <w:tc>
          <w:tcPr>
            <w:tcW w:w="96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60" w:type="dxa"/>
            <w:vAlign w:val="bottom"/>
          </w:tcPr>
          <w:p>
            <w:pPr>
              <w:ind w:left="20"/>
              <w:spacing w:after="0"/>
              <w:rPr>
                <w:sz w:val="20"/>
                <w:szCs w:val="20"/>
                <w:color w:val="auto"/>
              </w:rPr>
            </w:pPr>
            <w:r>
              <w:rPr>
                <w:rFonts w:ascii="Arial" w:cs="Arial" w:eastAsia="Arial" w:hAnsi="Arial"/>
                <w:sz w:val="12"/>
                <w:szCs w:val="12"/>
                <w:color w:val="auto"/>
              </w:rPr>
              <w:t>03/23/2021</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753</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960" w:type="dxa"/>
            <w:vAlign w:val="bottom"/>
          </w:tcPr>
          <w:p>
            <w:pPr>
              <w:ind w:left="20"/>
              <w:spacing w:after="0"/>
              <w:rPr>
                <w:sz w:val="20"/>
                <w:szCs w:val="20"/>
                <w:color w:val="auto"/>
              </w:rPr>
            </w:pPr>
            <w:r>
              <w:rPr>
                <w:rFonts w:ascii="Arial" w:cs="Arial" w:eastAsia="Arial" w:hAnsi="Arial"/>
                <w:sz w:val="12"/>
                <w:szCs w:val="12"/>
                <w:color w:val="auto"/>
              </w:rPr>
              <w:t>05/05/2026</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Education</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933</w:t>
            </w: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Autumn Games,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Broadcasting and Entertainment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1,333,330</w:t>
            </w:r>
          </w:p>
        </w:tc>
      </w:tr>
      <w:tr>
        <w:trPr>
          <w:trHeight w:val="139"/>
        </w:trPr>
        <w:tc>
          <w:tcPr>
            <w:tcW w:w="3000" w:type="dxa"/>
            <w:vAlign w:val="bottom"/>
          </w:tcPr>
          <w:p>
            <w:pPr>
              <w:spacing w:after="0"/>
              <w:rPr>
                <w:sz w:val="20"/>
                <w:szCs w:val="20"/>
                <w:color w:val="auto"/>
              </w:rPr>
            </w:pPr>
            <w:r>
              <w:rPr>
                <w:rFonts w:ascii="Arial" w:cs="Arial" w:eastAsia="Arial" w:hAnsi="Arial"/>
                <w:sz w:val="12"/>
                <w:szCs w:val="12"/>
                <w:color w:val="auto"/>
              </w:rPr>
              <w:t>Cardinal Logistics Holdings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ind w:left="140"/>
              <w:spacing w:after="0" w:line="149" w:lineRule="exact"/>
              <w:rPr>
                <w:sz w:val="20"/>
                <w:szCs w:val="20"/>
                <w:color w:val="auto"/>
              </w:rPr>
            </w:pPr>
            <w:r>
              <w:rPr>
                <w:rFonts w:ascii="Arial" w:cs="Arial" w:eastAsia="Arial" w:hAnsi="Arial"/>
                <w:sz w:val="11"/>
                <w:szCs w:val="11"/>
                <w:color w:val="auto"/>
              </w:rPr>
              <w:t xml:space="preserve">(Intermediate Transportation 100, LLC) </w:t>
            </w:r>
            <w:r>
              <w:rPr>
                <w:rFonts w:ascii="Arial" w:cs="Arial" w:eastAsia="Arial" w:hAnsi="Arial"/>
                <w:sz w:val="17"/>
                <w:szCs w:val="17"/>
                <w:color w:val="auto"/>
                <w:vertAlign w:val="superscript"/>
              </w:rPr>
              <w:t>(9)</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58"/>
        </w:trPr>
        <w:tc>
          <w:tcPr>
            <w:tcW w:w="3000" w:type="dxa"/>
            <w:vAlign w:val="bottom"/>
          </w:tcPr>
          <w:p>
            <w:pPr>
              <w:spacing w:after="0" w:line="158" w:lineRule="exact"/>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18"/>
                <w:szCs w:val="18"/>
                <w:color w:val="auto"/>
                <w:vertAlign w:val="superscript"/>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33,901</w:t>
            </w:r>
          </w:p>
        </w:tc>
      </w:tr>
      <w:tr>
        <w:trPr>
          <w:trHeight w:val="139"/>
        </w:trPr>
        <w:tc>
          <w:tcPr>
            <w:tcW w:w="3000" w:type="dxa"/>
            <w:vAlign w:val="bottom"/>
          </w:tcPr>
          <w:p>
            <w:pPr>
              <w:spacing w:after="0"/>
              <w:rPr>
                <w:sz w:val="20"/>
                <w:szCs w:val="20"/>
                <w:color w:val="auto"/>
              </w:rPr>
            </w:pPr>
            <w:r>
              <w:rPr>
                <w:rFonts w:ascii="Arial" w:cs="Arial" w:eastAsia="Arial" w:hAnsi="Arial"/>
                <w:sz w:val="12"/>
                <w:szCs w:val="12"/>
                <w:color w:val="auto"/>
              </w:rPr>
              <w:t>CI (Allied) Investment Holdings,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84,000</w:t>
            </w:r>
          </w:p>
        </w:tc>
      </w:tr>
      <w:tr>
        <w:trPr>
          <w:trHeight w:val="158"/>
        </w:trPr>
        <w:tc>
          <w:tcPr>
            <w:tcW w:w="3000" w:type="dxa"/>
            <w:vAlign w:val="bottom"/>
          </w:tcPr>
          <w:p>
            <w:pPr>
              <w:ind w:left="140"/>
              <w:spacing w:after="0" w:line="158" w:lineRule="exact"/>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18"/>
                <w:szCs w:val="18"/>
                <w:color w:val="auto"/>
                <w:vertAlign w:val="superscript"/>
              </w:rPr>
              <w:t>(9)</w:t>
            </w:r>
          </w:p>
        </w:tc>
        <w:tc>
          <w:tcPr>
            <w:tcW w:w="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333,333</w:t>
            </w:r>
          </w:p>
        </w:tc>
      </w:tr>
      <w:tr>
        <w:trPr>
          <w:trHeight w:val="158"/>
        </w:trPr>
        <w:tc>
          <w:tcPr>
            <w:tcW w:w="3000" w:type="dxa"/>
            <w:vAlign w:val="bottom"/>
          </w:tcPr>
          <w:p>
            <w:pPr>
              <w:ind w:left="140"/>
              <w:spacing w:after="0" w:line="158"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8"/>
                <w:szCs w:val="18"/>
                <w:color w:val="auto"/>
                <w:vertAlign w:val="superscript"/>
              </w:rPr>
              <w:t>(9)</w:t>
            </w:r>
          </w:p>
        </w:tc>
        <w:tc>
          <w:tcPr>
            <w:tcW w:w="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CI (Summit) Investment Holdings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100,000</w:t>
            </w:r>
          </w:p>
        </w:tc>
      </w:tr>
      <w:tr>
        <w:trPr>
          <w:trHeight w:val="148"/>
        </w:trPr>
        <w:tc>
          <w:tcPr>
            <w:tcW w:w="3000" w:type="dxa"/>
            <w:vAlign w:val="bottom"/>
          </w:tcPr>
          <w:p>
            <w:pPr>
              <w:ind w:left="140"/>
              <w:spacing w:after="0"/>
              <w:rPr>
                <w:sz w:val="20"/>
                <w:szCs w:val="20"/>
                <w:color w:val="auto"/>
              </w:rPr>
            </w:pPr>
            <w:r>
              <w:rPr>
                <w:rFonts w:ascii="Arial" w:cs="Arial" w:eastAsia="Arial" w:hAnsi="Arial"/>
                <w:sz w:val="12"/>
                <w:szCs w:val="12"/>
                <w:color w:val="auto"/>
              </w:rPr>
              <w:t>(SFP Holdings, Inc.)</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Cowboy Parent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w:t>
            </w:r>
          </w:p>
        </w:tc>
      </w:tr>
      <w:tr>
        <w:trPr>
          <w:trHeight w:val="149"/>
        </w:trPr>
        <w:tc>
          <w:tcPr>
            <w:tcW w:w="3000" w:type="dxa"/>
            <w:vAlign w:val="bottom"/>
          </w:tcPr>
          <w:p>
            <w:pPr>
              <w:ind w:left="140"/>
              <w:spacing w:after="0"/>
              <w:rPr>
                <w:sz w:val="20"/>
                <w:szCs w:val="20"/>
                <w:color w:val="auto"/>
              </w:rPr>
            </w:pPr>
            <w:r>
              <w:rPr>
                <w:rFonts w:ascii="Arial" w:cs="Arial" w:eastAsia="Arial" w:hAnsi="Arial"/>
                <w:sz w:val="12"/>
                <w:szCs w:val="12"/>
                <w:color w:val="auto"/>
              </w:rPr>
              <w:t>(Blackhawk Industrial Distribution, Inc.)</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2"/>
                <w:szCs w:val="12"/>
                <w:color w:val="auto"/>
              </w:rPr>
              <w:t>DecoPac Holdings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3,449</w:t>
            </w:r>
          </w:p>
        </w:tc>
      </w:tr>
      <w:tr>
        <w:trPr>
          <w:trHeight w:val="158"/>
        </w:trPr>
        <w:tc>
          <w:tcPr>
            <w:tcW w:w="3000" w:type="dxa"/>
            <w:vAlign w:val="bottom"/>
          </w:tcPr>
          <w:p>
            <w:pPr>
              <w:spacing w:after="0" w:line="158"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8"/>
                <w:szCs w:val="18"/>
                <w:color w:val="auto"/>
                <w:vertAlign w:val="superscript"/>
              </w:rPr>
              <w:t>(11)</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Faraday Holdings,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4,277</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Green Veracity Holdings, LP - Class A (VT Topco,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15,000</w:t>
            </w: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HW Holdco,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388,378</w:t>
            </w:r>
          </w:p>
        </w:tc>
      </w:tr>
      <w:tr>
        <w:trPr>
          <w:trHeight w:val="139"/>
        </w:trPr>
        <w:tc>
          <w:tcPr>
            <w:tcW w:w="3000" w:type="dxa"/>
            <w:vAlign w:val="bottom"/>
          </w:tcPr>
          <w:p>
            <w:pPr>
              <w:spacing w:after="0"/>
              <w:rPr>
                <w:sz w:val="20"/>
                <w:szCs w:val="20"/>
                <w:color w:val="auto"/>
              </w:rPr>
            </w:pPr>
            <w:r>
              <w:rPr>
                <w:rFonts w:ascii="Arial" w:cs="Arial" w:eastAsia="Arial" w:hAnsi="Arial"/>
                <w:sz w:val="12"/>
                <w:szCs w:val="12"/>
                <w:color w:val="auto"/>
              </w:rPr>
              <w:t>Infogroup Parent Holdings,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181,495</w:t>
            </w:r>
          </w:p>
        </w:tc>
      </w:tr>
      <w:tr>
        <w:trPr>
          <w:trHeight w:val="158"/>
        </w:trPr>
        <w:tc>
          <w:tcPr>
            <w:tcW w:w="3000" w:type="dxa"/>
            <w:vAlign w:val="bottom"/>
          </w:tcPr>
          <w:p>
            <w:pPr>
              <w:spacing w:after="0" w:line="158"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8"/>
                <w:szCs w:val="18"/>
                <w:color w:val="auto"/>
                <w:vertAlign w:val="superscript"/>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204,985</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JWC-WE Holdings, L.P.</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Home and Office Furnishings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1,906,433</w:t>
            </w:r>
          </w:p>
        </w:tc>
      </w:tr>
      <w:tr>
        <w:trPr>
          <w:trHeight w:val="139"/>
        </w:trPr>
        <w:tc>
          <w:tcPr>
            <w:tcW w:w="3000" w:type="dxa"/>
            <w:vAlign w:val="bottom"/>
          </w:tcPr>
          <w:p>
            <w:pPr>
              <w:ind w:left="140"/>
              <w:spacing w:after="0"/>
              <w:rPr>
                <w:sz w:val="20"/>
                <w:szCs w:val="20"/>
                <w:color w:val="auto"/>
              </w:rPr>
            </w:pPr>
            <w:r>
              <w:rPr>
                <w:rFonts w:ascii="Arial" w:cs="Arial" w:eastAsia="Arial" w:hAnsi="Arial"/>
                <w:sz w:val="12"/>
                <w:szCs w:val="12"/>
                <w:color w:val="auto"/>
              </w:rPr>
              <w:t>(Walker Edison Furniture Company LLC)</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17"/>
                <w:szCs w:val="17"/>
                <w:color w:val="auto"/>
                <w:vertAlign w:val="superscript"/>
              </w:rPr>
              <w:t>(12)</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252,014</w:t>
            </w: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LaMi Acquisition, LLC </w:t>
            </w:r>
            <w:r>
              <w:rPr>
                <w:rFonts w:ascii="Arial" w:cs="Arial" w:eastAsia="Arial" w:hAnsi="Arial"/>
                <w:sz w:val="17"/>
                <w:szCs w:val="17"/>
                <w:color w:val="auto"/>
                <w:vertAlign w:val="superscript"/>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58"/>
        </w:trPr>
        <w:tc>
          <w:tcPr>
            <w:tcW w:w="3000" w:type="dxa"/>
            <w:vAlign w:val="bottom"/>
          </w:tcPr>
          <w:p>
            <w:pPr>
              <w:spacing w:after="0" w:line="158" w:lineRule="exact"/>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18"/>
                <w:szCs w:val="18"/>
                <w:color w:val="auto"/>
                <w:vertAlign w:val="superscript"/>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1,148,703</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w:t>
            </w:r>
          </w:p>
        </w:tc>
      </w:tr>
      <w:tr>
        <w:trPr>
          <w:trHeight w:val="148"/>
        </w:trPr>
        <w:tc>
          <w:tcPr>
            <w:tcW w:w="3000" w:type="dxa"/>
            <w:vAlign w:val="bottom"/>
          </w:tcPr>
          <w:p>
            <w:pPr>
              <w:ind w:left="140"/>
              <w:spacing w:after="0"/>
              <w:rPr>
                <w:sz w:val="20"/>
                <w:szCs w:val="20"/>
                <w:color w:val="auto"/>
              </w:rPr>
            </w:pPr>
            <w:r>
              <w:rPr>
                <w:rFonts w:ascii="Arial" w:cs="Arial" w:eastAsia="Arial" w:hAnsi="Arial"/>
                <w:sz w:val="12"/>
                <w:szCs w:val="12"/>
                <w:color w:val="auto"/>
              </w:rPr>
              <w:t>Class A (US Dominion, Inc.)</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w:t>
            </w:r>
          </w:p>
        </w:tc>
      </w:tr>
      <w:tr>
        <w:trPr>
          <w:trHeight w:val="149"/>
        </w:trPr>
        <w:tc>
          <w:tcPr>
            <w:tcW w:w="3000" w:type="dxa"/>
            <w:vAlign w:val="bottom"/>
          </w:tcPr>
          <w:p>
            <w:pPr>
              <w:ind w:left="140"/>
              <w:spacing w:after="0"/>
              <w:rPr>
                <w:sz w:val="20"/>
                <w:szCs w:val="20"/>
                <w:color w:val="auto"/>
              </w:rPr>
            </w:pPr>
            <w:r>
              <w:rPr>
                <w:rFonts w:ascii="Arial" w:cs="Arial" w:eastAsia="Arial" w:hAnsi="Arial"/>
                <w:sz w:val="12"/>
                <w:szCs w:val="12"/>
                <w:color w:val="auto"/>
              </w:rPr>
              <w:t>Class B (US Dominion, Inc.)</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2"/>
                <w:szCs w:val="12"/>
                <w:color w:val="auto"/>
              </w:rPr>
              <w:t>WBB Equity, LLC</w:t>
            </w:r>
          </w:p>
        </w:tc>
        <w:tc>
          <w:tcPr>
            <w:tcW w:w="960" w:type="dxa"/>
            <w:vAlign w:val="bottom"/>
          </w:tcPr>
          <w:p>
            <w:pPr>
              <w:spacing w:after="0"/>
              <w:rPr>
                <w:sz w:val="12"/>
                <w:szCs w:val="12"/>
                <w:color w:val="auto"/>
              </w:rPr>
            </w:pPr>
          </w:p>
        </w:tc>
        <w:tc>
          <w:tcPr>
            <w:tcW w:w="2500" w:type="dxa"/>
            <w:vAlign w:val="bottom"/>
            <w:gridSpan w:val="2"/>
          </w:tcPr>
          <w:p>
            <w:pPr>
              <w:jc w:val="center"/>
              <w:ind w:right="32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628,571</w:t>
            </w:r>
          </w:p>
        </w:tc>
      </w:tr>
      <w:tr>
        <w:trPr>
          <w:trHeight w:val="158"/>
        </w:trPr>
        <w:tc>
          <w:tcPr>
            <w:tcW w:w="3000" w:type="dxa"/>
            <w:vAlign w:val="bottom"/>
          </w:tcPr>
          <w:p>
            <w:pPr>
              <w:ind w:left="140"/>
              <w:spacing w:after="0" w:line="158" w:lineRule="exact"/>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18"/>
                <w:szCs w:val="18"/>
                <w:color w:val="auto"/>
                <w:vertAlign w:val="superscript"/>
              </w:rPr>
              <w:t>(9)</w:t>
            </w:r>
          </w:p>
        </w:tc>
        <w:tc>
          <w:tcPr>
            <w:tcW w:w="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Wheel Pros Holdings, L.P.</w:t>
            </w:r>
          </w:p>
        </w:tc>
        <w:tc>
          <w:tcPr>
            <w:tcW w:w="960" w:type="dxa"/>
            <w:vAlign w:val="bottom"/>
          </w:tcPr>
          <w:p>
            <w:pPr>
              <w:spacing w:after="0"/>
              <w:rPr>
                <w:sz w:val="12"/>
                <w:szCs w:val="12"/>
                <w:color w:val="auto"/>
              </w:rPr>
            </w:pP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Auto Sector</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3,200,000</w:t>
            </w:r>
          </w:p>
        </w:tc>
      </w:tr>
      <w:tr>
        <w:trPr>
          <w:trHeight w:val="149"/>
        </w:trPr>
        <w:tc>
          <w:tcPr>
            <w:tcW w:w="3000" w:type="dxa"/>
            <w:vAlign w:val="bottom"/>
          </w:tcPr>
          <w:p>
            <w:pPr>
              <w:ind w:left="140"/>
              <w:spacing w:after="0"/>
              <w:rPr>
                <w:sz w:val="20"/>
                <w:szCs w:val="20"/>
                <w:color w:val="auto"/>
              </w:rPr>
            </w:pPr>
            <w:r>
              <w:rPr>
                <w:rFonts w:ascii="Arial" w:cs="Arial" w:eastAsia="Arial" w:hAnsi="Arial"/>
                <w:sz w:val="12"/>
                <w:szCs w:val="12"/>
                <w:color w:val="auto"/>
              </w:rPr>
              <w:t>(Winter Park Intermediate, Inc.)</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2"/>
                <w:szCs w:val="12"/>
                <w:color w:val="auto"/>
              </w:rPr>
              <w:t>ZS Juniper L.P.</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856</w:t>
            </w:r>
          </w:p>
        </w:tc>
      </w:tr>
      <w:tr>
        <w:trPr>
          <w:trHeight w:val="169"/>
        </w:trPr>
        <w:tc>
          <w:tcPr>
            <w:tcW w:w="3000" w:type="dxa"/>
            <w:vAlign w:val="bottom"/>
          </w:tcPr>
          <w:p>
            <w:pPr>
              <w:ind w:left="140"/>
              <w:spacing w:after="0" w:line="170" w:lineRule="exact"/>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19"/>
                <w:szCs w:val="19"/>
                <w:color w:val="auto"/>
                <w:vertAlign w:val="superscript"/>
              </w:rPr>
              <w:t>(9)</w:t>
            </w:r>
          </w:p>
        </w:tc>
        <w:tc>
          <w:tcPr>
            <w:tcW w:w="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50"/>
        </w:trPr>
        <w:tc>
          <w:tcPr>
            <w:tcW w:w="3000" w:type="dxa"/>
            <w:vAlign w:val="bottom"/>
          </w:tcPr>
          <w:p>
            <w:pPr>
              <w:spacing w:after="0"/>
              <w:rPr>
                <w:sz w:val="20"/>
                <w:szCs w:val="20"/>
                <w:color w:val="auto"/>
              </w:rPr>
            </w:pPr>
            <w:r>
              <w:rPr>
                <w:rFonts w:ascii="Arial" w:cs="Arial" w:eastAsia="Arial" w:hAnsi="Arial"/>
                <w:sz w:val="12"/>
                <w:szCs w:val="12"/>
                <w:b w:val="1"/>
                <w:bCs w:val="1"/>
                <w:color w:val="auto"/>
                <w:w w:val="98"/>
              </w:rPr>
              <w:t>Total Common Equity/Partnership Interests/Warrants</w:t>
            </w:r>
          </w:p>
        </w:tc>
        <w:tc>
          <w:tcPr>
            <w:tcW w:w="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2"/>
        </w:trPr>
        <w:tc>
          <w:tcPr>
            <w:tcW w:w="3960" w:type="dxa"/>
            <w:vAlign w:val="bottom"/>
            <w:gridSpan w:val="2"/>
          </w:tcPr>
          <w:p>
            <w:pPr>
              <w:spacing w:after="0"/>
              <w:rPr>
                <w:sz w:val="20"/>
                <w:szCs w:val="20"/>
                <w:color w:val="auto"/>
              </w:rPr>
            </w:pPr>
            <w:r>
              <w:rPr>
                <w:rFonts w:ascii="Arial" w:cs="Arial" w:eastAsia="Arial" w:hAnsi="Arial"/>
                <w:sz w:val="12"/>
                <w:szCs w:val="12"/>
                <w:b w:val="1"/>
                <w:bCs w:val="1"/>
                <w:color w:val="auto"/>
                <w:w w:val="95"/>
              </w:rPr>
              <w:t>Total Investments in Non-Controlled, Non-Affiliated Portfolio Companies</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0"/>
        </w:trPr>
        <w:tc>
          <w:tcPr>
            <w:tcW w:w="3960" w:type="dxa"/>
            <w:vAlign w:val="bottom"/>
            <w:gridSpan w:val="2"/>
          </w:tcPr>
          <w:p>
            <w:pPr>
              <w:spacing w:after="0" w:line="160" w:lineRule="exact"/>
              <w:rPr>
                <w:sz w:val="20"/>
                <w:szCs w:val="20"/>
                <w:color w:val="auto"/>
              </w:rPr>
            </w:pPr>
            <w:r>
              <w:rPr>
                <w:rFonts w:ascii="Arial" w:cs="Arial" w:eastAsia="Arial" w:hAnsi="Arial"/>
                <w:sz w:val="11"/>
                <w:szCs w:val="11"/>
                <w:b w:val="1"/>
                <w:bCs w:val="1"/>
                <w:color w:val="auto"/>
                <w:w w:val="97"/>
              </w:rPr>
              <w:t xml:space="preserve">Investments in Non-Controlled, Affiliated Portfolio Companies—12.4% </w:t>
            </w:r>
            <w:r>
              <w:rPr>
                <w:rFonts w:ascii="Arial" w:cs="Arial" w:eastAsia="Arial" w:hAnsi="Arial"/>
                <w:sz w:val="18"/>
                <w:szCs w:val="18"/>
                <w:b w:val="1"/>
                <w:bCs w:val="1"/>
                <w:color w:val="auto"/>
                <w:w w:val="97"/>
                <w:vertAlign w:val="superscript"/>
              </w:rPr>
              <w:t>(1), (2)</w:t>
            </w: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0"/>
        </w:trPr>
        <w:tc>
          <w:tcPr>
            <w:tcW w:w="3000" w:type="dxa"/>
            <w:vAlign w:val="bottom"/>
          </w:tcPr>
          <w:p>
            <w:pPr>
              <w:spacing w:after="0"/>
              <w:rPr>
                <w:sz w:val="20"/>
                <w:szCs w:val="20"/>
                <w:color w:val="auto"/>
              </w:rPr>
            </w:pPr>
            <w:r>
              <w:rPr>
                <w:rFonts w:ascii="Arial" w:cs="Arial" w:eastAsia="Arial" w:hAnsi="Arial"/>
                <w:sz w:val="12"/>
                <w:szCs w:val="12"/>
                <w:b w:val="1"/>
                <w:bCs w:val="1"/>
                <w:color w:val="auto"/>
              </w:rPr>
              <w:t>First Lien Secured Debt—1.9%</w:t>
            </w:r>
          </w:p>
        </w:tc>
        <w:tc>
          <w:tcPr>
            <w:tcW w:w="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U.S. Well Services, LLC</w:t>
            </w:r>
          </w:p>
        </w:tc>
        <w:tc>
          <w:tcPr>
            <w:tcW w:w="960" w:type="dxa"/>
            <w:vAlign w:val="bottom"/>
          </w:tcPr>
          <w:p>
            <w:pPr>
              <w:ind w:left="20"/>
              <w:spacing w:after="0"/>
              <w:rPr>
                <w:sz w:val="20"/>
                <w:szCs w:val="20"/>
                <w:color w:val="auto"/>
              </w:rPr>
            </w:pPr>
            <w:r>
              <w:rPr>
                <w:rFonts w:ascii="Arial" w:cs="Arial" w:eastAsia="Arial" w:hAnsi="Arial"/>
                <w:sz w:val="12"/>
                <w:szCs w:val="12"/>
                <w:color w:val="auto"/>
              </w:rPr>
              <w:t>02/02/2022</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Oil and Gas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13.08%</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L+1,100</w:t>
            </w:r>
          </w:p>
        </w:tc>
        <w:tc>
          <w:tcPr>
            <w:tcW w:w="660" w:type="dxa"/>
            <w:vAlign w:val="bottom"/>
          </w:tcPr>
          <w:p>
            <w:pPr>
              <w:jc w:val="right"/>
              <w:spacing w:after="0"/>
              <w:rPr>
                <w:sz w:val="20"/>
                <w:szCs w:val="20"/>
                <w:color w:val="auto"/>
              </w:rPr>
            </w:pPr>
            <w:r>
              <w:rPr>
                <w:rFonts w:ascii="Arial" w:cs="Arial" w:eastAsia="Arial" w:hAnsi="Arial"/>
                <w:sz w:val="12"/>
                <w:szCs w:val="12"/>
                <w:color w:val="auto"/>
              </w:rPr>
              <w:t>10,160,537</w:t>
            </w:r>
          </w:p>
        </w:tc>
      </w:tr>
      <w:tr>
        <w:trPr>
          <w:trHeight w:val="148"/>
        </w:trPr>
        <w:tc>
          <w:tcPr>
            <w:tcW w:w="3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color w:val="auto"/>
              </w:rPr>
              <w:t>(PIK 13.08%)</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2"/>
                <w:szCs w:val="12"/>
                <w:color w:val="auto"/>
              </w:rPr>
              <w:t>U.S. Well Services, LLC (Revolver)</w:t>
            </w:r>
          </w:p>
        </w:tc>
        <w:tc>
          <w:tcPr>
            <w:tcW w:w="960" w:type="dxa"/>
            <w:vAlign w:val="bottom"/>
          </w:tcPr>
          <w:p>
            <w:pPr>
              <w:ind w:left="20"/>
              <w:spacing w:after="0"/>
              <w:rPr>
                <w:sz w:val="20"/>
                <w:szCs w:val="20"/>
                <w:color w:val="auto"/>
              </w:rPr>
            </w:pPr>
            <w:r>
              <w:rPr>
                <w:rFonts w:ascii="Arial" w:cs="Arial" w:eastAsia="Arial" w:hAnsi="Arial"/>
                <w:sz w:val="12"/>
                <w:szCs w:val="12"/>
                <w:color w:val="auto"/>
              </w:rPr>
              <w:t>02/02/2022</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Oil and Gas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8.08%</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1,680,528</w:t>
            </w:r>
          </w:p>
        </w:tc>
      </w:tr>
      <w:tr>
        <w:trPr>
          <w:trHeight w:val="169"/>
        </w:trPr>
        <w:tc>
          <w:tcPr>
            <w:tcW w:w="3000" w:type="dxa"/>
            <w:vAlign w:val="bottom"/>
          </w:tcPr>
          <w:p>
            <w:pPr>
              <w:spacing w:after="0" w:line="170" w:lineRule="exact"/>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19"/>
                <w:szCs w:val="19"/>
                <w:color w:val="auto"/>
                <w:vertAlign w:val="superscript"/>
              </w:rPr>
              <w:t>(7)</w:t>
            </w:r>
          </w:p>
        </w:tc>
        <w:tc>
          <w:tcPr>
            <w:tcW w:w="960" w:type="dxa"/>
            <w:vAlign w:val="bottom"/>
          </w:tcPr>
          <w:p>
            <w:pPr>
              <w:ind w:left="20"/>
              <w:spacing w:after="0"/>
              <w:rPr>
                <w:sz w:val="20"/>
                <w:szCs w:val="20"/>
                <w:color w:val="auto"/>
              </w:rPr>
            </w:pPr>
            <w:r>
              <w:rPr>
                <w:rFonts w:ascii="Arial" w:cs="Arial" w:eastAsia="Arial" w:hAnsi="Arial"/>
                <w:sz w:val="12"/>
                <w:szCs w:val="12"/>
                <w:color w:val="auto"/>
              </w:rPr>
              <w:t>02/02/2022</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Oil and Gas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511,893</w:t>
            </w:r>
          </w:p>
        </w:tc>
      </w:tr>
      <w:tr>
        <w:trPr>
          <w:trHeight w:val="150"/>
        </w:trPr>
        <w:tc>
          <w:tcPr>
            <w:tcW w:w="300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2"/>
        </w:trPr>
        <w:tc>
          <w:tcPr>
            <w:tcW w:w="3960" w:type="dxa"/>
            <w:vAlign w:val="bottom"/>
            <w:gridSpan w:val="2"/>
          </w:tcPr>
          <w:p>
            <w:pPr>
              <w:spacing w:after="0" w:line="163" w:lineRule="exact"/>
              <w:rPr>
                <w:sz w:val="20"/>
                <w:szCs w:val="20"/>
                <w:color w:val="auto"/>
              </w:rPr>
            </w:pPr>
            <w:r>
              <w:rPr>
                <w:rFonts w:ascii="Arial" w:cs="Arial" w:eastAsia="Arial" w:hAnsi="Arial"/>
                <w:sz w:val="11"/>
                <w:szCs w:val="11"/>
                <w:b w:val="1"/>
                <w:bCs w:val="1"/>
                <w:color w:val="auto"/>
              </w:rPr>
              <w:t xml:space="preserve">Common Equity/Partnership Interests/Warrants—10.5% </w:t>
            </w:r>
            <w:r>
              <w:rPr>
                <w:rFonts w:ascii="Arial" w:cs="Arial" w:eastAsia="Arial" w:hAnsi="Arial"/>
                <w:sz w:val="18"/>
                <w:szCs w:val="18"/>
                <w:b w:val="1"/>
                <w:bCs w:val="1"/>
                <w:color w:val="auto"/>
                <w:vertAlign w:val="superscript"/>
              </w:rPr>
              <w:t>(6)</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859,496</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 Series C and Series D</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37,181</w:t>
            </w:r>
          </w:p>
        </w:tc>
      </w:tr>
      <w:tr>
        <w:trPr>
          <w:trHeight w:val="139"/>
        </w:trPr>
        <w:tc>
          <w:tcPr>
            <w:tcW w:w="3000" w:type="dxa"/>
            <w:vAlign w:val="bottom"/>
          </w:tcPr>
          <w:p>
            <w:pPr>
              <w:spacing w:after="0"/>
              <w:rPr>
                <w:sz w:val="20"/>
                <w:szCs w:val="20"/>
                <w:color w:val="auto"/>
              </w:rPr>
            </w:pPr>
            <w:r>
              <w:rPr>
                <w:rFonts w:ascii="Arial" w:cs="Arial" w:eastAsia="Arial" w:hAnsi="Arial"/>
                <w:sz w:val="12"/>
                <w:szCs w:val="12"/>
                <w:color w:val="auto"/>
              </w:rPr>
              <w:t>Big Run,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143,668</w:t>
            </w:r>
          </w:p>
        </w:tc>
      </w:tr>
      <w:tr>
        <w:trPr>
          <w:trHeight w:val="158"/>
        </w:trPr>
        <w:tc>
          <w:tcPr>
            <w:tcW w:w="3000" w:type="dxa"/>
            <w:vAlign w:val="bottom"/>
          </w:tcPr>
          <w:p>
            <w:pPr>
              <w:spacing w:after="0" w:line="158" w:lineRule="exact"/>
              <w:rPr>
                <w:sz w:val="20"/>
                <w:szCs w:val="20"/>
                <w:color w:val="auto"/>
              </w:rPr>
            </w:pPr>
            <w:r>
              <w:rPr>
                <w:rFonts w:ascii="Arial" w:cs="Arial" w:eastAsia="Arial" w:hAnsi="Arial"/>
                <w:sz w:val="11"/>
                <w:szCs w:val="11"/>
                <w:color w:val="auto"/>
              </w:rPr>
              <w:t xml:space="preserve">ETX Energy, LLC </w:t>
            </w:r>
            <w:r>
              <w:rPr>
                <w:rFonts w:ascii="Arial" w:cs="Arial" w:eastAsia="Arial" w:hAnsi="Arial"/>
                <w:sz w:val="18"/>
                <w:szCs w:val="18"/>
                <w:color w:val="auto"/>
                <w:vertAlign w:val="superscript"/>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Oil and Gas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1,658,389</w:t>
            </w:r>
          </w:p>
        </w:tc>
      </w:tr>
      <w:tr>
        <w:trPr>
          <w:trHeight w:val="139"/>
        </w:trPr>
        <w:tc>
          <w:tcPr>
            <w:tcW w:w="3000" w:type="dxa"/>
            <w:vAlign w:val="bottom"/>
          </w:tcPr>
          <w:p>
            <w:pPr>
              <w:spacing w:after="0"/>
              <w:rPr>
                <w:sz w:val="20"/>
                <w:szCs w:val="20"/>
                <w:color w:val="auto"/>
              </w:rPr>
            </w:pPr>
            <w:r>
              <w:rPr>
                <w:rFonts w:ascii="Arial" w:cs="Arial" w:eastAsia="Arial" w:hAnsi="Arial"/>
                <w:sz w:val="12"/>
                <w:szCs w:val="12"/>
                <w:color w:val="auto"/>
              </w:rPr>
              <w:t>ETX Energy Management Company,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Oil and Gas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1,754,104</w:t>
            </w:r>
          </w:p>
        </w:tc>
      </w:tr>
      <w:tr>
        <w:trPr>
          <w:trHeight w:val="181"/>
        </w:trPr>
        <w:tc>
          <w:tcPr>
            <w:tcW w:w="3000" w:type="dxa"/>
            <w:vAlign w:val="bottom"/>
          </w:tcPr>
          <w:p>
            <w:pPr>
              <w:spacing w:after="0" w:line="182" w:lineRule="exact"/>
              <w:rPr>
                <w:sz w:val="20"/>
                <w:szCs w:val="20"/>
                <w:color w:val="auto"/>
              </w:rPr>
            </w:pPr>
            <w:r>
              <w:rPr>
                <w:rFonts w:ascii="Arial" w:cs="Arial" w:eastAsia="Arial" w:hAnsi="Arial"/>
                <w:sz w:val="12"/>
                <w:szCs w:val="12"/>
                <w:color w:val="auto"/>
              </w:rPr>
              <w:t xml:space="preserve">USWS Holdings, LLC - Class A and Class B </w:t>
            </w:r>
            <w:r>
              <w:rPr>
                <w:rFonts w:ascii="Arial" w:cs="Arial" w:eastAsia="Arial" w:hAnsi="Arial"/>
                <w:sz w:val="19"/>
                <w:szCs w:val="19"/>
                <w:color w:val="auto"/>
                <w:vertAlign w:val="superscript"/>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Oil and Gas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8,190,817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-5067935</wp:posOffset>
            </wp:positionV>
            <wp:extent cx="713232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-4871085</wp:posOffset>
            </wp:positionV>
            <wp:extent cx="713232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-4682490</wp:posOffset>
            </wp:positionV>
            <wp:extent cx="713232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-4493895</wp:posOffset>
            </wp:positionV>
            <wp:extent cx="71323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-4305300</wp:posOffset>
            </wp:positionV>
            <wp:extent cx="7132320" cy="93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-4116705</wp:posOffset>
            </wp:positionV>
            <wp:extent cx="713232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-3928110</wp:posOffset>
            </wp:positionV>
            <wp:extent cx="71323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-3739515</wp:posOffset>
            </wp:positionV>
            <wp:extent cx="7132320" cy="939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-3550920</wp:posOffset>
            </wp:positionV>
            <wp:extent cx="7132320"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-3362325</wp:posOffset>
            </wp:positionV>
            <wp:extent cx="7132320" cy="939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-3173730</wp:posOffset>
            </wp:positionV>
            <wp:extent cx="713232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-2985135</wp:posOffset>
            </wp:positionV>
            <wp:extent cx="713232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-2796540</wp:posOffset>
            </wp:positionV>
            <wp:extent cx="7132320" cy="93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-2607945</wp:posOffset>
            </wp:positionV>
            <wp:extent cx="7132320" cy="939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-2419350</wp:posOffset>
            </wp:positionV>
            <wp:extent cx="713232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-2230755</wp:posOffset>
            </wp:positionV>
            <wp:extent cx="7132320" cy="939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-2042160</wp:posOffset>
            </wp:positionV>
            <wp:extent cx="7132320" cy="93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-1853565</wp:posOffset>
            </wp:positionV>
            <wp:extent cx="7132320" cy="939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-1664970</wp:posOffset>
            </wp:positionV>
            <wp:extent cx="7132320" cy="93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-1467485</wp:posOffset>
            </wp:positionV>
            <wp:extent cx="713232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-1261745</wp:posOffset>
            </wp:positionV>
            <wp:extent cx="7132320"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-1073150</wp:posOffset>
            </wp:positionV>
            <wp:extent cx="713232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-884555</wp:posOffset>
            </wp:positionV>
            <wp:extent cx="7132320" cy="93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-687705</wp:posOffset>
            </wp:positionV>
            <wp:extent cx="713232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939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Total Common Equity/Partnership Interests/Warrants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6"/>
              </w:rPr>
              <w:t xml:space="preserve">Fair Value </w:t>
            </w:r>
            <w:r>
              <w:rPr>
                <w:rFonts w:ascii="Arial" w:cs="Arial" w:eastAsia="Arial" w:hAnsi="Arial"/>
                <w:sz w:val="19"/>
                <w:szCs w:val="19"/>
                <w:b w:val="1"/>
                <w:bCs w:val="1"/>
                <w:color w:val="auto"/>
                <w:w w:val="86"/>
                <w:vertAlign w:val="superscript"/>
              </w:rPr>
              <w:t>(3)</w:t>
            </w:r>
          </w:p>
        </w:tc>
        <w:tc>
          <w:tcPr>
            <w:tcW w:w="0" w:type="dxa"/>
            <w:vAlign w:val="bottom"/>
          </w:tcPr>
          <w:p>
            <w:pPr>
              <w:spacing w:after="0"/>
              <w:rPr>
                <w:sz w:val="1"/>
                <w:szCs w:val="1"/>
                <w:color w:val="auto"/>
              </w:rPr>
            </w:pPr>
          </w:p>
        </w:tc>
      </w:tr>
      <w:tr>
        <w:trPr>
          <w:trHeight w:val="298"/>
        </w:trPr>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1,651,653</w:t>
            </w:r>
          </w:p>
        </w:tc>
        <w:tc>
          <w:tcPr>
            <w:tcW w:w="0" w:type="dxa"/>
            <w:vAlign w:val="bottom"/>
          </w:tcPr>
          <w:p>
            <w:pPr>
              <w:spacing w:after="0"/>
              <w:rPr>
                <w:sz w:val="1"/>
                <w:szCs w:val="1"/>
                <w:color w:val="auto"/>
              </w:rPr>
            </w:pPr>
          </w:p>
        </w:tc>
      </w:tr>
      <w:tr>
        <w:trPr>
          <w:trHeight w:val="149"/>
        </w:trPr>
        <w:tc>
          <w:tcPr>
            <w:tcW w:w="180" w:type="dxa"/>
            <w:vAlign w:val="bottom"/>
            <w:vMerge w:val="restart"/>
          </w:tcPr>
          <w:p>
            <w:pPr>
              <w:jc w:val="right"/>
              <w:spacing w:after="0"/>
              <w:rPr>
                <w:sz w:val="20"/>
                <w:szCs w:val="20"/>
                <w:color w:val="auto"/>
              </w:rPr>
            </w:pPr>
            <w:r>
              <w:rPr>
                <w:rFonts w:ascii="Arial" w:cs="Arial" w:eastAsia="Arial" w:hAnsi="Arial"/>
                <w:sz w:val="10"/>
                <w:szCs w:val="10"/>
                <w:color w:val="auto"/>
                <w:w w:val="78"/>
              </w:rPr>
              <w:t>(13)</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2,776,777</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2,852,080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1,186,539</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840,004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957,866</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1,245,827</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2,250,000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2,250,000</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4,165,759</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1,049,378</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1,147,011</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1,500,000</w:t>
            </w:r>
          </w:p>
        </w:tc>
        <w:tc>
          <w:tcPr>
            <w:tcW w:w="0" w:type="dxa"/>
            <w:vAlign w:val="bottom"/>
          </w:tcPr>
          <w:p>
            <w:pPr>
              <w:spacing w:after="0"/>
              <w:rPr>
                <w:sz w:val="1"/>
                <w:szCs w:val="1"/>
                <w:color w:val="auto"/>
              </w:rPr>
            </w:pPr>
          </w:p>
        </w:tc>
      </w:tr>
    </w:tbl>
    <w:p>
      <w:pPr>
        <w:ind w:left="76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2,787,265</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2,040,000</w:t>
      </w:r>
      <w:r>
        <w:rPr>
          <w:rFonts w:ascii="Arial" w:cs="Arial" w:eastAsia="Arial" w:hAnsi="Arial"/>
          <w:sz w:val="9"/>
          <w:szCs w:val="9"/>
          <w:color w:val="auto"/>
        </w:rPr>
        <w:t>2,167,874</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2,049,849</w:t>
      </w:r>
      <w:r>
        <w:rPr>
          <w:rFonts w:ascii="Arial" w:cs="Arial" w:eastAsia="Arial" w:hAnsi="Arial"/>
          <w:sz w:val="9"/>
          <w:szCs w:val="9"/>
          <w:color w:val="auto"/>
        </w:rPr>
        <w:t>3,654,472</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1,906,433</w:t>
      </w:r>
      <w:r>
        <w:rPr>
          <w:rFonts w:ascii="Arial" w:cs="Arial" w:eastAsia="Arial" w:hAnsi="Arial"/>
          <w:sz w:val="9"/>
          <w:szCs w:val="9"/>
          <w:color w:val="auto"/>
        </w:rPr>
        <w:t>1,906,433</w:t>
      </w:r>
    </w:p>
    <w:p>
      <w:pPr>
        <w:spacing w:after="0" w:line="159" w:lineRule="exact"/>
        <w:rPr>
          <w:sz w:val="20"/>
          <w:szCs w:val="20"/>
          <w:color w:val="auto"/>
        </w:rPr>
      </w:pPr>
    </w:p>
    <w:tbl>
      <w:tblPr>
        <w:tblLayout w:type="fixed"/>
        <w:tblInd w:w="180" w:type="dxa"/>
        <w:tblCellMar>
          <w:top w:w="0" w:type="dxa"/>
          <w:left w:w="0" w:type="dxa"/>
          <w:bottom w:w="0" w:type="dxa"/>
          <w:right w:w="0" w:type="dxa"/>
        </w:tblCellMar>
      </w:tblPr>
      <w:tr>
        <w:trPr>
          <w:trHeight w:val="148"/>
        </w:trPr>
        <w:tc>
          <w:tcPr>
            <w:tcW w:w="700" w:type="dxa"/>
            <w:vAlign w:val="bottom"/>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841,727</w:t>
            </w:r>
          </w:p>
        </w:tc>
      </w:tr>
      <w:tr>
        <w:trPr>
          <w:trHeight w:val="148"/>
        </w:trPr>
        <w:tc>
          <w:tcPr>
            <w:tcW w:w="70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522,889</w:t>
            </w:r>
          </w:p>
        </w:tc>
      </w:tr>
      <w:tr>
        <w:trPr>
          <w:trHeight w:val="148"/>
        </w:trPr>
        <w:tc>
          <w:tcPr>
            <w:tcW w:w="700" w:type="dxa"/>
            <w:vAlign w:val="bottom"/>
          </w:tcPr>
          <w:p>
            <w:pPr>
              <w:jc w:val="right"/>
              <w:spacing w:after="0"/>
              <w:rPr>
                <w:sz w:val="20"/>
                <w:szCs w:val="20"/>
                <w:color w:val="auto"/>
              </w:rPr>
            </w:pPr>
            <w:r>
              <w:rPr>
                <w:rFonts w:ascii="Arial" w:cs="Arial" w:eastAsia="Arial" w:hAnsi="Arial"/>
                <w:sz w:val="12"/>
                <w:szCs w:val="12"/>
                <w:color w:val="auto"/>
              </w:rPr>
              <w:t>1,158,703</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672,195</w:t>
            </w:r>
          </w:p>
        </w:tc>
      </w:tr>
      <w:tr>
        <w:trPr>
          <w:trHeight w:val="148"/>
        </w:trPr>
        <w:tc>
          <w:tcPr>
            <w:tcW w:w="700" w:type="dxa"/>
            <w:vAlign w:val="bottom"/>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1,500,000</w:t>
            </w:r>
          </w:p>
        </w:tc>
      </w:tr>
      <w:tr>
        <w:trPr>
          <w:trHeight w:val="297"/>
        </w:trPr>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97"/>
        </w:trPr>
        <w:tc>
          <w:tcPr>
            <w:tcW w:w="700" w:type="dxa"/>
            <w:vAlign w:val="bottom"/>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1,181,714</w:t>
            </w:r>
          </w:p>
        </w:tc>
      </w:tr>
      <w:tr>
        <w:trPr>
          <w:trHeight w:val="297"/>
        </w:trPr>
        <w:tc>
          <w:tcPr>
            <w:tcW w:w="700" w:type="dxa"/>
            <w:vAlign w:val="bottom"/>
          </w:tcPr>
          <w:p>
            <w:pPr>
              <w:jc w:val="right"/>
              <w:spacing w:after="0"/>
              <w:rPr>
                <w:sz w:val="20"/>
                <w:szCs w:val="20"/>
                <w:color w:val="auto"/>
              </w:rPr>
            </w:pPr>
            <w:r>
              <w:rPr>
                <w:rFonts w:ascii="Arial" w:cs="Arial" w:eastAsia="Arial" w:hAnsi="Arial"/>
                <w:sz w:val="12"/>
                <w:szCs w:val="12"/>
                <w:color w:val="auto"/>
              </w:rPr>
              <w:t>3,200,000</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4,513,118</w:t>
            </w:r>
          </w:p>
        </w:tc>
      </w:tr>
      <w:tr>
        <w:trPr>
          <w:trHeight w:val="297"/>
        </w:trPr>
        <w:tc>
          <w:tcPr>
            <w:tcW w:w="700" w:type="dxa"/>
            <w:vAlign w:val="bottom"/>
          </w:tcPr>
          <w:p>
            <w:pPr>
              <w:jc w:val="right"/>
              <w:spacing w:after="0"/>
              <w:rPr>
                <w:sz w:val="20"/>
                <w:szCs w:val="20"/>
                <w:color w:val="auto"/>
              </w:rPr>
            </w:pPr>
            <w:r>
              <w:rPr>
                <w:rFonts w:ascii="Arial" w:cs="Arial" w:eastAsia="Arial" w:hAnsi="Arial"/>
                <w:sz w:val="12"/>
                <w:szCs w:val="12"/>
                <w:color w:val="auto"/>
              </w:rPr>
              <w:t>855,515</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1,035,599</w:t>
            </w:r>
          </w:p>
        </w:tc>
      </w:tr>
      <w:tr>
        <w:trPr>
          <w:trHeight w:val="141"/>
        </w:trPr>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42"/>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43,004,366</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43,714,096</w:t>
            </w:r>
          </w:p>
        </w:tc>
      </w:tr>
      <w:tr>
        <w:trPr>
          <w:trHeight w:val="142"/>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896,720,950</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905,271,258</w:t>
            </w:r>
          </w:p>
        </w:tc>
      </w:tr>
      <w:tr>
        <w:trPr>
          <w:trHeight w:val="446"/>
        </w:trPr>
        <w:tc>
          <w:tcPr>
            <w:tcW w:w="700" w:type="dxa"/>
            <w:vAlign w:val="bottom"/>
          </w:tcPr>
          <w:p>
            <w:pPr>
              <w:jc w:val="right"/>
              <w:spacing w:after="0"/>
              <w:rPr>
                <w:sz w:val="20"/>
                <w:szCs w:val="20"/>
                <w:color w:val="auto"/>
              </w:rPr>
            </w:pPr>
            <w:r>
              <w:rPr>
                <w:rFonts w:ascii="Arial" w:cs="Arial" w:eastAsia="Arial" w:hAnsi="Arial"/>
                <w:sz w:val="12"/>
                <w:szCs w:val="12"/>
                <w:color w:val="auto"/>
              </w:rPr>
              <w:t>10,098,625</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10,160,537</w:t>
            </w:r>
          </w:p>
        </w:tc>
      </w:tr>
      <w:tr>
        <w:trPr>
          <w:trHeight w:val="297"/>
        </w:trPr>
        <w:tc>
          <w:tcPr>
            <w:tcW w:w="700" w:type="dxa"/>
            <w:vAlign w:val="bottom"/>
          </w:tcPr>
          <w:p>
            <w:pPr>
              <w:jc w:val="right"/>
              <w:spacing w:after="0"/>
              <w:rPr>
                <w:sz w:val="20"/>
                <w:szCs w:val="20"/>
                <w:color w:val="auto"/>
              </w:rPr>
            </w:pPr>
            <w:r>
              <w:rPr>
                <w:rFonts w:ascii="Arial" w:cs="Arial" w:eastAsia="Arial" w:hAnsi="Arial"/>
                <w:sz w:val="12"/>
                <w:szCs w:val="12"/>
                <w:color w:val="auto"/>
              </w:rPr>
              <w:t>1,680,528</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1,680,528</w:t>
            </w:r>
          </w:p>
        </w:tc>
      </w:tr>
      <w:tr>
        <w:trPr>
          <w:trHeight w:val="141"/>
        </w:trPr>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11,779,153</w:t>
            </w:r>
          </w:p>
        </w:tc>
        <w:tc>
          <w:tcPr>
            <w:tcW w:w="2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11,841,065</w:t>
            </w:r>
          </w:p>
        </w:tc>
      </w:tr>
      <w:tr>
        <w:trPr>
          <w:trHeight w:val="298"/>
        </w:trPr>
        <w:tc>
          <w:tcPr>
            <w:tcW w:w="700" w:type="dxa"/>
            <w:vAlign w:val="bottom"/>
          </w:tcPr>
          <w:p>
            <w:pPr>
              <w:jc w:val="right"/>
              <w:spacing w:after="0"/>
              <w:rPr>
                <w:sz w:val="20"/>
                <w:szCs w:val="20"/>
                <w:color w:val="auto"/>
              </w:rPr>
            </w:pPr>
            <w:r>
              <w:rPr>
                <w:rFonts w:ascii="Arial" w:cs="Arial" w:eastAsia="Arial" w:hAnsi="Arial"/>
                <w:sz w:val="12"/>
                <w:szCs w:val="12"/>
                <w:color w:val="auto"/>
              </w:rPr>
              <w:t>30,503,493</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18,137,081</w:t>
            </w:r>
          </w:p>
        </w:tc>
      </w:tr>
      <w:tr>
        <w:trPr>
          <w:trHeight w:val="148"/>
        </w:trPr>
        <w:tc>
          <w:tcPr>
            <w:tcW w:w="700" w:type="dxa"/>
            <w:vAlign w:val="bottom"/>
          </w:tcPr>
          <w:p>
            <w:pPr>
              <w:jc w:val="right"/>
              <w:spacing w:after="0"/>
              <w:rPr>
                <w:sz w:val="20"/>
                <w:szCs w:val="20"/>
                <w:color w:val="auto"/>
              </w:rPr>
            </w:pPr>
            <w:r>
              <w:rPr>
                <w:rFonts w:ascii="Arial" w:cs="Arial" w:eastAsia="Arial" w:hAnsi="Arial"/>
                <w:sz w:val="12"/>
                <w:szCs w:val="12"/>
                <w:color w:val="auto"/>
              </w:rPr>
              <w:t>10,265,973</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29,841</w:t>
            </w:r>
          </w:p>
        </w:tc>
      </w:tr>
      <w:tr>
        <w:trPr>
          <w:trHeight w:val="148"/>
        </w:trPr>
        <w:tc>
          <w:tcPr>
            <w:tcW w:w="700" w:type="dxa"/>
            <w:vAlign w:val="bottom"/>
          </w:tcPr>
          <w:p>
            <w:pPr>
              <w:jc w:val="right"/>
              <w:spacing w:after="0"/>
              <w:rPr>
                <w:sz w:val="20"/>
                <w:szCs w:val="20"/>
                <w:color w:val="auto"/>
              </w:rPr>
            </w:pPr>
            <w:r>
              <w:rPr>
                <w:rFonts w:ascii="Arial" w:cs="Arial" w:eastAsia="Arial" w:hAnsi="Arial"/>
                <w:sz w:val="12"/>
                <w:szCs w:val="12"/>
                <w:color w:val="auto"/>
              </w:rPr>
              <w:t>674,943</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397,025</w:t>
            </w:r>
          </w:p>
        </w:tc>
      </w:tr>
      <w:tr>
        <w:trPr>
          <w:trHeight w:val="149"/>
        </w:trPr>
        <w:tc>
          <w:tcPr>
            <w:tcW w:w="700" w:type="dxa"/>
            <w:vAlign w:val="bottom"/>
          </w:tcPr>
          <w:p>
            <w:pPr>
              <w:jc w:val="right"/>
              <w:spacing w:after="0"/>
              <w:rPr>
                <w:sz w:val="20"/>
                <w:szCs w:val="20"/>
                <w:color w:val="auto"/>
              </w:rPr>
            </w:pPr>
            <w:r>
              <w:rPr>
                <w:rFonts w:ascii="Arial" w:cs="Arial" w:eastAsia="Arial" w:hAnsi="Arial"/>
                <w:sz w:val="12"/>
                <w:szCs w:val="12"/>
                <w:color w:val="auto"/>
              </w:rPr>
              <w:t>29,711,576</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33,040,294</w:t>
            </w:r>
          </w:p>
        </w:tc>
      </w:tr>
      <w:tr>
        <w:trPr>
          <w:trHeight w:val="148"/>
        </w:trPr>
        <w:tc>
          <w:tcPr>
            <w:tcW w:w="700" w:type="dxa"/>
            <w:vAlign w:val="bottom"/>
          </w:tcPr>
          <w:p>
            <w:pPr>
              <w:jc w:val="right"/>
              <w:spacing w:after="0"/>
              <w:rPr>
                <w:sz w:val="20"/>
                <w:szCs w:val="20"/>
                <w:color w:val="auto"/>
              </w:rPr>
            </w:pPr>
            <w:r>
              <w:rPr>
                <w:rFonts w:ascii="Arial" w:cs="Arial" w:eastAsia="Arial" w:hAnsi="Arial"/>
                <w:sz w:val="12"/>
                <w:szCs w:val="12"/>
                <w:color w:val="auto"/>
              </w:rPr>
              <w:t>1,562,020</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1,761,079</w:t>
            </w:r>
          </w:p>
        </w:tc>
      </w:tr>
      <w:tr>
        <w:trPr>
          <w:trHeight w:val="141"/>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12,871,946</w:t>
            </w:r>
          </w:p>
        </w:tc>
      </w:tr>
      <w:tr>
        <w:trPr>
          <w:trHeight w:val="142"/>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79,741,755</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66,237,266</w:t>
            </w:r>
          </w:p>
        </w:tc>
      </w:tr>
      <w:tr>
        <w:trPr>
          <w:trHeight w:val="142"/>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91,520,908</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78,078,331</w:t>
            </w:r>
          </w:p>
        </w:tc>
      </w:tr>
    </w:tbl>
    <w:p>
      <w:pPr>
        <w:spacing w:after="0" w:line="200" w:lineRule="exact"/>
        <w:rPr>
          <w:sz w:val="20"/>
          <w:szCs w:val="20"/>
          <w:color w:val="auto"/>
        </w:rPr>
      </w:pPr>
    </w:p>
    <w:p>
      <w:pPr>
        <w:sectPr>
          <w:pgSz w:w="11900" w:h="16838" w:orient="portrait"/>
          <w:cols w:equalWidth="0" w:num="2">
            <w:col w:w="9180" w:space="120"/>
            <w:col w:w="1840"/>
          </w:cols>
          <w:pgMar w:left="320" w:top="334" w:right="439" w:bottom="1440" w:gutter="0" w:footer="0" w:header="0"/>
        </w:sectPr>
      </w:pP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4" w:right="4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6"/>
        </w:trPr>
        <w:tc>
          <w:tcPr>
            <w:tcW w:w="2740" w:type="dxa"/>
            <w:vAlign w:val="bottom"/>
          </w:tcPr>
          <w:p>
            <w:pPr>
              <w:spacing w:after="0"/>
              <w:rPr>
                <w:sz w:val="10"/>
                <w:szCs w:val="10"/>
                <w:color w:val="auto"/>
              </w:rPr>
            </w:pPr>
          </w:p>
        </w:tc>
        <w:tc>
          <w:tcPr>
            <w:tcW w:w="1140" w:type="dxa"/>
            <w:vAlign w:val="bottom"/>
          </w:tcPr>
          <w:p>
            <w:pPr>
              <w:ind w:left="220"/>
              <w:spacing w:after="0" w:line="126" w:lineRule="exact"/>
              <w:rPr>
                <w:sz w:val="20"/>
                <w:szCs w:val="20"/>
                <w:color w:val="auto"/>
              </w:rPr>
            </w:pPr>
            <w:r>
              <w:rPr>
                <w:rFonts w:ascii="Arial" w:cs="Arial" w:eastAsia="Arial" w:hAnsi="Arial"/>
                <w:sz w:val="12"/>
                <w:szCs w:val="12"/>
                <w:b w:val="1"/>
                <w:bCs w:val="1"/>
                <w:color w:val="auto"/>
              </w:rPr>
              <w:t>Maturity /</w:t>
            </w: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20"/>
              <w:spacing w:after="0" w:line="126" w:lineRule="exact"/>
              <w:rPr>
                <w:sz w:val="20"/>
                <w:szCs w:val="20"/>
                <w:color w:val="auto"/>
              </w:rPr>
            </w:pPr>
            <w:r>
              <w:rPr>
                <w:rFonts w:ascii="Arial" w:cs="Arial" w:eastAsia="Arial" w:hAnsi="Arial"/>
                <w:sz w:val="12"/>
                <w:szCs w:val="12"/>
                <w:b w:val="1"/>
                <w:bCs w:val="1"/>
                <w:color w:val="auto"/>
              </w:rPr>
              <w:t>Current</w:t>
            </w:r>
          </w:p>
        </w:tc>
        <w:tc>
          <w:tcPr>
            <w:tcW w:w="8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162"/>
              <w:spacing w:after="0" w:line="126"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27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40" w:type="dxa"/>
            <w:vAlign w:val="bottom"/>
          </w:tcPr>
          <w:p>
            <w:pPr>
              <w:ind w:left="220"/>
              <w:spacing w:after="0"/>
              <w:rPr>
                <w:sz w:val="20"/>
                <w:szCs w:val="20"/>
                <w:color w:val="auto"/>
              </w:rPr>
            </w:pPr>
            <w:r>
              <w:rPr>
                <w:rFonts w:ascii="Arial" w:cs="Arial" w:eastAsia="Arial" w:hAnsi="Arial"/>
                <w:sz w:val="12"/>
                <w:szCs w:val="12"/>
                <w:b w:val="1"/>
                <w:bCs w:val="1"/>
                <w:color w:val="auto"/>
              </w:rPr>
              <w:t>Expiration</w:t>
            </w:r>
          </w:p>
        </w:tc>
        <w:tc>
          <w:tcPr>
            <w:tcW w:w="24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860" w:type="dxa"/>
            <w:vAlign w:val="bottom"/>
          </w:tcPr>
          <w:p>
            <w:pPr>
              <w:jc w:val="center"/>
              <w:spacing w:after="0" w:line="153" w:lineRule="exact"/>
              <w:rPr>
                <w:sz w:val="20"/>
                <w:szCs w:val="20"/>
                <w:color w:val="auto"/>
              </w:rPr>
            </w:pPr>
            <w:r>
              <w:rPr>
                <w:rFonts w:ascii="Arial" w:cs="Arial" w:eastAsia="Arial" w:hAnsi="Arial"/>
                <w:sz w:val="11"/>
                <w:szCs w:val="11"/>
                <w:b w:val="1"/>
                <w:bCs w:val="1"/>
                <w:color w:val="auto"/>
                <w:w w:val="96"/>
              </w:rPr>
              <w:t xml:space="preserve">Index </w:t>
            </w:r>
            <w:r>
              <w:rPr>
                <w:rFonts w:ascii="Arial" w:cs="Arial" w:eastAsia="Arial" w:hAnsi="Arial"/>
                <w:sz w:val="17"/>
                <w:szCs w:val="17"/>
                <w:b w:val="1"/>
                <w:bCs w:val="1"/>
                <w:color w:val="auto"/>
                <w:w w:val="96"/>
                <w:vertAlign w:val="superscript"/>
              </w:rPr>
              <w:t>(4)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02"/>
              <w:spacing w:after="0"/>
              <w:rPr>
                <w:sz w:val="20"/>
                <w:szCs w:val="20"/>
                <w:color w:val="auto"/>
              </w:rPr>
            </w:pPr>
            <w:r>
              <w:rPr>
                <w:rFonts w:ascii="Arial" w:cs="Arial" w:eastAsia="Arial" w:hAnsi="Arial"/>
                <w:sz w:val="12"/>
                <w:szCs w:val="12"/>
                <w:b w:val="1"/>
                <w:bCs w:val="1"/>
                <w:color w:val="auto"/>
                <w:w w:val="99"/>
              </w:rPr>
              <w:t>Shares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3"/>
          </w:tcPr>
          <w:p>
            <w:pPr>
              <w:jc w:val="right"/>
              <w:ind w:right="180"/>
              <w:spacing w:after="0" w:line="153" w:lineRule="exact"/>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17"/>
                <w:szCs w:val="17"/>
                <w:b w:val="1"/>
                <w:bCs w:val="1"/>
                <w:color w:val="auto"/>
                <w:vertAlign w:val="superscript"/>
              </w:rPr>
              <w:t>(3)</w:t>
            </w:r>
          </w:p>
        </w:tc>
      </w:tr>
      <w:tr>
        <w:trPr>
          <w:trHeight w:val="142"/>
        </w:trPr>
        <w:tc>
          <w:tcPr>
            <w:tcW w:w="3880" w:type="dxa"/>
            <w:vAlign w:val="bottom"/>
            <w:tcBorders>
              <w:top w:val="single" w:sz="8" w:color="auto"/>
            </w:tcBorders>
            <w:gridSpan w:val="2"/>
            <w:shd w:val="clear" w:color="auto" w:fill="CCECFF"/>
          </w:tcPr>
          <w:p>
            <w:pPr>
              <w:spacing w:after="0" w:line="142" w:lineRule="exact"/>
              <w:rPr>
                <w:sz w:val="20"/>
                <w:szCs w:val="20"/>
                <w:color w:val="auto"/>
              </w:rPr>
            </w:pPr>
            <w:r>
              <w:rPr>
                <w:rFonts w:ascii="Arial" w:cs="Arial" w:eastAsia="Arial" w:hAnsi="Arial"/>
                <w:sz w:val="10"/>
                <w:szCs w:val="10"/>
                <w:b w:val="1"/>
                <w:bCs w:val="1"/>
                <w:color w:val="auto"/>
              </w:rPr>
              <w:t xml:space="preserve">Investments in Controlled, Affiliated Portfolio Companies—23.6% </w:t>
            </w:r>
            <w:r>
              <w:rPr>
                <w:rFonts w:ascii="Arial" w:cs="Arial" w:eastAsia="Arial" w:hAnsi="Arial"/>
                <w:sz w:val="16"/>
                <w:szCs w:val="16"/>
                <w:b w:val="1"/>
                <w:bCs w:val="1"/>
                <w:color w:val="auto"/>
                <w:vertAlign w:val="superscript"/>
              </w:rPr>
              <w:t>(1), (2)</w:t>
            </w:r>
          </w:p>
        </w:tc>
        <w:tc>
          <w:tcPr>
            <w:tcW w:w="23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2740" w:type="dxa"/>
            <w:vAlign w:val="bottom"/>
          </w:tcPr>
          <w:p>
            <w:pPr>
              <w:spacing w:after="0"/>
              <w:rPr>
                <w:sz w:val="20"/>
                <w:szCs w:val="20"/>
                <w:color w:val="auto"/>
              </w:rPr>
            </w:pPr>
            <w:r>
              <w:rPr>
                <w:rFonts w:ascii="Arial" w:cs="Arial" w:eastAsia="Arial" w:hAnsi="Arial"/>
                <w:sz w:val="12"/>
                <w:szCs w:val="12"/>
                <w:b w:val="1"/>
                <w:bCs w:val="1"/>
                <w:color w:val="auto"/>
              </w:rPr>
              <w:t>First Lien Secured Debt—15.7%</w:t>
            </w:r>
          </w:p>
        </w:tc>
        <w:tc>
          <w:tcPr>
            <w:tcW w:w="1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17"/>
                <w:szCs w:val="17"/>
                <w:color w:val="auto"/>
                <w:vertAlign w:val="superscript"/>
              </w:rPr>
              <w:t>(8), (10), (11)</w:t>
            </w:r>
          </w:p>
        </w:tc>
        <w:tc>
          <w:tcPr>
            <w:tcW w:w="1140" w:type="dxa"/>
            <w:vAlign w:val="bottom"/>
            <w:shd w:val="clear" w:color="auto" w:fill="CCECFF"/>
          </w:tcPr>
          <w:p>
            <w:pPr>
              <w:ind w:left="220"/>
              <w:spacing w:after="0"/>
              <w:rPr>
                <w:sz w:val="20"/>
                <w:szCs w:val="20"/>
                <w:color w:val="auto"/>
              </w:rPr>
            </w:pPr>
            <w:r>
              <w:rPr>
                <w:rFonts w:ascii="Arial" w:cs="Arial" w:eastAsia="Arial" w:hAnsi="Arial"/>
                <w:sz w:val="12"/>
                <w:szCs w:val="12"/>
                <w:color w:val="auto"/>
              </w:rPr>
              <w:t>03/13/2024</w:t>
            </w:r>
          </w:p>
        </w:tc>
        <w:tc>
          <w:tcPr>
            <w:tcW w:w="248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6.55%</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39,051,600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36,513,484</w:t>
            </w:r>
          </w:p>
        </w:tc>
        <w:tc>
          <w:tcPr>
            <w:tcW w:w="100" w:type="dxa"/>
            <w:vAlign w:val="bottom"/>
            <w:shd w:val="clear" w:color="auto" w:fill="CCECFF"/>
          </w:tcPr>
          <w:p>
            <w:pPr>
              <w:spacing w:after="0"/>
              <w:rPr>
                <w:sz w:val="12"/>
                <w:szCs w:val="12"/>
                <w:color w:val="auto"/>
              </w:rPr>
            </w:pPr>
          </w:p>
        </w:tc>
      </w:tr>
      <w:tr>
        <w:trPr>
          <w:trHeight w:val="148"/>
        </w:trPr>
        <w:tc>
          <w:tcPr>
            <w:tcW w:w="2740" w:type="dxa"/>
            <w:vAlign w:val="bottom"/>
          </w:tcPr>
          <w:p>
            <w:pPr>
              <w:spacing w:after="0"/>
              <w:rPr>
                <w:sz w:val="20"/>
                <w:szCs w:val="20"/>
                <w:color w:val="auto"/>
              </w:rPr>
            </w:pPr>
            <w:r>
              <w:rPr>
                <w:rFonts w:ascii="Arial" w:cs="Arial" w:eastAsia="Arial" w:hAnsi="Arial"/>
                <w:sz w:val="12"/>
                <w:szCs w:val="12"/>
                <w:color w:val="auto"/>
              </w:rPr>
              <w:t>RAM Energy LLC</w:t>
            </w:r>
          </w:p>
        </w:tc>
        <w:tc>
          <w:tcPr>
            <w:tcW w:w="1140" w:type="dxa"/>
            <w:vAlign w:val="bottom"/>
          </w:tcPr>
          <w:p>
            <w:pPr>
              <w:ind w:left="220"/>
              <w:spacing w:after="0"/>
              <w:rPr>
                <w:sz w:val="20"/>
                <w:szCs w:val="20"/>
                <w:color w:val="auto"/>
              </w:rPr>
            </w:pPr>
            <w:r>
              <w:rPr>
                <w:rFonts w:ascii="Arial" w:cs="Arial" w:eastAsia="Arial" w:hAnsi="Arial"/>
                <w:sz w:val="12"/>
                <w:szCs w:val="12"/>
                <w:color w:val="auto"/>
              </w:rPr>
              <w:t>07/01/2022</w:t>
            </w:r>
          </w:p>
        </w:tc>
        <w:tc>
          <w:tcPr>
            <w:tcW w:w="248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8.00%</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tcPr>
          <w:p>
            <w:pPr>
              <w:spacing w:after="0"/>
              <w:rPr>
                <w:sz w:val="12"/>
                <w:szCs w:val="12"/>
                <w:color w:val="auto"/>
              </w:rPr>
            </w:pPr>
          </w:p>
        </w:tc>
      </w:tr>
      <w:tr>
        <w:trPr>
          <w:trHeight w:val="148"/>
        </w:trPr>
        <w:tc>
          <w:tcPr>
            <w:tcW w:w="2740" w:type="dxa"/>
            <w:vAlign w:val="bottom"/>
            <w:shd w:val="clear" w:color="auto" w:fill="CCECFF"/>
          </w:tcPr>
          <w:p>
            <w:pPr>
              <w:spacing w:after="0"/>
              <w:rPr>
                <w:sz w:val="20"/>
                <w:szCs w:val="20"/>
                <w:color w:val="auto"/>
              </w:rPr>
            </w:pPr>
            <w:r>
              <w:rPr>
                <w:rFonts w:ascii="Arial" w:cs="Arial" w:eastAsia="Arial" w:hAnsi="Arial"/>
                <w:sz w:val="12"/>
                <w:szCs w:val="12"/>
                <w:color w:val="auto"/>
              </w:rPr>
              <w:t>RAM Energy LLC (Revolver)</w:t>
            </w:r>
          </w:p>
        </w:tc>
        <w:tc>
          <w:tcPr>
            <w:tcW w:w="1140" w:type="dxa"/>
            <w:vAlign w:val="bottom"/>
            <w:shd w:val="clear" w:color="auto" w:fill="CCECFF"/>
          </w:tcPr>
          <w:p>
            <w:pPr>
              <w:ind w:left="220"/>
              <w:spacing w:after="0"/>
              <w:rPr>
                <w:sz w:val="20"/>
                <w:szCs w:val="20"/>
                <w:color w:val="auto"/>
              </w:rPr>
            </w:pPr>
            <w:r>
              <w:rPr>
                <w:rFonts w:ascii="Arial" w:cs="Arial" w:eastAsia="Arial" w:hAnsi="Arial"/>
                <w:sz w:val="12"/>
                <w:szCs w:val="12"/>
                <w:color w:val="auto"/>
              </w:rPr>
              <w:t>07/01/2022</w:t>
            </w:r>
          </w:p>
        </w:tc>
        <w:tc>
          <w:tcPr>
            <w:tcW w:w="248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8.00%</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100" w:type="dxa"/>
            <w:vAlign w:val="bottom"/>
            <w:shd w:val="clear" w:color="auto" w:fill="CCECFF"/>
          </w:tcPr>
          <w:p>
            <w:pPr>
              <w:spacing w:after="0"/>
              <w:rPr>
                <w:sz w:val="12"/>
                <w:szCs w:val="12"/>
                <w:color w:val="auto"/>
              </w:rPr>
            </w:pPr>
          </w:p>
        </w:tc>
      </w:tr>
      <w:tr>
        <w:trPr>
          <w:trHeight w:val="148"/>
        </w:trPr>
        <w:tc>
          <w:tcPr>
            <w:tcW w:w="2740" w:type="dxa"/>
            <w:vAlign w:val="bottom"/>
          </w:tcPr>
          <w:p>
            <w:pPr>
              <w:spacing w:after="0" w:line="149" w:lineRule="exact"/>
              <w:rPr>
                <w:sz w:val="20"/>
                <w:szCs w:val="20"/>
                <w:color w:val="auto"/>
              </w:rPr>
            </w:pPr>
            <w:r>
              <w:rPr>
                <w:rFonts w:ascii="Arial" w:cs="Arial" w:eastAsia="Arial" w:hAnsi="Arial"/>
                <w:sz w:val="11"/>
                <w:szCs w:val="11"/>
                <w:color w:val="auto"/>
              </w:rPr>
              <w:t xml:space="preserve">RAM Energy LLC (Revolver) </w:t>
            </w:r>
            <w:r>
              <w:rPr>
                <w:rFonts w:ascii="Arial" w:cs="Arial" w:eastAsia="Arial" w:hAnsi="Arial"/>
                <w:sz w:val="17"/>
                <w:szCs w:val="17"/>
                <w:color w:val="auto"/>
                <w:vertAlign w:val="superscript"/>
              </w:rPr>
              <w:t>(7)</w:t>
            </w:r>
          </w:p>
        </w:tc>
        <w:tc>
          <w:tcPr>
            <w:tcW w:w="1140" w:type="dxa"/>
            <w:vAlign w:val="bottom"/>
          </w:tcPr>
          <w:p>
            <w:pPr>
              <w:ind w:left="220"/>
              <w:spacing w:after="0"/>
              <w:rPr>
                <w:sz w:val="20"/>
                <w:szCs w:val="20"/>
                <w:color w:val="auto"/>
              </w:rPr>
            </w:pPr>
            <w:r>
              <w:rPr>
                <w:rFonts w:ascii="Arial" w:cs="Arial" w:eastAsia="Arial" w:hAnsi="Arial"/>
                <w:sz w:val="12"/>
                <w:szCs w:val="12"/>
                <w:color w:val="auto"/>
              </w:rPr>
              <w:t>07/01/2022</w:t>
            </w:r>
          </w:p>
        </w:tc>
        <w:tc>
          <w:tcPr>
            <w:tcW w:w="248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7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1140" w:type="dxa"/>
            <w:vAlign w:val="bottom"/>
            <w:shd w:val="clear" w:color="auto" w:fill="CCECFF"/>
          </w:tcPr>
          <w:p>
            <w:pPr>
              <w:ind w:left="220"/>
              <w:spacing w:after="0"/>
              <w:rPr>
                <w:sz w:val="20"/>
                <w:szCs w:val="20"/>
                <w:color w:val="auto"/>
              </w:rPr>
            </w:pPr>
            <w:r>
              <w:rPr>
                <w:rFonts w:ascii="Arial" w:cs="Arial" w:eastAsia="Arial" w:hAnsi="Arial"/>
                <w:sz w:val="12"/>
                <w:szCs w:val="12"/>
                <w:color w:val="auto"/>
              </w:rPr>
              <w:t>12/31/2018</w:t>
            </w:r>
          </w:p>
        </w:tc>
        <w:tc>
          <w:tcPr>
            <w:tcW w:w="248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7.84%</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23,208,601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22,749,435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17,220,000</w:t>
            </w:r>
          </w:p>
        </w:tc>
        <w:tc>
          <w:tcPr>
            <w:tcW w:w="100" w:type="dxa"/>
            <w:vAlign w:val="bottom"/>
            <w:shd w:val="clear" w:color="auto" w:fill="CCECFF"/>
          </w:tcPr>
          <w:p>
            <w:pPr>
              <w:spacing w:after="0"/>
              <w:rPr>
                <w:sz w:val="12"/>
                <w:szCs w:val="12"/>
                <w:color w:val="auto"/>
              </w:rPr>
            </w:pPr>
          </w:p>
        </w:tc>
      </w:tr>
      <w:tr>
        <w:trPr>
          <w:trHeight w:val="148"/>
        </w:trPr>
        <w:tc>
          <w:tcPr>
            <w:tcW w:w="2740" w:type="dxa"/>
            <w:vAlign w:val="bottom"/>
            <w:tcBorders>
              <w:bottom w:val="single" w:sz="8" w:color="CCECFF"/>
            </w:tcBorders>
          </w:tcPr>
          <w:p>
            <w:pPr>
              <w:spacing w:after="0"/>
              <w:rPr>
                <w:sz w:val="12"/>
                <w:szCs w:val="12"/>
                <w:color w:val="auto"/>
              </w:rPr>
            </w:pPr>
          </w:p>
        </w:tc>
        <w:tc>
          <w:tcPr>
            <w:tcW w:w="114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(PIK 7.84%)</w:t>
            </w:r>
          </w:p>
        </w:tc>
        <w:tc>
          <w:tcPr>
            <w:tcW w:w="8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27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4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106,801,035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98,733,484</w:t>
            </w:r>
          </w:p>
        </w:tc>
        <w:tc>
          <w:tcPr>
            <w:tcW w:w="100" w:type="dxa"/>
            <w:vAlign w:val="bottom"/>
            <w:shd w:val="clear" w:color="auto" w:fill="CCECFF"/>
          </w:tcPr>
          <w:p>
            <w:pPr>
              <w:spacing w:after="0"/>
              <w:rPr>
                <w:sz w:val="12"/>
                <w:szCs w:val="12"/>
                <w:color w:val="auto"/>
              </w:rPr>
            </w:pPr>
          </w:p>
        </w:tc>
      </w:tr>
      <w:tr>
        <w:trPr>
          <w:trHeight w:val="142"/>
        </w:trPr>
        <w:tc>
          <w:tcPr>
            <w:tcW w:w="2740" w:type="dxa"/>
            <w:vAlign w:val="bottom"/>
          </w:tcPr>
          <w:p>
            <w:pPr>
              <w:spacing w:after="0" w:line="142" w:lineRule="exact"/>
              <w:rPr>
                <w:sz w:val="20"/>
                <w:szCs w:val="20"/>
                <w:color w:val="auto"/>
              </w:rPr>
            </w:pPr>
            <w:r>
              <w:rPr>
                <w:rFonts w:ascii="Arial" w:cs="Arial" w:eastAsia="Arial" w:hAnsi="Arial"/>
                <w:sz w:val="10"/>
                <w:szCs w:val="10"/>
                <w:b w:val="1"/>
                <w:bCs w:val="1"/>
                <w:color w:val="auto"/>
              </w:rPr>
              <w:t xml:space="preserve">Preferred Equity—1.9% </w:t>
            </w:r>
            <w:r>
              <w:rPr>
                <w:rFonts w:ascii="Arial" w:cs="Arial" w:eastAsia="Arial" w:hAnsi="Arial"/>
                <w:sz w:val="16"/>
                <w:szCs w:val="16"/>
                <w:b w:val="1"/>
                <w:bCs w:val="1"/>
                <w:color w:val="auto"/>
                <w:vertAlign w:val="superscript"/>
              </w:rPr>
              <w:t>(6)</w:t>
            </w:r>
          </w:p>
        </w:tc>
        <w:tc>
          <w:tcPr>
            <w:tcW w:w="1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140" w:type="dxa"/>
            <w:vAlign w:val="bottom"/>
            <w:shd w:val="clear" w:color="auto" w:fill="CCECFF"/>
          </w:tcPr>
          <w:p>
            <w:pPr>
              <w:ind w:left="480"/>
              <w:spacing w:after="0"/>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153,922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15,392,189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12,099,647</w:t>
            </w:r>
          </w:p>
        </w:tc>
        <w:tc>
          <w:tcPr>
            <w:tcW w:w="100" w:type="dxa"/>
            <w:vAlign w:val="bottom"/>
            <w:shd w:val="clear" w:color="auto" w:fill="CCECFF"/>
          </w:tcPr>
          <w:p>
            <w:pPr>
              <w:spacing w:after="0"/>
              <w:rPr>
                <w:sz w:val="12"/>
                <w:szCs w:val="12"/>
                <w:color w:val="auto"/>
              </w:rPr>
            </w:pPr>
          </w:p>
        </w:tc>
      </w:tr>
      <w:tr>
        <w:trPr>
          <w:trHeight w:val="148"/>
        </w:trPr>
        <w:tc>
          <w:tcPr>
            <w:tcW w:w="274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140" w:type="dxa"/>
            <w:vAlign w:val="bottom"/>
          </w:tcPr>
          <w:p>
            <w:pPr>
              <w:ind w:left="480"/>
              <w:spacing w:after="0"/>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873,289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30,011,026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27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140" w:type="dxa"/>
            <w:vAlign w:val="bottom"/>
            <w:tcBorders>
              <w:top w:val="single" w:sz="8" w:color="CCECFF"/>
            </w:tcBorders>
            <w:shd w:val="clear" w:color="auto" w:fill="CCECFF"/>
          </w:tcPr>
          <w:p>
            <w:pPr>
              <w:spacing w:after="0"/>
              <w:rPr>
                <w:sz w:val="12"/>
                <w:szCs w:val="12"/>
                <w:color w:val="auto"/>
              </w:rPr>
            </w:pPr>
          </w:p>
        </w:tc>
        <w:tc>
          <w:tcPr>
            <w:tcW w:w="23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5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45,403,215</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12,099,647</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2740" w:type="dxa"/>
            <w:vAlign w:val="bottom"/>
          </w:tcPr>
          <w:p>
            <w:pPr>
              <w:spacing w:after="0" w:line="142" w:lineRule="exact"/>
              <w:rPr>
                <w:sz w:val="20"/>
                <w:szCs w:val="20"/>
                <w:color w:val="auto"/>
              </w:rPr>
            </w:pPr>
            <w:r>
              <w:rPr>
                <w:rFonts w:ascii="Arial" w:cs="Arial" w:eastAsia="Arial" w:hAnsi="Arial"/>
                <w:sz w:val="10"/>
                <w:szCs w:val="10"/>
                <w:b w:val="1"/>
                <w:bCs w:val="1"/>
                <w:color w:val="auto"/>
              </w:rPr>
              <w:t xml:space="preserve">Common Equity—6.0% </w:t>
            </w:r>
            <w:r>
              <w:rPr>
                <w:rFonts w:ascii="Arial" w:cs="Arial" w:eastAsia="Arial" w:hAnsi="Arial"/>
                <w:sz w:val="16"/>
                <w:szCs w:val="16"/>
                <w:b w:val="1"/>
                <w:bCs w:val="1"/>
                <w:color w:val="auto"/>
                <w:vertAlign w:val="superscript"/>
              </w:rPr>
              <w:t>(6)</w:t>
            </w:r>
          </w:p>
        </w:tc>
        <w:tc>
          <w:tcPr>
            <w:tcW w:w="1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17"/>
                <w:szCs w:val="17"/>
                <w:color w:val="auto"/>
                <w:vertAlign w:val="superscript"/>
              </w:rPr>
              <w:t>(8), (10), (11)</w:t>
            </w:r>
          </w:p>
        </w:tc>
        <w:tc>
          <w:tcPr>
            <w:tcW w:w="1140" w:type="dxa"/>
            <w:vAlign w:val="bottom"/>
            <w:shd w:val="clear" w:color="auto" w:fill="CCECFF"/>
          </w:tcPr>
          <w:p>
            <w:pPr>
              <w:ind w:left="480"/>
              <w:spacing w:after="0"/>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132,497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3,987,794</w:t>
            </w:r>
          </w:p>
        </w:tc>
        <w:tc>
          <w:tcPr>
            <w:tcW w:w="100" w:type="dxa"/>
            <w:vAlign w:val="bottom"/>
            <w:shd w:val="clear" w:color="auto" w:fill="CCECFF"/>
          </w:tcPr>
          <w:p>
            <w:pPr>
              <w:spacing w:after="0"/>
              <w:rPr>
                <w:sz w:val="12"/>
                <w:szCs w:val="12"/>
                <w:color w:val="auto"/>
              </w:rPr>
            </w:pPr>
          </w:p>
        </w:tc>
      </w:tr>
      <w:tr>
        <w:trPr>
          <w:trHeight w:val="148"/>
        </w:trPr>
        <w:tc>
          <w:tcPr>
            <w:tcW w:w="2740" w:type="dxa"/>
            <w:vAlign w:val="bottom"/>
          </w:tcPr>
          <w:p>
            <w:pPr>
              <w:spacing w:after="0"/>
              <w:rPr>
                <w:sz w:val="20"/>
                <w:szCs w:val="20"/>
                <w:color w:val="auto"/>
              </w:rPr>
            </w:pPr>
            <w:r>
              <w:rPr>
                <w:rFonts w:ascii="Arial" w:cs="Arial" w:eastAsia="Arial" w:hAnsi="Arial"/>
                <w:sz w:val="12"/>
                <w:szCs w:val="12"/>
                <w:color w:val="auto"/>
              </w:rPr>
              <w:t>MidOcean JF Holdings Corp.</w:t>
            </w:r>
          </w:p>
        </w:tc>
        <w:tc>
          <w:tcPr>
            <w:tcW w:w="1140" w:type="dxa"/>
            <w:vAlign w:val="bottom"/>
          </w:tcPr>
          <w:p>
            <w:pPr>
              <w:ind w:left="480"/>
              <w:spacing w:after="0"/>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28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740" w:type="dxa"/>
            <w:vAlign w:val="bottom"/>
            <w:shd w:val="clear" w:color="auto" w:fill="CCECFF"/>
          </w:tcPr>
          <w:p>
            <w:pPr>
              <w:spacing w:after="0"/>
              <w:rPr>
                <w:sz w:val="20"/>
                <w:szCs w:val="20"/>
                <w:color w:val="auto"/>
              </w:rPr>
            </w:pPr>
            <w:r>
              <w:rPr>
                <w:rFonts w:ascii="Arial" w:cs="Arial" w:eastAsia="Arial" w:hAnsi="Arial"/>
                <w:sz w:val="12"/>
                <w:szCs w:val="12"/>
                <w:color w:val="auto"/>
              </w:rPr>
              <w:t>RAM Energy Holdings LLC</w:t>
            </w:r>
          </w:p>
        </w:tc>
        <w:tc>
          <w:tcPr>
            <w:tcW w:w="1140" w:type="dxa"/>
            <w:vAlign w:val="bottom"/>
            <w:shd w:val="clear" w:color="auto" w:fill="CCECFF"/>
          </w:tcPr>
          <w:p>
            <w:pPr>
              <w:ind w:left="480"/>
              <w:spacing w:after="0"/>
              <w:rPr>
                <w:sz w:val="20"/>
                <w:szCs w:val="20"/>
                <w:color w:val="auto"/>
              </w:rPr>
            </w:pPr>
            <w:r>
              <w:rPr>
                <w:rFonts w:ascii="Arial" w:cs="Arial" w:eastAsia="Arial" w:hAnsi="Arial"/>
                <w:sz w:val="12"/>
                <w:szCs w:val="12"/>
                <w:color w:val="auto"/>
              </w:rPr>
              <w:t>—</w:t>
            </w:r>
          </w:p>
        </w:tc>
        <w:tc>
          <w:tcPr>
            <w:tcW w:w="248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33,914,960</w:t>
            </w:r>
          </w:p>
        </w:tc>
        <w:tc>
          <w:tcPr>
            <w:tcW w:w="100" w:type="dxa"/>
            <w:vAlign w:val="bottom"/>
            <w:shd w:val="clear" w:color="auto" w:fill="CCECFF"/>
          </w:tcPr>
          <w:p>
            <w:pPr>
              <w:spacing w:after="0"/>
              <w:rPr>
                <w:sz w:val="12"/>
                <w:szCs w:val="12"/>
                <w:color w:val="auto"/>
              </w:rPr>
            </w:pPr>
          </w:p>
        </w:tc>
      </w:tr>
      <w:tr>
        <w:trPr>
          <w:trHeight w:val="148"/>
        </w:trPr>
        <w:tc>
          <w:tcPr>
            <w:tcW w:w="274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140" w:type="dxa"/>
            <w:vAlign w:val="bottom"/>
          </w:tcPr>
          <w:p>
            <w:pPr>
              <w:ind w:left="480"/>
              <w:spacing w:after="0"/>
              <w:rPr>
                <w:sz w:val="20"/>
                <w:szCs w:val="20"/>
                <w:color w:val="auto"/>
              </w:rPr>
            </w:pPr>
            <w:r>
              <w:rPr>
                <w:rFonts w:ascii="Arial" w:cs="Arial" w:eastAsia="Arial" w:hAnsi="Arial"/>
                <w:sz w:val="12"/>
                <w:szCs w:val="12"/>
                <w:color w:val="auto"/>
              </w:rPr>
              <w:t>—</w:t>
            </w:r>
          </w:p>
        </w:tc>
        <w:tc>
          <w:tcPr>
            <w:tcW w:w="248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27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Common Equity</w:t>
            </w:r>
          </w:p>
        </w:tc>
        <w:tc>
          <w:tcPr>
            <w:tcW w:w="1140" w:type="dxa"/>
            <w:vAlign w:val="bottom"/>
            <w:tcBorders>
              <w:top w:val="single" w:sz="8" w:color="CCECFF"/>
            </w:tcBorders>
            <w:shd w:val="clear" w:color="auto" w:fill="CCECFF"/>
          </w:tcPr>
          <w:p>
            <w:pPr>
              <w:spacing w:after="0"/>
              <w:rPr>
                <w:sz w:val="12"/>
                <w:szCs w:val="12"/>
                <w:color w:val="auto"/>
              </w:rPr>
            </w:pPr>
          </w:p>
        </w:tc>
        <w:tc>
          <w:tcPr>
            <w:tcW w:w="23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5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103,370,067</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37,902,754</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88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3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255,574,317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148,735,885</w:t>
            </w:r>
          </w:p>
        </w:tc>
        <w:tc>
          <w:tcPr>
            <w:tcW w:w="100" w:type="dxa"/>
            <w:vAlign w:val="bottom"/>
            <w:tcBorders>
              <w:bottom w:val="single" w:sz="8" w:color="CCECFF"/>
            </w:tcBorders>
          </w:tcPr>
          <w:p>
            <w:pPr>
              <w:spacing w:after="0"/>
              <w:rPr>
                <w:sz w:val="12"/>
                <w:szCs w:val="12"/>
                <w:color w:val="auto"/>
              </w:rPr>
            </w:pPr>
          </w:p>
        </w:tc>
      </w:tr>
      <w:tr>
        <w:trPr>
          <w:trHeight w:val="142"/>
        </w:trPr>
        <w:tc>
          <w:tcPr>
            <w:tcW w:w="27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Investments—180.0%</w:t>
            </w:r>
          </w:p>
        </w:tc>
        <w:tc>
          <w:tcPr>
            <w:tcW w:w="114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8"/>
              </w:rPr>
              <w:t>1,243,816,175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8"/>
              </w:rPr>
              <w:t>1,132,085,474</w:t>
            </w:r>
          </w:p>
        </w:tc>
        <w:tc>
          <w:tcPr>
            <w:tcW w:w="100" w:type="dxa"/>
            <w:vAlign w:val="bottom"/>
            <w:shd w:val="clear" w:color="auto" w:fill="CCECFF"/>
          </w:tcPr>
          <w:p>
            <w:pPr>
              <w:spacing w:after="0"/>
              <w:rPr>
                <w:sz w:val="12"/>
                <w:szCs w:val="12"/>
                <w:color w:val="auto"/>
              </w:rPr>
            </w:pPr>
          </w:p>
        </w:tc>
      </w:tr>
      <w:tr>
        <w:trPr>
          <w:trHeight w:val="142"/>
        </w:trPr>
        <w:tc>
          <w:tcPr>
            <w:tcW w:w="2740" w:type="dxa"/>
            <w:vAlign w:val="bottom"/>
          </w:tcPr>
          <w:p>
            <w:pPr>
              <w:spacing w:after="0"/>
              <w:rPr>
                <w:sz w:val="20"/>
                <w:szCs w:val="20"/>
                <w:color w:val="auto"/>
              </w:rPr>
            </w:pPr>
            <w:r>
              <w:rPr>
                <w:rFonts w:ascii="Arial" w:cs="Arial" w:eastAsia="Arial" w:hAnsi="Arial"/>
                <w:sz w:val="12"/>
                <w:szCs w:val="12"/>
                <w:b w:val="1"/>
                <w:bCs w:val="1"/>
                <w:color w:val="auto"/>
              </w:rPr>
              <w:t>Cash and Cash Equivalents—3.1%</w:t>
            </w:r>
          </w:p>
        </w:tc>
        <w:tc>
          <w:tcPr>
            <w:tcW w:w="1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4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14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531,379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531,379</w:t>
            </w:r>
          </w:p>
        </w:tc>
        <w:tc>
          <w:tcPr>
            <w:tcW w:w="100" w:type="dxa"/>
            <w:vAlign w:val="bottom"/>
            <w:shd w:val="clear" w:color="auto" w:fill="CCECFF"/>
          </w:tcPr>
          <w:p>
            <w:pPr>
              <w:spacing w:after="0"/>
              <w:rPr>
                <w:sz w:val="12"/>
                <w:szCs w:val="12"/>
                <w:color w:val="auto"/>
              </w:rPr>
            </w:pPr>
          </w:p>
        </w:tc>
      </w:tr>
      <w:tr>
        <w:trPr>
          <w:trHeight w:val="148"/>
        </w:trPr>
        <w:tc>
          <w:tcPr>
            <w:tcW w:w="27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BNY Mellon Cash Reserve and Cash</w:t>
            </w:r>
          </w:p>
        </w:tc>
        <w:tc>
          <w:tcPr>
            <w:tcW w:w="114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19,012,246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18,974,775</w:t>
            </w:r>
          </w:p>
        </w:tc>
        <w:tc>
          <w:tcPr>
            <w:tcW w:w="100" w:type="dxa"/>
            <w:vAlign w:val="bottom"/>
            <w:tcBorders>
              <w:bottom w:val="single" w:sz="8" w:color="CCECFF"/>
            </w:tcBorders>
          </w:tcPr>
          <w:p>
            <w:pPr>
              <w:spacing w:after="0"/>
              <w:rPr>
                <w:sz w:val="12"/>
                <w:szCs w:val="12"/>
                <w:color w:val="auto"/>
              </w:rPr>
            </w:pPr>
          </w:p>
        </w:tc>
      </w:tr>
      <w:tr>
        <w:trPr>
          <w:trHeight w:val="142"/>
        </w:trPr>
        <w:tc>
          <w:tcPr>
            <w:tcW w:w="27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4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19,543,625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19,506,154</w:t>
            </w:r>
          </w:p>
        </w:tc>
        <w:tc>
          <w:tcPr>
            <w:tcW w:w="100" w:type="dxa"/>
            <w:vAlign w:val="bottom"/>
            <w:shd w:val="clear" w:color="auto" w:fill="CCECFF"/>
          </w:tcPr>
          <w:p>
            <w:pPr>
              <w:spacing w:after="0"/>
              <w:rPr>
                <w:sz w:val="12"/>
                <w:szCs w:val="12"/>
                <w:color w:val="auto"/>
              </w:rPr>
            </w:pPr>
          </w:p>
        </w:tc>
      </w:tr>
      <w:tr>
        <w:trPr>
          <w:trHeight w:val="182"/>
        </w:trPr>
        <w:tc>
          <w:tcPr>
            <w:tcW w:w="27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6"/>
              </w:rPr>
              <w:t>Total Investments and Cash Equivalents—183.1%</w:t>
            </w:r>
          </w:p>
        </w:tc>
        <w:tc>
          <w:tcPr>
            <w:tcW w:w="1140" w:type="dxa"/>
            <w:vAlign w:val="bottom"/>
            <w:tcBorders>
              <w:bottom w:val="single" w:sz="8" w:color="CCECFF"/>
            </w:tcBorders>
          </w:tcPr>
          <w:p>
            <w:pPr>
              <w:spacing w:after="0"/>
              <w:rPr>
                <w:sz w:val="15"/>
                <w:szCs w:val="15"/>
                <w:color w:val="auto"/>
              </w:rPr>
            </w:pPr>
          </w:p>
        </w:tc>
        <w:tc>
          <w:tcPr>
            <w:tcW w:w="236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60" w:type="dxa"/>
            <w:vAlign w:val="bottom"/>
            <w:tcBorders>
              <w:bottom w:val="single" w:sz="8" w:color="CCECFF"/>
            </w:tcBorders>
          </w:tcPr>
          <w:p>
            <w:pPr>
              <w:spacing w:after="0"/>
              <w:rPr>
                <w:sz w:val="15"/>
                <w:szCs w:val="15"/>
                <w:color w:val="auto"/>
              </w:rPr>
            </w:pPr>
          </w:p>
        </w:tc>
        <w:tc>
          <w:tcPr>
            <w:tcW w:w="300" w:type="dxa"/>
            <w:vAlign w:val="bottom"/>
            <w:tcBorders>
              <w:bottom w:val="single" w:sz="8" w:color="CCECFF"/>
            </w:tcBorders>
          </w:tcPr>
          <w:p>
            <w:pPr>
              <w:spacing w:after="0"/>
              <w:rPr>
                <w:sz w:val="15"/>
                <w:szCs w:val="15"/>
                <w:color w:val="auto"/>
              </w:rPr>
            </w:pPr>
          </w:p>
        </w:tc>
        <w:tc>
          <w:tcPr>
            <w:tcW w:w="86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CCECFF"/>
            </w:tcBorders>
          </w:tcPr>
          <w:p>
            <w:pPr>
              <w:spacing w:after="0"/>
              <w:rPr>
                <w:sz w:val="15"/>
                <w:szCs w:val="15"/>
                <w:color w:val="auto"/>
              </w:rPr>
            </w:pPr>
          </w:p>
        </w:tc>
        <w:tc>
          <w:tcPr>
            <w:tcW w:w="58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1,263,359,800</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1,151,591,628</w:t>
            </w:r>
          </w:p>
        </w:tc>
        <w:tc>
          <w:tcPr>
            <w:tcW w:w="100" w:type="dxa"/>
            <w:vAlign w:val="bottom"/>
            <w:tcBorders>
              <w:bottom w:val="single" w:sz="8" w:color="CCECFF"/>
            </w:tcBorders>
          </w:tcPr>
          <w:p>
            <w:pPr>
              <w:spacing w:after="0"/>
              <w:rPr>
                <w:sz w:val="15"/>
                <w:szCs w:val="15"/>
                <w:color w:val="auto"/>
              </w:rPr>
            </w:pPr>
          </w:p>
        </w:tc>
      </w:tr>
      <w:tr>
        <w:trPr>
          <w:trHeight w:val="129"/>
        </w:trPr>
        <w:tc>
          <w:tcPr>
            <w:tcW w:w="274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Assets—(83.1%)</w:t>
            </w:r>
          </w:p>
        </w:tc>
        <w:tc>
          <w:tcPr>
            <w:tcW w:w="114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8"/>
              </w:rPr>
              <w:t>(522,689,733)</w:t>
            </w:r>
          </w:p>
        </w:tc>
      </w:tr>
      <w:tr>
        <w:trPr>
          <w:trHeight w:val="148"/>
        </w:trPr>
        <w:tc>
          <w:tcPr>
            <w:tcW w:w="274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628,901,895</w:t>
            </w:r>
          </w:p>
        </w:tc>
        <w:tc>
          <w:tcPr>
            <w:tcW w:w="100" w:type="dxa"/>
            <w:vAlign w:val="bottom"/>
          </w:tcPr>
          <w:p>
            <w:pPr>
              <w:spacing w:after="0"/>
              <w:rPr>
                <w:sz w:val="12"/>
                <w:szCs w:val="12"/>
                <w:color w:val="auto"/>
              </w:rPr>
            </w:pPr>
          </w:p>
        </w:tc>
      </w:tr>
      <w:tr>
        <w:trPr>
          <w:trHeight w:val="20"/>
        </w:trPr>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76" w:lineRule="exact"/>
        <w:rPr>
          <w:sz w:val="20"/>
          <w:szCs w:val="20"/>
          <w:color w:val="auto"/>
        </w:rPr>
      </w:pPr>
    </w:p>
    <w:p>
      <w:pPr>
        <w:ind w:left="380" w:hanging="372"/>
        <w:spacing w:after="0" w:line="252" w:lineRule="auto"/>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52" w:lineRule="auto"/>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Par denominated in British Pounds (£) or in Euros (€) as denoted.</w:t>
      </w:r>
    </w:p>
    <w:p>
      <w:pPr>
        <w:spacing w:after="0" w:line="37" w:lineRule="exact"/>
        <w:rPr>
          <w:rFonts w:ascii="Arial" w:cs="Arial" w:eastAsia="Arial" w:hAnsi="Arial"/>
          <w:sz w:val="12"/>
          <w:szCs w:val="12"/>
          <w:color w:val="auto"/>
        </w:rPr>
      </w:pPr>
    </w:p>
    <w:p>
      <w:pPr>
        <w:ind w:left="380" w:right="20" w:hanging="372"/>
        <w:spacing w:after="0" w:line="294" w:lineRule="auto"/>
        <w:tabs>
          <w:tab w:leader="none" w:pos="3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2019</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27"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07" w:lineRule="exact"/>
        <w:rPr>
          <w:sz w:val="20"/>
          <w:szCs w:val="20"/>
          <w:color w:val="auto"/>
        </w:rPr>
      </w:pPr>
    </w:p>
    <w:p>
      <w:pPr>
        <w:jc w:val="both"/>
        <w:ind w:right="100" w:firstLine="438"/>
        <w:spacing w:after="0" w:line="233" w:lineRule="auto"/>
        <w:rPr>
          <w:sz w:val="20"/>
          <w:szCs w:val="20"/>
          <w:color w:val="auto"/>
        </w:rPr>
      </w:pPr>
      <w:r>
        <w:rPr>
          <w:rFonts w:ascii="Arial" w:cs="Arial" w:eastAsia="Arial" w:hAnsi="Arial"/>
          <w:sz w:val="14"/>
          <w:szCs w:val="14"/>
          <w:color w:val="auto"/>
        </w:rPr>
        <w:t>We have entered into the Investment Management Agreement with the Investment Adviser, an external adviser that manages our day-to-day operations. PennantPark Investment, through the Investment Adviser, manages day-to-day operations of and provides investment advisory services to SBIC II under a separate investment management agreement. We have also entered into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17"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 During the year ended September 30, 2019, we liquidated and dissolved SBIC I.</w:t>
      </w:r>
    </w:p>
    <w:p>
      <w:pPr>
        <w:spacing w:after="0" w:line="115"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 See Note 11.</w:t>
      </w:r>
    </w:p>
    <w:p>
      <w:pPr>
        <w:spacing w:after="0" w:line="94" w:lineRule="exact"/>
        <w:rPr>
          <w:sz w:val="20"/>
          <w:szCs w:val="20"/>
          <w:color w:val="auto"/>
        </w:rPr>
      </w:pPr>
    </w:p>
    <w:p>
      <w:pPr>
        <w:ind w:right="120" w:firstLine="438"/>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99"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620" w:hanging="369"/>
        <w:spacing w:after="0"/>
        <w:tabs>
          <w:tab w:leader="none" w:pos="620"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8"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20" w:right="20" w:hanging="359"/>
        <w:spacing w:after="0" w:line="253" w:lineRule="auto"/>
        <w:tabs>
          <w:tab w:leader="none" w:pos="9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ind w:left="920" w:right="60" w:hanging="359"/>
        <w:spacing w:after="0" w:line="264" w:lineRule="auto"/>
        <w:tabs>
          <w:tab w:leader="none" w:pos="9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20" w:hanging="359"/>
        <w:spacing w:after="0" w:line="238" w:lineRule="auto"/>
        <w:tabs>
          <w:tab w:leader="none" w:pos="9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59"/>
        <w:spacing w:after="0" w:line="253" w:lineRule="auto"/>
        <w:tabs>
          <w:tab w:leader="none" w:pos="9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2019</w:t>
      </w:r>
    </w:p>
    <w:p>
      <w:pPr>
        <w:spacing w:after="0" w:line="354"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4" w:lineRule="exact"/>
        <w:rPr>
          <w:sz w:val="20"/>
          <w:szCs w:val="20"/>
          <w:color w:val="auto"/>
        </w:rPr>
      </w:pPr>
    </w:p>
    <w:p>
      <w:pPr>
        <w:ind w:left="620" w:hanging="369"/>
        <w:spacing w:after="0"/>
        <w:tabs>
          <w:tab w:leader="none" w:pos="620" w:val="left"/>
        </w:tabs>
        <w:numPr>
          <w:ilvl w:val="0"/>
          <w:numId w:val="5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36"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Facilities and, prior to their redemption, the 2019 Notes during the reporting period, including any reversal of previously recorded unrealized appreciation or depreciation, when gains or losses are realized.</w:t>
      </w:r>
    </w:p>
    <w:p>
      <w:pPr>
        <w:spacing w:after="0" w:line="107"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ind w:right="32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September 30, 2019 and 2018, we had no portfolio companies on non-accrual.</w:t>
      </w:r>
    </w:p>
    <w:p>
      <w:pPr>
        <w:spacing w:after="0" w:line="104" w:lineRule="exact"/>
        <w:rPr>
          <w:sz w:val="20"/>
          <w:szCs w:val="20"/>
          <w:color w:val="auto"/>
        </w:rPr>
      </w:pPr>
    </w:p>
    <w:p>
      <w:pPr>
        <w:ind w:left="620" w:hanging="369"/>
        <w:spacing w:after="0"/>
        <w:tabs>
          <w:tab w:leader="none" w:pos="620" w:val="left"/>
        </w:tabs>
        <w:numPr>
          <w:ilvl w:val="0"/>
          <w:numId w:val="5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years ended September 30, 2019, 2018 and 2017, we recorded a provision for taxes of $1.2 million ($0.6 million of excise tax and $0.6 million of U.S. federal and state income taxes related to Taxable Subsidiaries), zero and $1.7 million ($0.5 million of excise tax and $1.2 million of U.S. federal and state income taxes related to Taxable Subsidiaries), respectively.</w:t>
      </w:r>
    </w:p>
    <w:p>
      <w:pPr>
        <w:spacing w:after="0" w:line="111" w:lineRule="exact"/>
        <w:rPr>
          <w:sz w:val="20"/>
          <w:szCs w:val="20"/>
          <w:color w:val="auto"/>
        </w:rPr>
      </w:pPr>
    </w:p>
    <w:p>
      <w:pPr>
        <w:ind w:right="2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September 30, 2019,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3"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7" w:lineRule="exact"/>
        <w:rPr>
          <w:sz w:val="20"/>
          <w:szCs w:val="20"/>
          <w:color w:val="auto"/>
        </w:rPr>
      </w:pPr>
    </w:p>
    <w:p>
      <w:pPr>
        <w:ind w:left="620" w:hanging="369"/>
        <w:spacing w:after="0"/>
        <w:tabs>
          <w:tab w:leader="none" w:pos="620" w:val="left"/>
        </w:tabs>
        <w:numPr>
          <w:ilvl w:val="0"/>
          <w:numId w:val="5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return of capital.</w:t>
      </w:r>
    </w:p>
    <w:p>
      <w:pPr>
        <w:spacing w:after="0" w:line="115"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620" w:hanging="369"/>
        <w:spacing w:after="0"/>
        <w:tabs>
          <w:tab w:leader="none" w:pos="620" w:val="left"/>
        </w:tabs>
        <w:numPr>
          <w:ilvl w:val="0"/>
          <w:numId w:val="5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23" w:lineRule="exact"/>
        <w:rPr>
          <w:sz w:val="20"/>
          <w:szCs w:val="20"/>
          <w:color w:val="auto"/>
        </w:rPr>
      </w:pPr>
    </w:p>
    <w:p>
      <w:pPr>
        <w:ind w:left="920" w:hanging="359"/>
        <w:spacing w:after="0"/>
        <w:tabs>
          <w:tab w:leader="none" w:pos="9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354"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02" w:lineRule="exact"/>
        <w:rPr>
          <w:sz w:val="20"/>
          <w:szCs w:val="20"/>
          <w:color w:val="auto"/>
        </w:rPr>
      </w:pPr>
    </w:p>
    <w:p>
      <w:pPr>
        <w:ind w:left="1040" w:hanging="784"/>
        <w:spacing w:after="0"/>
        <w:tabs>
          <w:tab w:leader="none" w:pos="1040" w:val="left"/>
        </w:tabs>
        <w:numPr>
          <w:ilvl w:val="0"/>
          <w:numId w:val="6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Funding I and our Taxable Subsidiaries in our Consolidated Financial Statements.</w:t>
      </w:r>
    </w:p>
    <w:p>
      <w:pPr>
        <w:spacing w:after="0" w:line="115" w:lineRule="exact"/>
        <w:rPr>
          <w:sz w:val="20"/>
          <w:szCs w:val="20"/>
          <w:color w:val="auto"/>
        </w:rPr>
      </w:pPr>
    </w:p>
    <w:p>
      <w:pPr>
        <w:ind w:left="1080" w:hanging="824"/>
        <w:spacing w:after="0"/>
        <w:tabs>
          <w:tab w:leader="none" w:pos="1080" w:val="left"/>
        </w:tabs>
        <w:numPr>
          <w:ilvl w:val="0"/>
          <w:numId w:val="6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August 2018, the FASB issued Accounting Standards Update, or ASU, 2018-13, Fair Value Measurement (Topic 820): Disclosure Framework - Changes to the Disclosure Requirements for Fair Value Measurement, or ASU 2018-13, which changed the fair value measurement disclosure requirements of ASC Topic 820, Fair Value Measurements and Disclosures, or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6"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 xml:space="preserve">In August 2018, the SEC issued Securities Act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or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they are reflected in the Company’s consolidated financial statements and related disclosures. Certain prior year information has been adjusted to conform to these amendments.</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 xml:space="preserve">In March 2019, the SEC issued the Final Rule Release No. 33-10618, </w:t>
      </w:r>
      <w:r>
        <w:rPr>
          <w:rFonts w:ascii="Arial" w:cs="Arial" w:eastAsia="Arial" w:hAnsi="Arial"/>
          <w:sz w:val="14"/>
          <w:szCs w:val="14"/>
          <w:i w:val="1"/>
          <w:iCs w:val="1"/>
          <w:color w:val="auto"/>
        </w:rPr>
        <w:t>FAST Act Modernization and Simplification of Regulation S-K</w:t>
      </w:r>
      <w:r>
        <w:rPr>
          <w:rFonts w:ascii="Arial" w:cs="Arial" w:eastAsia="Arial" w:hAnsi="Arial"/>
          <w:sz w:val="14"/>
          <w:szCs w:val="14"/>
          <w:color w:val="auto"/>
        </w:rPr>
        <w:t>, which amends certain SEC disclosure requirements. The amendments are intended to simplify certain disclosure requirements and to provide for a consistent set of rules to govern incorporating information by reference and hyperlinking, improve readability and navigability of disclosure documents, and discourage repetition and disclosure of immaterial information. The amendments are effective for all filings submitted on or after May 2, 2019. We adopted these amendments as currently required and they are reflected in the Company’s consolidated financial statements and related disclosures. Certain prior year information has been adjusted to conform to these amendments.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Under the Investment Management Agreement,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17" w:lineRule="exact"/>
        <w:rPr>
          <w:sz w:val="20"/>
          <w:szCs w:val="20"/>
          <w:color w:val="auto"/>
        </w:rPr>
      </w:pPr>
    </w:p>
    <w:p>
      <w:pPr>
        <w:ind w:right="20" w:firstLine="438"/>
        <w:spacing w:after="0" w:line="242" w:lineRule="auto"/>
        <w:rPr>
          <w:sz w:val="20"/>
          <w:szCs w:val="20"/>
          <w:color w:val="auto"/>
        </w:rPr>
      </w:pPr>
      <w:r>
        <w:rPr>
          <w:rFonts w:ascii="Arial" w:cs="Arial" w:eastAsia="Arial" w:hAnsi="Arial"/>
          <w:sz w:val="13"/>
          <w:szCs w:val="13"/>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 under the 1940 Act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years ended September 30, 2019, 2018 and 2017, the Investment Adviser earned base management fees of $18.2 million, $16.5 million (after a waiver of $0.9 million) and $20.3 million (after a waiver of $3.9 million), respectively, from us.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w:t>
      </w:r>
    </w:p>
    <w:p>
      <w:pPr>
        <w:spacing w:after="0" w:line="6"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no incentive fee in any calendar quarter in which our Pre-Incentive Fee Net Investment Income did not exceed the hurdle rate of 1.75%, (2) 100% of our Pre-Incentive Fee Net Investment</w:t>
      </w:r>
    </w:p>
    <w:p>
      <w:pPr>
        <w:ind w:right="80"/>
        <w:spacing w:after="0" w:line="232" w:lineRule="auto"/>
        <w:rPr>
          <w:rFonts w:ascii="Arial" w:cs="Arial" w:eastAsia="Arial" w:hAnsi="Arial"/>
          <w:sz w:val="13"/>
          <w:szCs w:val="13"/>
          <w:color w:val="auto"/>
        </w:rPr>
      </w:pPr>
      <w:r>
        <w:rPr>
          <w:rFonts w:ascii="Arial" w:cs="Arial" w:eastAsia="Arial" w:hAnsi="Arial"/>
          <w:sz w:val="14"/>
          <w:szCs w:val="14"/>
          <w:color w:val="auto"/>
        </w:rPr>
        <w:t>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2019</w:t>
      </w:r>
    </w:p>
    <w:p>
      <w:pPr>
        <w:spacing w:after="0" w:line="205" w:lineRule="exact"/>
        <w:rPr>
          <w:sz w:val="20"/>
          <w:szCs w:val="20"/>
          <w:color w:val="auto"/>
        </w:rPr>
      </w:pPr>
    </w:p>
    <w:p>
      <w:pPr>
        <w:jc w:val="both"/>
        <w:ind w:right="200"/>
        <w:spacing w:after="0" w:line="238" w:lineRule="auto"/>
        <w:rPr>
          <w:sz w:val="20"/>
          <w:szCs w:val="20"/>
          <w:color w:val="auto"/>
        </w:rPr>
      </w:pPr>
      <w:r>
        <w:rPr>
          <w:rFonts w:ascii="Arial" w:cs="Arial" w:eastAsia="Arial" w:hAnsi="Arial"/>
          <w:sz w:val="14"/>
          <w:szCs w:val="14"/>
          <w:color w:val="auto"/>
        </w:rPr>
        <w:t>Adviser voluntarily agreed, in consultation with the board of directors, to irrevocably waive 16% of incentive fees, correlated to our 16% energy cost exposure (oil &amp; gas and energy &amp; utilities industries) at cost as of December 31, 2015. For the years ended September 30, 2019, 2018 and 2017, the Investment Adviser earned $5.1 million, $11.0 million (after a waiver of $0.5 million) and $9.3 million (after a waiver of $1.8 million), respectively, in incentive fees on net investment income from us.</w:t>
      </w:r>
    </w:p>
    <w:p>
      <w:pPr>
        <w:spacing w:after="0" w:line="115"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2019, 2018 and 2017, the Investment Adviser did not accrue an incentive fee on capital gains as calculated under the Investment Management Agreement (as described above).</w:t>
      </w:r>
    </w:p>
    <w:p>
      <w:pPr>
        <w:spacing w:after="0" w:line="116" w:lineRule="exact"/>
        <w:rPr>
          <w:sz w:val="20"/>
          <w:szCs w:val="20"/>
          <w:color w:val="auto"/>
        </w:rPr>
      </w:pPr>
    </w:p>
    <w:p>
      <w:pPr>
        <w:ind w:right="100" w:firstLine="438"/>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2019, 2018 and 2017, the Investment Adviser did not accrue an incentive fee on capital gains as calculated under GAAP.</w:t>
      </w:r>
    </w:p>
    <w:p>
      <w:pPr>
        <w:spacing w:after="0" w:line="118"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2019.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2019, 2018 and 2017, we reimbursed the Investment Adviser approximately $1.8 million, $2.0 million and $2.5 million, respectively, including expenses the Investment Adviser incurred on behalf of the Administrator, for services described above.</w:t>
      </w:r>
    </w:p>
    <w:p>
      <w:pPr>
        <w:spacing w:after="0" w:line="102"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There were no transactions in accordance with Rule 17a-7 of the 1940 Act during the years ended September 30, 2019 and 2018. For the year ended September 30, 2017, the Company purchased $5.0 million from and sold $45.6 million in total investments to affiliated funds managed by our Investment Adviser in accordance with, and pursuant to procedures adopted under, Rule 17a-7 of the 1940 Act. Realized gains on those sales amounted to $1.1 million.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jc w:val="both"/>
        <w:ind w:right="240" w:firstLine="438"/>
        <w:spacing w:after="0" w:line="253" w:lineRule="auto"/>
        <w:rPr>
          <w:sz w:val="20"/>
          <w:szCs w:val="20"/>
          <w:color w:val="auto"/>
        </w:rPr>
      </w:pPr>
      <w:r>
        <w:rPr>
          <w:rFonts w:ascii="Arial" w:cs="Arial" w:eastAsia="Arial" w:hAnsi="Arial"/>
          <w:sz w:val="14"/>
          <w:szCs w:val="14"/>
          <w:color w:val="auto"/>
        </w:rPr>
        <w:t>Purchases of investments, including PIK interest, for the years ended September 30, 2019, 2018 and 2017 totaled $545.6 million, $616.1 million and $529.5 million, respectively. Sales and repayments of investments for the same periods totaled $426.5 million, $630.5 million and $544.0 million, respectively.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right"/>
              <w:ind w:right="948"/>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697,120,114</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695,280,815</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536,875,632</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531,422,088</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269,204,159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269,310,647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385,201,277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391,038,029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61,522,066</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61,187,670</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48,617,113</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48,127,586</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229,176,376</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193,653,664</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273,122,153</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161,497,771</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1,257,022,715</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1,219,432,796</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1,243,816,175</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1,132,085,474</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59,546,438</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59,516,236</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19,543,625</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19,506,154</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1,316,569,153</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1,278,949,032</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1,263,359,800</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1,151,591,628</w:t>
            </w:r>
          </w:p>
        </w:tc>
        <w:tc>
          <w:tcPr>
            <w:tcW w:w="12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64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05"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4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2019</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CCECFF"/>
            </w:tcBorders>
          </w:tcPr>
          <w:p>
            <w:pPr>
              <w:spacing w:after="0"/>
              <w:rPr>
                <w:sz w:val="14"/>
                <w:szCs w:val="14"/>
                <w:color w:val="auto"/>
              </w:rPr>
            </w:pPr>
          </w:p>
        </w:tc>
      </w:tr>
      <w:tr>
        <w:trPr>
          <w:trHeight w:val="155"/>
        </w:trPr>
        <w:tc>
          <w:tcPr>
            <w:tcW w:w="62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16%</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15%</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Energy and Utilities</w:t>
            </w:r>
          </w:p>
        </w:tc>
        <w:tc>
          <w:tcPr>
            <w:tcW w:w="2140" w:type="dxa"/>
            <w:vAlign w:val="bottom"/>
          </w:tcPr>
          <w:p>
            <w:pPr>
              <w:jc w:val="right"/>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Auto Sector</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Chemicals, Plastics and Rubber</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Environmental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Printing and Publishing</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Manufacturing / Basic Industries</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2"/>
                <w:szCs w:val="12"/>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Personal, Food and Miscellaneous Services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Transportation</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Electronics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Financial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Home and Office Furnishings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Hotels, Motels, Inns and Gaming</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Oil and Gas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Other Media</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Other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CCECFF"/>
            </w:tcBorders>
          </w:tcPr>
          <w:p>
            <w:pPr>
              <w:spacing w:after="0"/>
              <w:rPr>
                <w:sz w:val="14"/>
                <w:szCs w:val="14"/>
                <w:color w:val="auto"/>
              </w:rPr>
            </w:pPr>
          </w:p>
        </w:tc>
      </w:tr>
      <w:tr>
        <w:trPr>
          <w:trHeight w:val="156"/>
        </w:trPr>
        <w:tc>
          <w:tcPr>
            <w:tcW w:w="64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100%</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62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6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03"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years ended September 30, 2019, 2018 and 2017.</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354" w:lineRule="exact"/>
        <w:rPr>
          <w:sz w:val="20"/>
          <w:szCs w:val="20"/>
          <w:color w:val="auto"/>
        </w:rPr>
      </w:pPr>
    </w:p>
    <w:p>
      <w:pPr>
        <w:ind w:right="22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2019 Notes, our SBA debentures, our 2024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02"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07" w:lineRule="exact"/>
        <w:rPr>
          <w:sz w:val="20"/>
          <w:szCs w:val="20"/>
          <w:color w:val="auto"/>
        </w:rPr>
      </w:pPr>
    </w:p>
    <w:p>
      <w:pPr>
        <w:ind w:right="6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2019</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30,300,736</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jc w:val="center"/>
              <w:ind w:right="72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55,556,250</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800" w:type="dxa"/>
            <w:vAlign w:val="bottom"/>
          </w:tcPr>
          <w:p>
            <w:pPr>
              <w:spacing w:after="0"/>
              <w:rPr>
                <w:sz w:val="14"/>
                <w:szCs w:val="14"/>
                <w:color w:val="auto"/>
              </w:rPr>
            </w:pPr>
          </w:p>
        </w:tc>
        <w:tc>
          <w:tcPr>
            <w:tcW w:w="1420" w:type="dxa"/>
            <w:vAlign w:val="bottom"/>
          </w:tcPr>
          <w:p>
            <w:pPr>
              <w:jc w:val="center"/>
              <w:ind w:right="7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664,980,079</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w:t>
            </w:r>
          </w:p>
        </w:tc>
        <w:tc>
          <w:tcPr>
            <w:tcW w:w="1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15.8% (8.7%)</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213,754,397</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1420" w:type="dxa"/>
            <w:vAlign w:val="bottom"/>
          </w:tcPr>
          <w:p>
            <w:pPr>
              <w:ind w:left="20"/>
              <w:spacing w:after="0"/>
              <w:rPr>
                <w:sz w:val="20"/>
                <w:szCs w:val="20"/>
                <w:color w:val="auto"/>
              </w:rPr>
            </w:pPr>
            <w:r>
              <w:rPr>
                <w:rFonts w:ascii="Arial" w:cs="Arial" w:eastAsia="Arial" w:hAnsi="Arial"/>
                <w:sz w:val="14"/>
                <w:szCs w:val="14"/>
                <w:color w:val="auto"/>
              </w:rPr>
              <w:t>– 12.7% (11.4%)</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61,187,670</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w:t>
            </w:r>
          </w:p>
        </w:tc>
        <w:tc>
          <w:tcPr>
            <w:tcW w:w="1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16.1% (15.2%)</w:t>
            </w:r>
          </w:p>
        </w:tc>
        <w:tc>
          <w:tcPr>
            <w:tcW w:w="0" w:type="dxa"/>
            <w:vAlign w:val="bottom"/>
          </w:tcPr>
          <w:p>
            <w:pPr>
              <w:spacing w:after="0"/>
              <w:rPr>
                <w:sz w:val="1"/>
                <w:szCs w:val="1"/>
                <w:color w:val="auto"/>
              </w:rPr>
            </w:pPr>
          </w:p>
        </w:tc>
      </w:tr>
      <w:tr>
        <w:trPr>
          <w:trHeight w:val="162"/>
        </w:trPr>
        <w:tc>
          <w:tcPr>
            <w:tcW w:w="27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192,859,084</w:t>
            </w:r>
          </w:p>
        </w:tc>
        <w:tc>
          <w:tcPr>
            <w:tcW w:w="260" w:type="dxa"/>
            <w:vAlign w:val="bottom"/>
            <w:tcBorders>
              <w:bottom w:val="single" w:sz="8" w:color="CCECFF"/>
            </w:tcBorders>
          </w:tcPr>
          <w:p>
            <w:pPr>
              <w:spacing w:after="0"/>
              <w:rPr>
                <w:sz w:val="14"/>
                <w:szCs w:val="14"/>
                <w:color w:val="auto"/>
              </w:rPr>
            </w:pP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Borders>
              <w:bottom w:val="single" w:sz="8" w:color="CCECFF"/>
            </w:tcBorders>
            <w:gridSpan w:val="2"/>
          </w:tcPr>
          <w:p>
            <w:pPr>
              <w:jc w:val="center"/>
              <w:spacing w:after="0"/>
              <w:rPr>
                <w:sz w:val="20"/>
                <w:szCs w:val="20"/>
                <w:color w:val="auto"/>
              </w:rPr>
            </w:pPr>
            <w:r>
              <w:rPr>
                <w:rFonts w:ascii="Arial" w:cs="Arial" w:eastAsia="Arial" w:hAnsi="Arial"/>
                <w:sz w:val="14"/>
                <w:szCs w:val="14"/>
                <w:color w:val="auto"/>
                <w:w w:val="95"/>
              </w:rPr>
              <w:t>0.6x – 17.3x (12.1x)</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2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14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Facilities</w:t>
            </w:r>
          </w:p>
        </w:tc>
        <w:tc>
          <w:tcPr>
            <w:tcW w:w="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3.9% – 4.2% (4.1%)</w:t>
            </w:r>
          </w:p>
        </w:tc>
        <w:tc>
          <w:tcPr>
            <w:tcW w:w="0" w:type="dxa"/>
            <w:vAlign w:val="bottom"/>
          </w:tcPr>
          <w:p>
            <w:pPr>
              <w:spacing w:after="0" w:line="20" w:lineRule="exact"/>
              <w:rPr>
                <w:sz w:val="1"/>
                <w:szCs w:val="1"/>
                <w:color w:val="auto"/>
              </w:rPr>
            </w:pPr>
          </w:p>
        </w:tc>
      </w:tr>
      <w:tr>
        <w:trPr>
          <w:trHeight w:val="143"/>
        </w:trPr>
        <w:tc>
          <w:tcPr>
            <w:tcW w:w="274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465,390,214</w:t>
            </w:r>
          </w:p>
        </w:tc>
        <w:tc>
          <w:tcPr>
            <w:tcW w:w="2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2018</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6"/>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Second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164,734,450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2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531,422,088</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4"/>
              </w:rPr>
              <w:t>7.4% – 17.5% (10.1%)</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226,303,579</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10.7% – 14.1% (13.3%)</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48,127,586</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12.5% – 15.3% (14.5%)</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160,656,044</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3.9x – 13.8x (8.2x)</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1,131,243,747</w:t>
            </w:r>
          </w:p>
        </w:tc>
        <w:tc>
          <w:tcPr>
            <w:tcW w:w="2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2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77,645,830</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22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5.5%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Facilities, SBA debentures and 2024 Notes were categorized as follows in the fair value hierarchy for ASC 820 purposes: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280"/>
              <w:spacing w:after="0"/>
              <w:rPr>
                <w:sz w:val="20"/>
                <w:szCs w:val="20"/>
                <w:color w:val="auto"/>
              </w:rPr>
            </w:pPr>
            <w:r>
              <w:rPr>
                <w:rFonts w:ascii="Arial" w:cs="Arial" w:eastAsia="Arial" w:hAnsi="Arial"/>
                <w:sz w:val="14"/>
                <w:szCs w:val="14"/>
                <w:b w:val="1"/>
                <w:bCs w:val="1"/>
                <w:color w:val="auto"/>
              </w:rPr>
              <w:t>Fair Value at September 30, 2019</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1,025,779,132</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193,653,664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794,580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192,859,084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1,219,432,796</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794,580</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59,516,236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59,516,236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1,278,949,032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60,310,816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BNP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170,145,000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170,145,000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SunTrust Credit Facility</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295,245,214</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295,245,214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146,111,055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146,111,055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2024 Notes</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72,256,607</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72,256,607</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683,757,876</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72,256,607</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611,501,269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50" w:lineRule="exact"/>
        <w:rPr>
          <w:sz w:val="20"/>
          <w:szCs w:val="20"/>
          <w:color w:val="auto"/>
        </w:rPr>
      </w:pPr>
    </w:p>
    <w:p>
      <w:pPr>
        <w:ind w:left="380" w:right="100" w:hanging="372"/>
        <w:spacing w:after="0" w:line="253" w:lineRule="auto"/>
        <w:tabs>
          <w:tab w:leader="none" w:pos="380" w:val="left"/>
        </w:tabs>
        <w:numPr>
          <w:ilvl w:val="0"/>
          <w:numId w:val="64"/>
        </w:numPr>
        <w:rPr>
          <w:rFonts w:ascii="Arial" w:cs="Arial" w:eastAsia="Arial" w:hAnsi="Arial"/>
          <w:sz w:val="12"/>
          <w:szCs w:val="12"/>
          <w:color w:val="auto"/>
        </w:rPr>
      </w:pPr>
      <w:r>
        <w:rPr>
          <w:rFonts w:ascii="Arial" w:cs="Arial" w:eastAsia="Arial" w:hAnsi="Arial"/>
          <w:sz w:val="14"/>
          <w:szCs w:val="14"/>
          <w:color w:val="auto"/>
        </w:rPr>
        <w:t>We elected not to apply ASC 825-10 to the SBA debentures or the 2024 Notes and thus the balance reported in the Consolidated Statement of Assets and Liabilities represents the carrying value, which approximates the fair value.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2019</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Fair Value at September 30, 2018</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3"/>
                <w:szCs w:val="13"/>
                <w:color w:val="auto"/>
              </w:rPr>
            </w:pPr>
          </w:p>
        </w:tc>
        <w:tc>
          <w:tcPr>
            <w:tcW w:w="1180" w:type="dxa"/>
            <w:vAlign w:val="bottom"/>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1180" w:type="dxa"/>
            <w:vAlign w:val="bottom"/>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Equity investments</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161,497,771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841,727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160,656,044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40" w:type="dxa"/>
            <w:vAlign w:val="bottom"/>
            <w:tcBorders>
              <w:top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24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1,132,085,474</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841,727</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19,506,154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19,506,154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44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1,151,591,628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20,347,881</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gridSpan w:val="2"/>
            <w:vMerge w:val="continue"/>
          </w:tcPr>
          <w:p>
            <w:pPr>
              <w:spacing w:after="0"/>
              <w:rPr>
                <w:sz w:val="12"/>
                <w:szCs w:val="12"/>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77,645,830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77,645,830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(1)</w:t>
            </w: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175,373,229</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175,373,229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gridSpan w:val="2"/>
          </w:tcPr>
          <w:p>
            <w:pPr>
              <w:spacing w:after="0"/>
              <w:rPr>
                <w:sz w:val="20"/>
                <w:szCs w:val="20"/>
                <w:color w:val="auto"/>
              </w:rPr>
            </w:pPr>
            <w:r>
              <w:rPr>
                <w:rFonts w:ascii="Arial" w:cs="Arial" w:eastAsia="Arial" w:hAnsi="Arial"/>
                <w:sz w:val="14"/>
                <w:szCs w:val="14"/>
                <w:color w:val="auto"/>
              </w:rPr>
              <w:t>2019 Notes</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251,322,500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251,322,500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44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504,341,559</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251,322,500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253,019,059</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ind w:left="380" w:right="400" w:hanging="372"/>
        <w:spacing w:after="0" w:line="253" w:lineRule="auto"/>
        <w:tabs>
          <w:tab w:leader="none" w:pos="380" w:val="left"/>
        </w:tabs>
        <w:numPr>
          <w:ilvl w:val="0"/>
          <w:numId w:val="65"/>
        </w:numPr>
        <w:rPr>
          <w:rFonts w:ascii="Arial" w:cs="Arial" w:eastAsia="Arial" w:hAnsi="Arial"/>
          <w:sz w:val="12"/>
          <w:szCs w:val="12"/>
          <w:color w:val="auto"/>
        </w:rPr>
      </w:pPr>
      <w:r>
        <w:rPr>
          <w:rFonts w:ascii="Arial" w:cs="Arial" w:eastAsia="Arial" w:hAnsi="Arial"/>
          <w:sz w:val="14"/>
          <w:szCs w:val="14"/>
          <w:color w:val="auto"/>
        </w:rPr>
        <w:t>We elected not to apply ASC 825-10 to the SBA debentures and thus the balance reported in the Consolidated Statement of Assets and Liabilities represents the carrying value, which approximates the fair value.</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table below shows a reconciliation of the beginning and ending balances for liabilities recognized at fair value and measured using significant unobservable inputs (Level 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6"/>
          </w:tcPr>
          <w:p>
            <w:pPr>
              <w:jc w:val="center"/>
              <w:ind w:left="828"/>
              <w:spacing w:after="0"/>
              <w:rPr>
                <w:sz w:val="20"/>
                <w:szCs w:val="20"/>
                <w:color w:val="auto"/>
              </w:rPr>
            </w:pPr>
            <w:r>
              <w:rPr>
                <w:rFonts w:ascii="Arial" w:cs="Arial" w:eastAsia="Arial" w:hAnsi="Arial"/>
                <w:sz w:val="14"/>
                <w:szCs w:val="14"/>
                <w:b w:val="1"/>
                <w:bCs w:val="1"/>
                <w:color w:val="auto"/>
                <w:w w:val="92"/>
              </w:rPr>
              <w:t>Year Ended September 30, 2019</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160,656,044</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(20,338,793)</w:t>
            </w: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(88,205,089)</w:t>
            </w:r>
          </w:p>
        </w:tc>
        <w:tc>
          <w:tcPr>
            <w:tcW w:w="3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(108,543,882)</w:t>
            </w: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 (depreciation)</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(1,960,888)</w:t>
            </w:r>
          </w:p>
        </w:tc>
        <w:tc>
          <w:tcPr>
            <w:tcW w:w="2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76,877,129</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74,916,241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494,678,346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52,772,604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547,450,950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(417,187,234)</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(9,241,606)</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(426,428,840)</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1,025,779,134</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192,859,082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120"/>
              <w:spacing w:after="0" w:line="149" w:lineRule="exact"/>
              <w:rPr>
                <w:sz w:val="20"/>
                <w:szCs w:val="20"/>
                <w:color w:val="auto"/>
              </w:rPr>
            </w:pPr>
            <w:r>
              <w:rPr>
                <w:rFonts w:ascii="Arial" w:cs="Arial" w:eastAsia="Arial" w:hAnsi="Arial"/>
                <w:sz w:val="14"/>
                <w:szCs w:val="14"/>
                <w:color w:val="auto"/>
              </w:rPr>
              <w:t>(depreciation) appreciation on investments in our Consolidated Statements of Operations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4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(2,204,826)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27,758,106</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25,553,280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6"/>
          </w:tcPr>
          <w:p>
            <w:pPr>
              <w:jc w:val="center"/>
              <w:ind w:left="828"/>
              <w:spacing w:after="0"/>
              <w:rPr>
                <w:sz w:val="20"/>
                <w:szCs w:val="20"/>
                <w:color w:val="auto"/>
              </w:rPr>
            </w:pPr>
            <w:r>
              <w:rPr>
                <w:rFonts w:ascii="Arial" w:cs="Arial" w:eastAsia="Arial" w:hAnsi="Arial"/>
                <w:sz w:val="14"/>
                <w:szCs w:val="14"/>
                <w:b w:val="1"/>
                <w:bCs w:val="1"/>
                <w:color w:val="auto"/>
                <w:w w:val="92"/>
              </w:rPr>
              <w:t>Year Ended September 30, 2018</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166,268,568</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2,847,904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43,250,660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46,098,564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unrealized depreciation</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(15,266,479)</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(40,114,380)</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(55,380,859)</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556,756,457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61,674,905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618,431,362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(560,078,677)</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(70,423,709)</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(630,502,386)</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2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160,656,044</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120"/>
              <w:spacing w:after="0" w:line="149" w:lineRule="exact"/>
              <w:rPr>
                <w:sz w:val="20"/>
                <w:szCs w:val="20"/>
                <w:color w:val="auto"/>
              </w:rPr>
            </w:pPr>
            <w:r>
              <w:rPr>
                <w:rFonts w:ascii="Arial" w:cs="Arial" w:eastAsia="Arial" w:hAnsi="Arial"/>
                <w:sz w:val="14"/>
                <w:szCs w:val="14"/>
                <w:color w:val="auto"/>
              </w:rPr>
              <w:t>(depreciation) appreciation on investments in our Consolidated Statements of Operations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4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(5,468,175)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(10,447,877)</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(15,916,052)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table below shows a reconciliation of the beginning and ending balances for liabilities recognized at fair value and measured using significant unobservable inputs (Level 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Years Ended 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140" w:type="dxa"/>
            <w:vAlign w:val="bottom"/>
            <w:tcBorders>
              <w:bottom w:val="single" w:sz="8" w:color="auto"/>
            </w:tcBorders>
            <w:gridSpan w:val="3"/>
            <w:vMerge w:val="continue"/>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$78,520,000 and $79,392,900, respectively)</w:t>
            </w:r>
          </w:p>
        </w:tc>
        <w:tc>
          <w:tcPr>
            <w:tcW w:w="24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75,645,830</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76,037,341</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4880" w:type="dxa"/>
            <w:vAlign w:val="bottom"/>
            <w:gridSpan w:val="2"/>
          </w:tcPr>
          <w:p>
            <w:pPr>
              <w:ind w:left="24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(4,371,616)</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481,389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CFF"/>
          </w:tcPr>
          <w:p>
            <w:pPr>
              <w:spacing w:after="0"/>
              <w:rPr>
                <w:sz w:val="14"/>
                <w:szCs w:val="14"/>
                <w:color w:val="auto"/>
              </w:rPr>
            </w:pPr>
          </w:p>
        </w:tc>
        <w:tc>
          <w:tcPr>
            <w:tcW w:w="4880" w:type="dxa"/>
            <w:vAlign w:val="bottom"/>
            <w:gridSpan w:val="2"/>
            <w:shd w:val="clear" w:color="auto" w:fill="CCECFF"/>
          </w:tcPr>
          <w:p>
            <w:pPr>
              <w:ind w:left="24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24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743,000,000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161,520,000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4880" w:type="dxa"/>
            <w:vAlign w:val="bottom"/>
            <w:gridSpan w:val="2"/>
          </w:tcPr>
          <w:p>
            <w:pPr>
              <w:ind w:left="24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(348,884,000)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(162,392,900)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CFF"/>
          </w:tcPr>
          <w:p>
            <w:pPr>
              <w:spacing w:after="0"/>
              <w:rPr>
                <w:sz w:val="14"/>
                <w:szCs w:val="14"/>
                <w:color w:val="auto"/>
              </w:rPr>
            </w:pPr>
          </w:p>
        </w:tc>
        <w:tc>
          <w:tcPr>
            <w:tcW w:w="4880" w:type="dxa"/>
            <w:vAlign w:val="bottom"/>
            <w:gridSpan w:val="2"/>
            <w:shd w:val="clear" w:color="auto" w:fill="CCECFF"/>
          </w:tcPr>
          <w:p>
            <w:pPr>
              <w:ind w:left="240"/>
              <w:spacing w:after="0"/>
              <w:rPr>
                <w:sz w:val="20"/>
                <w:szCs w:val="20"/>
                <w:color w:val="auto"/>
              </w:rPr>
            </w:pPr>
            <w:r>
              <w:rPr>
                <w:rFonts w:ascii="Arial" w:cs="Arial" w:eastAsia="Arial" w:hAnsi="Arial"/>
                <w:sz w:val="14"/>
                <w:szCs w:val="14"/>
                <w:color w:val="auto"/>
              </w:rPr>
              <w:t>Transfers in and/or out of Level 3</w:t>
            </w:r>
          </w:p>
        </w:tc>
        <w:tc>
          <w:tcPr>
            <w:tcW w:w="24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gridSpan w:val="3"/>
          </w:tcPr>
          <w:p>
            <w:pPr>
              <w:spacing w:after="0" w:line="155" w:lineRule="exact"/>
              <w:rPr>
                <w:sz w:val="20"/>
                <w:szCs w:val="20"/>
                <w:color w:val="auto"/>
              </w:rPr>
            </w:pPr>
            <w:r>
              <w:rPr>
                <w:rFonts w:ascii="Arial" w:cs="Arial" w:eastAsia="Arial" w:hAnsi="Arial"/>
                <w:sz w:val="14"/>
                <w:szCs w:val="14"/>
                <w:color w:val="auto"/>
              </w:rPr>
              <w:t>Ending Balance (cost – $472,636,000 and $78,520,000, respectively)</w:t>
            </w:r>
          </w:p>
        </w:tc>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465,390,214</w:t>
            </w:r>
          </w:p>
        </w:tc>
        <w:tc>
          <w:tcPr>
            <w:tcW w:w="280" w:type="dxa"/>
            <w:vAlign w:val="bottom"/>
          </w:tcPr>
          <w:p>
            <w:pPr>
              <w:spacing w:after="0"/>
              <w:rPr>
                <w:sz w:val="13"/>
                <w:szCs w:val="13"/>
                <w:color w:val="auto"/>
              </w:rPr>
            </w:pP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75,645,830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CFF"/>
          </w:tcPr>
          <w:p>
            <w:pPr>
              <w:spacing w:after="0"/>
              <w:rPr>
                <w:sz w:val="14"/>
                <w:szCs w:val="14"/>
                <w:color w:val="auto"/>
              </w:rPr>
            </w:pPr>
          </w:p>
        </w:tc>
        <w:tc>
          <w:tcPr>
            <w:tcW w:w="4880" w:type="dxa"/>
            <w:vAlign w:val="bottom"/>
            <w:gridSpan w:val="2"/>
            <w:shd w:val="clear" w:color="auto" w:fill="CCECFF"/>
          </w:tcPr>
          <w:p>
            <w:pPr>
              <w:ind w:left="240"/>
              <w:spacing w:after="0"/>
              <w:rPr>
                <w:sz w:val="20"/>
                <w:szCs w:val="20"/>
                <w:color w:val="auto"/>
              </w:rPr>
            </w:pPr>
            <w:r>
              <w:rPr>
                <w:rFonts w:ascii="Arial" w:cs="Arial" w:eastAsia="Arial" w:hAnsi="Arial"/>
                <w:sz w:val="14"/>
                <w:szCs w:val="14"/>
                <w:color w:val="auto"/>
              </w:rPr>
              <w:t>Temporary draws outstanding, at cost</w:t>
            </w:r>
          </w:p>
        </w:tc>
        <w:tc>
          <w:tcPr>
            <w:tcW w:w="24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gridSpan w:val="3"/>
          </w:tcPr>
          <w:p>
            <w:pPr>
              <w:spacing w:after="0" w:line="155" w:lineRule="exact"/>
              <w:rPr>
                <w:sz w:val="20"/>
                <w:szCs w:val="20"/>
                <w:color w:val="auto"/>
              </w:rPr>
            </w:pPr>
            <w:r>
              <w:rPr>
                <w:rFonts w:ascii="Arial" w:cs="Arial" w:eastAsia="Arial" w:hAnsi="Arial"/>
                <w:sz w:val="14"/>
                <w:szCs w:val="14"/>
                <w:color w:val="auto"/>
              </w:rPr>
              <w:t>Ending Balance (cost – $472,636,000 and $80,520,000, respectively)</w:t>
            </w:r>
          </w:p>
        </w:tc>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465,390,214</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77,645,830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20"/>
                <w:szCs w:val="20"/>
                <w:color w:val="auto"/>
              </w:rPr>
            </w:pPr>
            <w:r>
              <w:rPr>
                <w:rFonts w:ascii="Arial" w:cs="Arial" w:eastAsia="Arial" w:hAnsi="Arial"/>
                <w:sz w:val="12"/>
                <w:szCs w:val="12"/>
                <w:color w:val="auto"/>
              </w:rPr>
              <w:t>(2)</w:t>
            </w:r>
          </w:p>
        </w:tc>
        <w:tc>
          <w:tcPr>
            <w:tcW w:w="4880" w:type="dxa"/>
            <w:vAlign w:val="bottom"/>
            <w:gridSpan w:val="2"/>
          </w:tcPr>
          <w:p>
            <w:pPr>
              <w:ind w:left="120"/>
              <w:spacing w:after="0"/>
              <w:rPr>
                <w:sz w:val="20"/>
                <w:szCs w:val="20"/>
                <w:color w:val="auto"/>
              </w:rPr>
            </w:pPr>
            <w:r>
              <w:rPr>
                <w:rFonts w:ascii="Arial" w:cs="Arial" w:eastAsia="Arial" w:hAnsi="Arial"/>
                <w:sz w:val="14"/>
                <w:szCs w:val="14"/>
                <w:color w:val="auto"/>
              </w:rPr>
              <w:t>Excludes temporary draws.</w:t>
            </w:r>
          </w:p>
        </w:tc>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20" w:type="dxa"/>
            <w:vAlign w:val="bottom"/>
          </w:tcPr>
          <w:p>
            <w:pPr>
              <w:jc w:val="right"/>
              <w:ind w:right="1788"/>
              <w:spacing w:after="0"/>
              <w:rPr>
                <w:sz w:val="20"/>
                <w:szCs w:val="20"/>
                <w:color w:val="auto"/>
              </w:rPr>
            </w:pPr>
            <w:r>
              <w:rPr>
                <w:rFonts w:ascii="Arial" w:cs="Arial" w:eastAsia="Arial" w:hAnsi="Arial"/>
                <w:sz w:val="14"/>
                <w:szCs w:val="14"/>
                <w:color w:val="auto"/>
              </w:rPr>
              <w:t>67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2019</w:t>
      </w:r>
    </w:p>
    <w:p>
      <w:pPr>
        <w:spacing w:after="0" w:line="205"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As of September 30, 2019, we had outstanding non-U.S. dollar borrowings on our Credit Facilities.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40,136,000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35,736,700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13,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(4,399,300)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As of September 30, 2018, we had outstanding non-U.S. dollar borrowings on our SunTrust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41,520,000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39,121,590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14, 2018</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(2,398,410)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60"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Facilities and, prior to their redemption, the 2019 Notes and 2025 Notes. We elected to use the fair value option for the Credit Facilities and, prior to their redemption, the 2019 Notes and 2025 Notes to align the measurement attributes of both our assets and liabilities while mitigating volatility in earnings from using different measurement attributes. Due to that election and in accordance with GAAP, we incurred expenses of $7.1, zero and $3.9 million relating to amendment costs on the Credit Facilities during the years ended September 30, 2019, 2018 and 2017,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prior to their redemption, the 2019 Notes and 2025 Notes are reported in our Consolidated Statements of Operations. We did not elect to apply ASC 825-10 to any other financial assets or liabilities, including the 2024 Notes and the SBA debentures. For the years ended September 30, 2019 and 2018, the Credit Facilities and the 2019 Notes had a net change in unrealized depreciation of $5.7 and $3.9 million, respectively. For the year ended September 30, 2017, our SunTrust Credit Facility, the 2019 Notes and, prior to their redemption, the 2025 Notes had a net change in unrealized appreciation of $(7.6) million. As of September 30, 2019, the net unrealized depreciation on our Credit Facilities totaled $7.2 million. As of September 30, 2018, the net unrealized depreciation on our Credit Facilities and the 2019 Notes totaled $1.6 million. We use a nationally recognized independent valuation service to measure the fair value of our Credit Facilities and, prior to their redemption, the 2019 Notes in a manner consistent with the valuation process that the board of directors uses to value our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4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 Change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in</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14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PIK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71"/>
        </w:trPr>
        <w:tc>
          <w:tcPr>
            <w:tcW w:w="1680" w:type="dxa"/>
            <w:vAlign w:val="bottom"/>
            <w:gridSpan w:val="2"/>
            <w:vMerge w:val="continue"/>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2018</w:t>
            </w:r>
          </w:p>
        </w:tc>
        <w:tc>
          <w:tcPr>
            <w:tcW w:w="2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3"/>
              </w:rPr>
              <w:t>Additions</w:t>
            </w:r>
            <w:r>
              <w:rPr>
                <w:rFonts w:ascii="Arial" w:cs="Arial" w:eastAsia="Arial" w:hAnsi="Arial"/>
                <w:sz w:val="12"/>
                <w:szCs w:val="12"/>
                <w:b w:val="1"/>
                <w:bCs w:val="1"/>
                <w:color w:val="auto"/>
                <w:w w:val="93"/>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Reductions</w:t>
            </w: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(Depreciation)</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56"/>
        </w:trPr>
        <w:tc>
          <w:tcPr>
            <w:tcW w:w="1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8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5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gridSpan w:val="2"/>
          </w:tcPr>
          <w:p>
            <w:pPr>
              <w:spacing w:after="0"/>
              <w:rPr>
                <w:sz w:val="20"/>
                <w:szCs w:val="20"/>
                <w:color w:val="auto"/>
              </w:rPr>
            </w:pPr>
            <w:r>
              <w:rPr>
                <w:rFonts w:ascii="Arial" w:cs="Arial" w:eastAsia="Arial" w:hAnsi="Arial"/>
                <w:sz w:val="14"/>
                <w:szCs w:val="14"/>
                <w:color w:val="auto"/>
              </w:rPr>
              <w:t>AKW Holdings Limited</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40,501,278</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(3,442,074)</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37,059,204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2,342,595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6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PT Networks, LLC</w:t>
            </w: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46,815,339</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1"/>
              </w:rPr>
              <w:t>24,907,391</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(4,744,374)</w:t>
            </w:r>
          </w:p>
        </w:tc>
        <w:tc>
          <w:tcPr>
            <w:tcW w:w="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5,456,082</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72,434,438</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rPr>
              <w:t>1,409,093</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9"/>
              </w:rPr>
              <w:t>4,260,184</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776,945</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165,755</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gridSpan w:val="2"/>
          </w:tcPr>
          <w:p>
            <w:pPr>
              <w:spacing w:after="0"/>
              <w:rPr>
                <w:sz w:val="20"/>
                <w:szCs w:val="20"/>
                <w:color w:val="auto"/>
              </w:rPr>
            </w:pPr>
            <w:r>
              <w:rPr>
                <w:rFonts w:ascii="Arial" w:cs="Arial" w:eastAsia="Arial" w:hAnsi="Arial"/>
                <w:sz w:val="14"/>
                <w:szCs w:val="14"/>
                <w:color w:val="auto"/>
              </w:rPr>
              <w:t>RAM Energy LLC</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78,914,960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1"/>
              </w:rPr>
              <w:t>30,000,000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15,042,757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123,957,717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5,204,444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8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Superior Digital Displays</w:t>
            </w:r>
          </w:p>
        </w:tc>
        <w:tc>
          <w:tcPr>
            <w:tcW w:w="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 xml:space="preserve">Holdings, Inc. </w:t>
            </w:r>
            <w:r>
              <w:rPr>
                <w:rFonts w:ascii="Arial" w:cs="Arial" w:eastAsia="Arial" w:hAnsi="Arial"/>
                <w:sz w:val="12"/>
                <w:szCs w:val="12"/>
                <w:color w:val="auto"/>
              </w:rPr>
              <w:t>(2)</w:t>
            </w: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17,220,000</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1"/>
              </w:rPr>
              <w:t>24,210,894</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(79,182,353)</w:t>
            </w:r>
          </w:p>
        </w:tc>
        <w:tc>
          <w:tcPr>
            <w:tcW w:w="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37,751,459</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425,749</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59,116</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w w:val="95"/>
              </w:rPr>
              <w:t>(56,513,788)</w:t>
            </w:r>
          </w:p>
        </w:tc>
        <w:tc>
          <w:tcPr>
            <w:tcW w:w="0" w:type="dxa"/>
            <w:vAlign w:val="bottom"/>
          </w:tcPr>
          <w:p>
            <w:pPr>
              <w:spacing w:after="0"/>
              <w:rPr>
                <w:sz w:val="1"/>
                <w:szCs w:val="1"/>
                <w:color w:val="auto"/>
              </w:rPr>
            </w:pPr>
          </w:p>
        </w:tc>
      </w:tr>
      <w:tr>
        <w:trPr>
          <w:trHeight w:val="137"/>
        </w:trPr>
        <w:tc>
          <w:tcPr>
            <w:tcW w:w="1680" w:type="dxa"/>
            <w:vAlign w:val="bottom"/>
            <w:gridSpan w:val="2"/>
          </w:tcPr>
          <w:p>
            <w:pPr>
              <w:ind w:left="140"/>
              <w:spacing w:after="0" w:line="137" w:lineRule="exact"/>
              <w:rPr>
                <w:sz w:val="20"/>
                <w:szCs w:val="20"/>
                <w:color w:val="auto"/>
              </w:rPr>
            </w:pPr>
            <w:r>
              <w:rPr>
                <w:rFonts w:ascii="Arial" w:cs="Arial" w:eastAsia="Arial" w:hAnsi="Arial"/>
                <w:sz w:val="14"/>
                <w:szCs w:val="14"/>
                <w:color w:val="auto"/>
              </w:rPr>
              <w:t>Total Controlled</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40"/>
              <w:spacing w:after="0"/>
              <w:rPr>
                <w:sz w:val="20"/>
                <w:szCs w:val="20"/>
                <w:color w:val="auto"/>
              </w:rPr>
            </w:pPr>
            <w:r>
              <w:rPr>
                <w:rFonts w:ascii="Arial" w:cs="Arial" w:eastAsia="Arial" w:hAnsi="Arial"/>
                <w:sz w:val="14"/>
                <w:szCs w:val="14"/>
                <w:color w:val="auto"/>
              </w:rPr>
              <w:t>Affiliates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183,451,577</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1"/>
              </w:rPr>
              <w:t>79,118,285</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(83,926,727)</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54,808,224</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233,451,359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9,381,881</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4,319,300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776,945</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(56,348,033)</w:t>
            </w:r>
          </w:p>
        </w:tc>
        <w:tc>
          <w:tcPr>
            <w:tcW w:w="0" w:type="dxa"/>
            <w:vAlign w:val="bottom"/>
          </w:tcPr>
          <w:p>
            <w:pPr>
              <w:spacing w:after="0"/>
              <w:rPr>
                <w:sz w:val="1"/>
                <w:szCs w:val="1"/>
                <w:color w:val="auto"/>
              </w:rPr>
            </w:pPr>
          </w:p>
        </w:tc>
      </w:tr>
      <w:tr>
        <w:trPr>
          <w:trHeight w:val="155"/>
        </w:trPr>
        <w:tc>
          <w:tcPr>
            <w:tcW w:w="1680" w:type="dxa"/>
            <w:vAlign w:val="bottom"/>
            <w:tcBorders>
              <w:top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14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8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5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gridSpan w:val="2"/>
          </w:tcPr>
          <w:p>
            <w:pPr>
              <w:spacing w:after="0"/>
              <w:rPr>
                <w:sz w:val="20"/>
                <w:szCs w:val="20"/>
                <w:color w:val="auto"/>
              </w:rPr>
            </w:pPr>
            <w:r>
              <w:rPr>
                <w:rFonts w:ascii="Arial" w:cs="Arial" w:eastAsia="Arial" w:hAnsi="Arial"/>
                <w:sz w:val="14"/>
                <w:szCs w:val="14"/>
                <w:color w:val="auto"/>
              </w:rPr>
              <w:t>Big Run, Inc.</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397,025</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(674,943)</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277,918</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(227,099)</w:t>
            </w:r>
          </w:p>
        </w:tc>
        <w:tc>
          <w:tcPr>
            <w:tcW w:w="0" w:type="dxa"/>
            <w:vAlign w:val="bottom"/>
          </w:tcPr>
          <w:p>
            <w:pPr>
              <w:spacing w:after="0"/>
              <w:rPr>
                <w:sz w:val="1"/>
                <w:szCs w:val="1"/>
                <w:color w:val="auto"/>
              </w:rPr>
            </w:pPr>
          </w:p>
        </w:tc>
      </w:tr>
      <w:tr>
        <w:trPr>
          <w:trHeight w:val="162"/>
        </w:trPr>
        <w:tc>
          <w:tcPr>
            <w:tcW w:w="16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ETX Energy, LLC</w:t>
            </w: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34,801,373</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6,173,200</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(18,257,197)</w:t>
            </w: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22,717,376</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80" w:type="dxa"/>
            <w:vAlign w:val="bottom"/>
            <w:gridSpan w:val="2"/>
          </w:tcPr>
          <w:p>
            <w:pPr>
              <w:spacing w:after="0" w:line="143" w:lineRule="exact"/>
              <w:rPr>
                <w:sz w:val="20"/>
                <w:szCs w:val="20"/>
                <w:color w:val="auto"/>
              </w:rPr>
            </w:pPr>
            <w:r>
              <w:rPr>
                <w:rFonts w:ascii="Arial" w:cs="Arial" w:eastAsia="Arial" w:hAnsi="Arial"/>
                <w:sz w:val="14"/>
                <w:szCs w:val="14"/>
                <w:color w:val="auto"/>
              </w:rPr>
              <w:t>MidOcean JF Holdings</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20"/>
              <w:spacing w:after="0"/>
              <w:rPr>
                <w:sz w:val="20"/>
                <w:szCs w:val="20"/>
                <w:color w:val="auto"/>
              </w:rPr>
            </w:pPr>
            <w:r>
              <w:rPr>
                <w:rFonts w:ascii="Arial" w:cs="Arial" w:eastAsia="Arial" w:hAnsi="Arial"/>
                <w:sz w:val="14"/>
                <w:szCs w:val="14"/>
                <w:color w:val="auto"/>
              </w:rPr>
              <w:t>Corp.</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12,099,647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14,532,315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26,631,962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680" w:type="dxa"/>
            <w:vAlign w:val="bottom"/>
            <w:tcBorders>
              <w:top w:val="single" w:sz="8" w:color="CCECFF"/>
            </w:tcBorders>
            <w:gridSpan w:val="2"/>
            <w:shd w:val="clear" w:color="auto" w:fill="CCECFF"/>
          </w:tcPr>
          <w:p>
            <w:pPr>
              <w:ind w:left="140"/>
              <w:spacing w:after="0" w:line="137" w:lineRule="exact"/>
              <w:rPr>
                <w:sz w:val="20"/>
                <w:szCs w:val="20"/>
                <w:color w:val="auto"/>
              </w:rPr>
            </w:pPr>
            <w:r>
              <w:rPr>
                <w:rFonts w:ascii="Arial" w:cs="Arial" w:eastAsia="Arial" w:hAnsi="Arial"/>
                <w:sz w:val="14"/>
                <w:szCs w:val="14"/>
                <w:color w:val="auto"/>
              </w:rPr>
              <w:t>Total Non-Controlled</w:t>
            </w:r>
          </w:p>
        </w:tc>
        <w:tc>
          <w:tcPr>
            <w:tcW w:w="140" w:type="dxa"/>
            <w:vAlign w:val="bottom"/>
            <w:tcBorders>
              <w:top w:val="single" w:sz="8" w:color="auto"/>
            </w:tcBorders>
            <w:shd w:val="clear" w:color="auto" w:fill="CCECFF"/>
          </w:tcPr>
          <w:p>
            <w:pPr>
              <w:spacing w:after="0"/>
              <w:rPr>
                <w:sz w:val="11"/>
                <w:szCs w:val="11"/>
                <w:color w:val="auto"/>
              </w:rPr>
            </w:pPr>
          </w:p>
        </w:tc>
        <w:tc>
          <w:tcPr>
            <w:tcW w:w="106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0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6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CFF"/>
          </w:tcPr>
          <w:p>
            <w:pPr>
              <w:ind w:left="240"/>
              <w:spacing w:after="0"/>
              <w:rPr>
                <w:sz w:val="20"/>
                <w:szCs w:val="20"/>
                <w:color w:val="auto"/>
              </w:rPr>
            </w:pPr>
            <w:r>
              <w:rPr>
                <w:rFonts w:ascii="Arial" w:cs="Arial" w:eastAsia="Arial" w:hAnsi="Arial"/>
                <w:sz w:val="14"/>
                <w:szCs w:val="14"/>
                <w:color w:val="auto"/>
              </w:rPr>
              <w:t>Affiliates</w:t>
            </w: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47,298,045</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6,173,200</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(674,943)</w:t>
            </w:r>
          </w:p>
        </w:tc>
        <w:tc>
          <w:tcPr>
            <w:tcW w:w="8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(3,446,964)</w:t>
            </w: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49,349,338</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(227,099)</w:t>
            </w:r>
          </w:p>
        </w:tc>
        <w:tc>
          <w:tcPr>
            <w:tcW w:w="0" w:type="dxa"/>
            <w:vAlign w:val="bottom"/>
          </w:tcPr>
          <w:p>
            <w:pPr>
              <w:spacing w:after="0"/>
              <w:rPr>
                <w:sz w:val="1"/>
                <w:szCs w:val="1"/>
                <w:color w:val="auto"/>
              </w:rPr>
            </w:pPr>
          </w:p>
        </w:tc>
      </w:tr>
      <w:tr>
        <w:trPr>
          <w:trHeight w:val="133"/>
        </w:trPr>
        <w:tc>
          <w:tcPr>
            <w:tcW w:w="16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Non-Controlled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Affiliates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230,749,622</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1"/>
              </w:rPr>
              <w:t>85,291,485</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(84,601,670)</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51,361,260</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282,800,697</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9,381,881</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4,319,300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776,945</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(56,575,132)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Includes PIK.</w:t>
      </w:r>
    </w:p>
    <w:p>
      <w:pPr>
        <w:ind w:left="380" w:right="80" w:hanging="372"/>
        <w:spacing w:after="0" w:line="237"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On June 14, 2019 Superior Digital Displays, LLC filed for bankruptcy protection under Chapter 7 of the U.S. Bankruptcy Code with the U.S. Bankruptcy Court for the Southern District of New York. As such, our investment in Superior Digital Displays, LLC is no longer reflected on the Consolidated Schedule of Investments.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gridSpan w:val="4"/>
          </w:tcPr>
          <w:p>
            <w:pPr>
              <w:ind w:left="120"/>
              <w:spacing w:after="0"/>
              <w:rPr>
                <w:sz w:val="20"/>
                <w:szCs w:val="20"/>
                <w:color w:val="auto"/>
              </w:rPr>
            </w:pPr>
            <w:r>
              <w:rPr>
                <w:rFonts w:ascii="Arial" w:cs="Arial" w:eastAsia="Arial" w:hAnsi="Arial"/>
                <w:sz w:val="14"/>
                <w:szCs w:val="14"/>
                <w:b w:val="1"/>
                <w:bCs w:val="1"/>
                <w:color w:val="auto"/>
                <w:w w:val="93"/>
              </w:rPr>
              <w:t>Years Ended September 30,</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5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5020" w:type="dxa"/>
            <w:vAlign w:val="bottom"/>
            <w:tcBorders>
              <w:bottom w:val="single" w:sz="8" w:color="CCECFF"/>
            </w:tcBorders>
          </w:tcPr>
          <w:p>
            <w:pPr>
              <w:spacing w:after="0"/>
              <w:rPr>
                <w:sz w:val="13"/>
                <w:szCs w:val="13"/>
                <w:color w:val="auto"/>
              </w:rPr>
            </w:pPr>
          </w:p>
        </w:tc>
        <w:tc>
          <w:tcPr>
            <w:tcW w:w="14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CFF"/>
            </w:tcBorders>
          </w:tcPr>
          <w:p>
            <w:pPr>
              <w:spacing w:after="0"/>
              <w:rPr>
                <w:sz w:val="13"/>
                <w:szCs w:val="13"/>
                <w:color w:val="auto"/>
              </w:rPr>
            </w:pPr>
          </w:p>
        </w:tc>
        <w:tc>
          <w:tcPr>
            <w:tcW w:w="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50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14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15,924,806</w:t>
            </w:r>
          </w:p>
        </w:tc>
        <w:tc>
          <w:tcPr>
            <w:tcW w:w="2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47,713,462</w:t>
            </w: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61,711,501</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67,708,683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70,686,354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71,060,836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174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0.24</w:t>
            </w:r>
          </w:p>
        </w:tc>
        <w:tc>
          <w:tcPr>
            <w:tcW w:w="580" w:type="dxa"/>
            <w:vAlign w:val="bottom"/>
            <w:gridSpan w:val="2"/>
            <w:shd w:val="clear" w:color="auto" w:fill="CCEC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0.68</w:t>
            </w:r>
          </w:p>
        </w:tc>
        <w:tc>
          <w:tcPr>
            <w:tcW w:w="200" w:type="dxa"/>
            <w:vAlign w:val="bottom"/>
            <w:shd w:val="clear" w:color="auto" w:fill="CCECFF"/>
          </w:tcPr>
          <w:p>
            <w:pPr>
              <w:spacing w:after="0"/>
              <w:rPr>
                <w:sz w:val="14"/>
                <w:szCs w:val="14"/>
                <w:color w:val="auto"/>
              </w:rPr>
            </w:pPr>
          </w:p>
        </w:tc>
        <w:tc>
          <w:tcPr>
            <w:tcW w:w="3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0.87</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28"/>
        </w:trPr>
        <w:tc>
          <w:tcPr>
            <w:tcW w:w="5020" w:type="dxa"/>
            <w:vAlign w:val="bottom"/>
          </w:tcPr>
          <w:p>
            <w:pPr>
              <w:spacing w:after="0"/>
              <w:rPr>
                <w:sz w:val="24"/>
                <w:szCs w:val="24"/>
                <w:color w:val="auto"/>
              </w:rPr>
            </w:pPr>
          </w:p>
        </w:tc>
        <w:tc>
          <w:tcPr>
            <w:tcW w:w="1440" w:type="dxa"/>
            <w:vAlign w:val="bottom"/>
          </w:tcPr>
          <w:p>
            <w:pPr>
              <w:jc w:val="right"/>
              <w:ind w:right="688"/>
              <w:spacing w:after="0"/>
              <w:rPr>
                <w:sz w:val="20"/>
                <w:szCs w:val="20"/>
                <w:color w:val="auto"/>
              </w:rPr>
            </w:pPr>
            <w:r>
              <w:rPr>
                <w:rFonts w:ascii="Arial" w:cs="Arial" w:eastAsia="Arial" w:hAnsi="Arial"/>
                <w:sz w:val="14"/>
                <w:szCs w:val="14"/>
                <w:color w:val="auto"/>
              </w:rPr>
              <w:t>68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50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40"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September 30, 2019 and 2018, the cost of investments for federal income tax purposes approximates the amortized cost reported in the Consolidated Schedule of Investments.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Years Ended September 30,</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46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CFF"/>
            </w:tcBorders>
          </w:tcPr>
          <w:p>
            <w:pPr>
              <w:spacing w:after="0"/>
              <w:rPr>
                <w:sz w:val="13"/>
                <w:szCs w:val="13"/>
                <w:color w:val="auto"/>
              </w:rPr>
            </w:pPr>
          </w:p>
        </w:tc>
        <w:tc>
          <w:tcPr>
            <w:tcW w:w="2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r>
      <w:tr>
        <w:trPr>
          <w:trHeight w:val="155"/>
        </w:trPr>
        <w:tc>
          <w:tcPr>
            <w:tcW w:w="64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Decrease in paid-in capital</w:t>
            </w:r>
          </w:p>
        </w:tc>
        <w:tc>
          <w:tcPr>
            <w:tcW w:w="320" w:type="dxa"/>
            <w:vAlign w:val="bottom"/>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(1,067,350)</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(1,245,892)</w:t>
            </w:r>
          </w:p>
        </w:tc>
        <w:tc>
          <w:tcPr>
            <w:tcW w:w="120" w:type="dxa"/>
            <w:vAlign w:val="bottom"/>
            <w:shd w:val="clear" w:color="auto" w:fill="CCEC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(Decrease) increase in accumulated net realized gain</w:t>
            </w:r>
          </w:p>
        </w:tc>
        <w:tc>
          <w:tcPr>
            <w:tcW w:w="32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(2,136,670)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54,520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(799,498)</w:t>
            </w:r>
          </w:p>
        </w:tc>
      </w:tr>
      <w:tr>
        <w:trPr>
          <w:trHeight w:val="162"/>
        </w:trPr>
        <w:tc>
          <w:tcPr>
            <w:tcW w:w="6460" w:type="dxa"/>
            <w:vAlign w:val="bottom"/>
            <w:shd w:val="clear" w:color="auto" w:fill="CCECFF"/>
          </w:tcPr>
          <w:p>
            <w:pPr>
              <w:spacing w:after="0"/>
              <w:rPr>
                <w:sz w:val="20"/>
                <w:szCs w:val="20"/>
                <w:color w:val="auto"/>
              </w:rPr>
            </w:pPr>
            <w:r>
              <w:rPr>
                <w:rFonts w:ascii="Arial" w:cs="Arial" w:eastAsia="Arial" w:hAnsi="Arial"/>
                <w:sz w:val="14"/>
                <w:szCs w:val="14"/>
                <w:color w:val="auto"/>
              </w:rPr>
              <w:t>Increase (decrease) in undistributed net investment income</w:t>
            </w:r>
          </w:p>
        </w:tc>
        <w:tc>
          <w:tcPr>
            <w:tcW w:w="32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3,204,020</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(54,520)</w:t>
            </w:r>
          </w:p>
        </w:tc>
        <w:tc>
          <w:tcPr>
            <w:tcW w:w="3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2,045,390</w:t>
            </w:r>
          </w:p>
        </w:tc>
        <w:tc>
          <w:tcPr>
            <w:tcW w:w="120" w:type="dxa"/>
            <w:vAlign w:val="bottom"/>
            <w:shd w:val="clear" w:color="auto" w:fill="CCECFF"/>
          </w:tcPr>
          <w:p>
            <w:pPr>
              <w:spacing w:after="0"/>
              <w:rPr>
                <w:sz w:val="14"/>
                <w:szCs w:val="14"/>
                <w:color w:val="auto"/>
              </w:rPr>
            </w:pPr>
          </w:p>
        </w:tc>
      </w:tr>
      <w:tr>
        <w:trPr>
          <w:trHeight w:val="312"/>
        </w:trPr>
        <w:tc>
          <w:tcPr>
            <w:tcW w:w="6780" w:type="dxa"/>
            <w:vAlign w:val="bottom"/>
            <w:gridSpan w:val="2"/>
          </w:tcPr>
          <w:p>
            <w:pPr>
              <w:ind w:left="440"/>
              <w:spacing w:after="0"/>
              <w:rPr>
                <w:sz w:val="20"/>
                <w:szCs w:val="20"/>
                <w:color w:val="auto"/>
              </w:rPr>
            </w:pPr>
            <w:r>
              <w:rPr>
                <w:rFonts w:ascii="Arial" w:cs="Arial" w:eastAsia="Arial" w:hAnsi="Arial"/>
                <w:sz w:val="14"/>
                <w:szCs w:val="14"/>
                <w:color w:val="auto"/>
                <w:w w:val="96"/>
              </w:rPr>
              <w:t>The following reconciles net increase (decrease) in net assets resulting from operations to taxable income:</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Years Ended September 30,</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CFF"/>
            </w:tcBorders>
          </w:tcPr>
          <w:p>
            <w:pPr>
              <w:spacing w:after="0"/>
              <w:rPr>
                <w:sz w:val="13"/>
                <w:szCs w:val="13"/>
                <w:color w:val="auto"/>
              </w:rPr>
            </w:pPr>
          </w:p>
        </w:tc>
        <w:tc>
          <w:tcPr>
            <w:tcW w:w="20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CFF"/>
            </w:tcBorders>
          </w:tcPr>
          <w:p>
            <w:pPr>
              <w:spacing w:after="0"/>
              <w:rPr>
                <w:sz w:val="13"/>
                <w:szCs w:val="13"/>
                <w:color w:val="auto"/>
              </w:rPr>
            </w:pPr>
          </w:p>
        </w:tc>
        <w:tc>
          <w:tcPr>
            <w:tcW w:w="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r>
      <w:tr>
        <w:trPr>
          <w:trHeight w:val="155"/>
        </w:trPr>
        <w:tc>
          <w:tcPr>
            <w:tcW w:w="64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increase in net assets resulting from operations</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15,924,806</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47,713,462</w:t>
            </w: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61,711,501</w:t>
            </w:r>
          </w:p>
        </w:tc>
        <w:tc>
          <w:tcPr>
            <w:tcW w:w="120" w:type="dxa"/>
            <w:vAlign w:val="bottom"/>
            <w:shd w:val="clear" w:color="auto" w:fill="CCEC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Net realized loss (gain) on investments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108,515,658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(45,856,206)</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31,027,037</w:t>
            </w:r>
          </w:p>
        </w:tc>
        <w:tc>
          <w:tcPr>
            <w:tcW w:w="120" w:type="dxa"/>
            <w:vAlign w:val="bottom"/>
          </w:tcPr>
          <w:p>
            <w:pPr>
              <w:spacing w:after="0"/>
              <w:rPr>
                <w:sz w:val="14"/>
                <w:szCs w:val="14"/>
                <w:color w:val="auto"/>
              </w:rPr>
            </w:pPr>
          </w:p>
        </w:tc>
      </w:tr>
      <w:tr>
        <w:trPr>
          <w:trHeight w:val="162"/>
        </w:trPr>
        <w:tc>
          <w:tcPr>
            <w:tcW w:w="646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 investments and debt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(79,843,493)</w:t>
            </w:r>
          </w:p>
        </w:tc>
        <w:tc>
          <w:tcPr>
            <w:tcW w:w="2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51,476,896</w:t>
            </w:r>
          </w:p>
        </w:tc>
        <w:tc>
          <w:tcPr>
            <w:tcW w:w="20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(36,300,227)</w:t>
            </w: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Other book-to-tax differences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2,985,657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(722,661)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(6,838,039)</w:t>
            </w:r>
          </w:p>
        </w:tc>
      </w:tr>
      <w:tr>
        <w:trPr>
          <w:trHeight w:val="162"/>
        </w:trPr>
        <w:tc>
          <w:tcPr>
            <w:tcW w:w="6460" w:type="dxa"/>
            <w:vAlign w:val="bottom"/>
            <w:shd w:val="clear" w:color="auto" w:fill="CCECFF"/>
          </w:tcPr>
          <w:p>
            <w:pPr>
              <w:spacing w:after="0"/>
              <w:rPr>
                <w:sz w:val="20"/>
                <w:szCs w:val="20"/>
                <w:color w:val="auto"/>
              </w:rPr>
            </w:pPr>
            <w:r>
              <w:rPr>
                <w:rFonts w:ascii="Arial" w:cs="Arial" w:eastAsia="Arial" w:hAnsi="Arial"/>
                <w:sz w:val="14"/>
                <w:szCs w:val="14"/>
                <w:color w:val="auto"/>
              </w:rPr>
              <w:t>Other non-deductible expenses</w:t>
            </w:r>
          </w:p>
        </w:tc>
        <w:tc>
          <w:tcPr>
            <w:tcW w:w="3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2,874,707</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343,083</w:t>
            </w:r>
          </w:p>
        </w:tc>
        <w:tc>
          <w:tcPr>
            <w:tcW w:w="20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3,026,409</w:t>
            </w:r>
          </w:p>
        </w:tc>
        <w:tc>
          <w:tcPr>
            <w:tcW w:w="120" w:type="dxa"/>
            <w:vAlign w:val="bottom"/>
            <w:shd w:val="clear" w:color="auto" w:fill="CCECFF"/>
          </w:tcPr>
          <w:p>
            <w:pPr>
              <w:spacing w:after="0"/>
              <w:rPr>
                <w:sz w:val="14"/>
                <w:szCs w:val="14"/>
                <w:color w:val="auto"/>
              </w:rPr>
            </w:pPr>
          </w:p>
        </w:tc>
      </w:tr>
      <w:tr>
        <w:trPr>
          <w:trHeight w:val="155"/>
        </w:trPr>
        <w:tc>
          <w:tcPr>
            <w:tcW w:w="646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50,457,335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52,954,574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52,626,681</w:t>
            </w:r>
          </w:p>
        </w:tc>
        <w:tc>
          <w:tcPr>
            <w:tcW w:w="120" w:type="dxa"/>
            <w:vAlign w:val="bottom"/>
          </w:tcPr>
          <w:p>
            <w:pPr>
              <w:spacing w:after="0"/>
              <w:rPr>
                <w:sz w:val="13"/>
                <w:szCs w:val="13"/>
                <w:color w:val="auto"/>
              </w:rPr>
            </w:pPr>
          </w:p>
        </w:tc>
      </w:tr>
      <w:tr>
        <w:trPr>
          <w:trHeight w:val="20"/>
        </w:trPr>
        <w:tc>
          <w:tcPr>
            <w:tcW w:w="64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3"/>
        </w:trPr>
        <w:tc>
          <w:tcPr>
            <w:tcW w:w="8440" w:type="dxa"/>
            <w:vAlign w:val="bottom"/>
            <w:gridSpan w:val="6"/>
          </w:tcPr>
          <w:p>
            <w:pPr>
              <w:ind w:left="440"/>
              <w:spacing w:after="0"/>
              <w:rPr>
                <w:sz w:val="20"/>
                <w:szCs w:val="20"/>
                <w:color w:val="auto"/>
              </w:rPr>
            </w:pPr>
            <w:r>
              <w:rPr>
                <w:rFonts w:ascii="Arial" w:cs="Arial" w:eastAsia="Arial" w:hAnsi="Arial"/>
                <w:sz w:val="14"/>
                <w:szCs w:val="14"/>
                <w:color w:val="auto"/>
                <w:w w:val="95"/>
              </w:rPr>
              <w:t>The components of undistributed taxable income on a tax basis and reconciliation to accumulated deficit on a book basis are as follows: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0"/>
              </w:rPr>
              <w:t>As of September 30,</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Undistributed net investment income – tax basis</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22,848,424</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20,714,977</w:t>
            </w: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18,388,023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Realized loss carried forward</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(180,338,571)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(68,819,477)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(113,198,158)</w:t>
            </w:r>
          </w:p>
        </w:tc>
        <w:tc>
          <w:tcPr>
            <w:tcW w:w="0" w:type="dxa"/>
            <w:vAlign w:val="bottom"/>
          </w:tcPr>
          <w:p>
            <w:pPr>
              <w:spacing w:after="0"/>
              <w:rPr>
                <w:sz w:val="1"/>
                <w:szCs w:val="1"/>
                <w:color w:val="auto"/>
              </w:rPr>
            </w:pPr>
          </w:p>
        </w:tc>
      </w:tr>
      <w:tr>
        <w:trPr>
          <w:trHeight w:val="162"/>
        </w:trPr>
        <w:tc>
          <w:tcPr>
            <w:tcW w:w="6460" w:type="dxa"/>
            <w:vAlign w:val="bottom"/>
            <w:shd w:val="clear" w:color="auto" w:fill="CCECFF"/>
          </w:tcPr>
          <w:p>
            <w:pPr>
              <w:spacing w:after="0"/>
              <w:rPr>
                <w:sz w:val="20"/>
                <w:szCs w:val="20"/>
                <w:color w:val="auto"/>
              </w:rPr>
            </w:pPr>
            <w:r>
              <w:rPr>
                <w:rFonts w:ascii="Arial" w:cs="Arial" w:eastAsia="Arial" w:hAnsi="Arial"/>
                <w:sz w:val="14"/>
                <w:szCs w:val="14"/>
                <w:color w:val="auto"/>
              </w:rPr>
              <w:t>Distributions payable and other book to tax differences</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(18,494,772)</w:t>
            </w:r>
          </w:p>
        </w:tc>
        <w:tc>
          <w:tcPr>
            <w:tcW w:w="1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(16,579,769)</w:t>
            </w:r>
          </w:p>
        </w:tc>
        <w:tc>
          <w:tcPr>
            <w:tcW w:w="1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(18,455,025)</w:t>
            </w:r>
          </w:p>
        </w:tc>
        <w:tc>
          <w:tcPr>
            <w:tcW w:w="0" w:type="dxa"/>
            <w:vAlign w:val="bottom"/>
          </w:tcPr>
          <w:p>
            <w:pPr>
              <w:spacing w:after="0"/>
              <w:rPr>
                <w:sz w:val="1"/>
                <w:szCs w:val="1"/>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Net unrealized depreciation of investments and debt</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(30,368,617)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(110,212,110)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(58,735,214)</w:t>
            </w:r>
          </w:p>
        </w:tc>
        <w:tc>
          <w:tcPr>
            <w:tcW w:w="0" w:type="dxa"/>
            <w:vAlign w:val="bottom"/>
          </w:tcPr>
          <w:p>
            <w:pPr>
              <w:spacing w:after="0"/>
              <w:rPr>
                <w:sz w:val="1"/>
                <w:szCs w:val="1"/>
                <w:color w:val="auto"/>
              </w:rPr>
            </w:pPr>
          </w:p>
        </w:tc>
      </w:tr>
      <w:tr>
        <w:trPr>
          <w:trHeight w:val="155"/>
        </w:trPr>
        <w:tc>
          <w:tcPr>
            <w:tcW w:w="64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accumulated deficit – book basis</w:t>
            </w: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(206,353,536)</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(174,896,379)</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(172,000,374)</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4"/>
                <w:szCs w:val="14"/>
                <w:color w:val="auto"/>
              </w:rPr>
              <w:t>The tax characteristics of distributions declared are as follows: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Years Ended September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460" w:type="dxa"/>
            <w:vAlign w:val="bottom"/>
            <w:tcBorders>
              <w:bottom w:val="single" w:sz="8" w:color="CCECFF"/>
            </w:tcBorders>
          </w:tcPr>
          <w:p>
            <w:pPr>
              <w:spacing w:after="0"/>
              <w:rPr>
                <w:sz w:val="13"/>
                <w:szCs w:val="13"/>
                <w:color w:val="auto"/>
              </w:rPr>
            </w:pPr>
          </w:p>
        </w:tc>
        <w:tc>
          <w:tcPr>
            <w:tcW w:w="9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r>
      <w:tr>
        <w:trPr>
          <w:trHeight w:val="155"/>
        </w:trPr>
        <w:tc>
          <w:tcPr>
            <w:tcW w:w="64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Ordinary income (including short-term gains, if any)</w:t>
            </w:r>
          </w:p>
        </w:tc>
        <w:tc>
          <w:tcPr>
            <w:tcW w:w="96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50,609,467</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58,269,886</w:t>
            </w:r>
          </w:p>
        </w:tc>
        <w:tc>
          <w:tcPr>
            <w:tcW w:w="120" w:type="dxa"/>
            <w:vAlign w:val="bottom"/>
            <w:shd w:val="clear" w:color="auto" w:fill="CCEC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Long-term capital gain</w:t>
            </w:r>
          </w:p>
        </w:tc>
        <w:tc>
          <w:tcPr>
            <w:tcW w:w="9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64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w:t>
            </w:r>
          </w:p>
        </w:tc>
        <w:tc>
          <w:tcPr>
            <w:tcW w:w="960" w:type="dxa"/>
            <w:vAlign w:val="bottom"/>
            <w:tcBorders>
              <w:top w:val="single" w:sz="8" w:color="auto"/>
              <w:bottom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50,609,467</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58,269,886</w:t>
            </w:r>
          </w:p>
        </w:tc>
        <w:tc>
          <w:tcPr>
            <w:tcW w:w="120" w:type="dxa"/>
            <w:vAlign w:val="bottom"/>
            <w:tcBorders>
              <w:top w:val="single" w:sz="8" w:color="CCECFF"/>
            </w:tcBorders>
            <w:shd w:val="clear" w:color="auto" w:fill="CCECFF"/>
          </w:tcPr>
          <w:p>
            <w:pPr>
              <w:spacing w:after="0"/>
              <w:rPr>
                <w:sz w:val="13"/>
                <w:szCs w:val="13"/>
                <w:color w:val="auto"/>
              </w:rPr>
            </w:pPr>
          </w:p>
        </w:tc>
      </w:tr>
      <w:tr>
        <w:trPr>
          <w:trHeight w:val="155"/>
        </w:trPr>
        <w:tc>
          <w:tcPr>
            <w:tcW w:w="6460" w:type="dxa"/>
            <w:vAlign w:val="bottom"/>
          </w:tcPr>
          <w:p>
            <w:pPr>
              <w:spacing w:after="0" w:line="155" w:lineRule="exact"/>
              <w:rPr>
                <w:sz w:val="20"/>
                <w:szCs w:val="20"/>
                <w:color w:val="auto"/>
              </w:rPr>
            </w:pPr>
            <w:r>
              <w:rPr>
                <w:rFonts w:ascii="Arial" w:cs="Arial" w:eastAsia="Arial" w:hAnsi="Arial"/>
                <w:sz w:val="14"/>
                <w:szCs w:val="14"/>
                <w:color w:val="auto"/>
              </w:rPr>
              <w:t>Total distributions declared per share</w:t>
            </w:r>
          </w:p>
        </w:tc>
        <w:tc>
          <w:tcPr>
            <w:tcW w:w="960" w:type="dxa"/>
            <w:vAlign w:val="bottom"/>
            <w:tcBorders>
              <w:bottom w:val="single" w:sz="8" w:color="auto"/>
            </w:tcBorders>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0.72</w:t>
            </w:r>
          </w:p>
        </w:tc>
        <w:tc>
          <w:tcPr>
            <w:tcW w:w="280" w:type="dxa"/>
            <w:vAlign w:val="bottom"/>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0.72</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0.82</w:t>
            </w:r>
          </w:p>
        </w:tc>
        <w:tc>
          <w:tcPr>
            <w:tcW w:w="120" w:type="dxa"/>
            <w:vAlign w:val="bottom"/>
          </w:tcPr>
          <w:p>
            <w:pPr>
              <w:spacing w:after="0"/>
              <w:rPr>
                <w:sz w:val="13"/>
                <w:szCs w:val="13"/>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AND CASH EQUIVALENTS</w:t>
      </w:r>
    </w:p>
    <w:p>
      <w:pPr>
        <w:spacing w:after="0" w:line="140"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Facilities,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2019 and 2018, cash and cash equivalents consisted of money market funds in the amounts of $59.5 million and $19.5 million at fair value,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are the financial highlights for each of the years ended September 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8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CFF"/>
            </w:tcBorders>
          </w:tcPr>
          <w:p>
            <w:pPr>
              <w:spacing w:after="0"/>
              <w:rPr>
                <w:sz w:val="2"/>
                <w:szCs w:val="2"/>
                <w:color w:val="auto"/>
              </w:rPr>
            </w:pPr>
          </w:p>
        </w:tc>
        <w:tc>
          <w:tcPr>
            <w:tcW w:w="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CFF"/>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CFF"/>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9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Net asset value, beginning of year</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9.11</w:t>
            </w:r>
          </w:p>
        </w:tc>
        <w:tc>
          <w:tcPr>
            <w:tcW w:w="240" w:type="dxa"/>
            <w:vAlign w:val="bottom"/>
          </w:tcPr>
          <w:p>
            <w:pPr>
              <w:spacing w:after="0"/>
              <w:rPr>
                <w:sz w:val="14"/>
                <w:szCs w:val="14"/>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9.10</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9.05</w:t>
            </w:r>
          </w:p>
        </w:tc>
        <w:tc>
          <w:tcPr>
            <w:tcW w:w="1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9.82</w:t>
            </w:r>
          </w:p>
        </w:tc>
        <w:tc>
          <w:tcPr>
            <w:tcW w:w="26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11.03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0.66</w:t>
            </w:r>
          </w:p>
        </w:tc>
        <w:tc>
          <w:tcPr>
            <w:tcW w:w="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0.75</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0.79</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0.99</w:t>
            </w:r>
          </w:p>
        </w:tc>
        <w:tc>
          <w:tcPr>
            <w:tcW w:w="2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(0.42)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(0.07)</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(0.73)</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56"/>
        </w:trPr>
        <w:tc>
          <w:tcPr>
            <w:tcW w:w="49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0.24</w:t>
            </w:r>
          </w:p>
        </w:tc>
        <w:tc>
          <w:tcPr>
            <w:tcW w:w="24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0.68</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0.87</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0.26</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(0.14)</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ind w:left="80"/>
              <w:spacing w:after="0"/>
              <w:rPr>
                <w:sz w:val="20"/>
                <w:szCs w:val="20"/>
                <w:color w:val="auto"/>
              </w:rPr>
            </w:pPr>
            <w:r>
              <w:rPr>
                <w:rFonts w:ascii="Arial" w:cs="Arial" w:eastAsia="Arial" w:hAnsi="Arial"/>
                <w:sz w:val="14"/>
                <w:szCs w:val="14"/>
                <w:color w:val="auto"/>
              </w:rPr>
              <w:t>Distribution of net investment income</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(0.72)</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(0.72)</w:t>
            </w:r>
          </w:p>
        </w:tc>
        <w:tc>
          <w:tcPr>
            <w:tcW w:w="1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(0.82)</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(0.81)</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2"/>
        </w:trPr>
        <w:tc>
          <w:tcPr>
            <w:tcW w:w="4980" w:type="dxa"/>
            <w:vAlign w:val="bottom"/>
          </w:tcPr>
          <w:p>
            <w:pPr>
              <w:ind w:left="80"/>
              <w:spacing w:after="0"/>
              <w:rPr>
                <w:sz w:val="20"/>
                <w:szCs w:val="20"/>
                <w:color w:val="auto"/>
              </w:rPr>
            </w:pPr>
            <w:r>
              <w:rPr>
                <w:rFonts w:ascii="Arial" w:cs="Arial" w:eastAsia="Arial" w:hAnsi="Arial"/>
                <w:sz w:val="14"/>
                <w:szCs w:val="14"/>
                <w:color w:val="auto"/>
              </w:rPr>
              <w:t>Distribution of realized gains</w:t>
            </w:r>
          </w:p>
        </w:tc>
        <w:tc>
          <w:tcPr>
            <w:tcW w:w="16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(0.30)</w:t>
            </w:r>
          </w:p>
        </w:tc>
        <w:tc>
          <w:tcPr>
            <w:tcW w:w="16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9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 to stockholders</w:t>
            </w: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(0.72)</w:t>
            </w:r>
          </w:p>
        </w:tc>
        <w:tc>
          <w:tcPr>
            <w:tcW w:w="24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(0.72)</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(0.82)</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0.05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0.08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year</w:t>
            </w: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8.68</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6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9.11</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9.10</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9.05</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9.82</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color w:val="auto"/>
              </w:rPr>
              <w:t>Per share market value, end of year</w:t>
            </w: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tcBorders>
              <w:bottom w:val="single" w:sz="8" w:color="CCECFF"/>
            </w:tcBorders>
            <w:vMerge w:val="continue"/>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6.27</w:t>
            </w:r>
          </w:p>
        </w:tc>
        <w:tc>
          <w:tcPr>
            <w:tcW w:w="240" w:type="dxa"/>
            <w:vAlign w:val="bottom"/>
            <w:tcBorders>
              <w:bottom w:val="single" w:sz="8" w:color="CCECFF"/>
            </w:tcBorders>
          </w:tcPr>
          <w:p>
            <w:pPr>
              <w:spacing w:after="0"/>
              <w:rPr>
                <w:sz w:val="15"/>
                <w:szCs w:val="15"/>
                <w:color w:val="auto"/>
              </w:rPr>
            </w:pPr>
          </w:p>
        </w:tc>
        <w:tc>
          <w:tcPr>
            <w:tcW w:w="60" w:type="dxa"/>
            <w:vAlign w:val="bottom"/>
            <w:tcBorders>
              <w:bottom w:val="single" w:sz="8" w:color="CCEC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7.46</w:t>
            </w:r>
          </w:p>
        </w:tc>
        <w:tc>
          <w:tcPr>
            <w:tcW w:w="260" w:type="dxa"/>
            <w:vAlign w:val="bottom"/>
            <w:tcBorders>
              <w:bottom w:val="single" w:sz="8" w:color="CCEC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7.51</w:t>
            </w:r>
          </w:p>
        </w:tc>
        <w:tc>
          <w:tcPr>
            <w:tcW w:w="180" w:type="dxa"/>
            <w:vAlign w:val="bottom"/>
            <w:tcBorders>
              <w:bottom w:val="single" w:sz="8" w:color="CCECFF"/>
            </w:tcBorders>
          </w:tcPr>
          <w:p>
            <w:pPr>
              <w:spacing w:after="0"/>
              <w:rPr>
                <w:sz w:val="15"/>
                <w:szCs w:val="15"/>
                <w:color w:val="auto"/>
              </w:rPr>
            </w:pPr>
          </w:p>
        </w:tc>
        <w:tc>
          <w:tcPr>
            <w:tcW w:w="8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7.52</w:t>
            </w:r>
          </w:p>
        </w:tc>
        <w:tc>
          <w:tcPr>
            <w:tcW w:w="26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6.47</w:t>
            </w:r>
          </w:p>
        </w:tc>
        <w:tc>
          <w:tcPr>
            <w:tcW w:w="18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8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6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80"/>
              <w:spacing w:after="0" w:line="143" w:lineRule="exact"/>
              <w:rPr>
                <w:sz w:val="20"/>
                <w:szCs w:val="20"/>
                <w:color w:val="auto"/>
              </w:rPr>
            </w:pPr>
            <w:r>
              <w:rPr>
                <w:rFonts w:ascii="Arial" w:cs="Arial" w:eastAsia="Arial" w:hAnsi="Arial"/>
                <w:sz w:val="14"/>
                <w:szCs w:val="14"/>
                <w:color w:val="auto"/>
              </w:rPr>
              <w:t>(6.28)%</w:t>
            </w: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140"/>
              <w:spacing w:after="0" w:line="143" w:lineRule="exact"/>
              <w:rPr>
                <w:sz w:val="20"/>
                <w:szCs w:val="20"/>
                <w:color w:val="auto"/>
              </w:rPr>
            </w:pPr>
            <w:r>
              <w:rPr>
                <w:rFonts w:ascii="Arial" w:cs="Arial" w:eastAsia="Arial" w:hAnsi="Arial"/>
                <w:sz w:val="14"/>
                <w:szCs w:val="14"/>
                <w:color w:val="auto"/>
              </w:rPr>
              <w:t>9.70%</w:t>
            </w:r>
          </w:p>
        </w:tc>
        <w:tc>
          <w:tcPr>
            <w:tcW w:w="1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60"/>
              <w:spacing w:after="0" w:line="143" w:lineRule="exact"/>
              <w:rPr>
                <w:sz w:val="20"/>
                <w:szCs w:val="20"/>
                <w:color w:val="auto"/>
              </w:rPr>
            </w:pPr>
            <w:r>
              <w:rPr>
                <w:rFonts w:ascii="Arial" w:cs="Arial" w:eastAsia="Arial" w:hAnsi="Arial"/>
                <w:sz w:val="14"/>
                <w:szCs w:val="14"/>
                <w:color w:val="auto"/>
              </w:rPr>
              <w:t>10.80%</w:t>
            </w: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140"/>
              <w:spacing w:after="0" w:line="143" w:lineRule="exact"/>
              <w:rPr>
                <w:sz w:val="20"/>
                <w:szCs w:val="20"/>
                <w:color w:val="auto"/>
              </w:rPr>
            </w:pPr>
            <w:r>
              <w:rPr>
                <w:rFonts w:ascii="Arial" w:cs="Arial" w:eastAsia="Arial" w:hAnsi="Arial"/>
                <w:sz w:val="14"/>
                <w:szCs w:val="14"/>
                <w:color w:val="auto"/>
              </w:rPr>
              <w:t>36.64%</w:t>
            </w:r>
          </w:p>
        </w:tc>
        <w:tc>
          <w:tcPr>
            <w:tcW w:w="16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(32.51)%</w:t>
            </w:r>
          </w:p>
        </w:tc>
        <w:tc>
          <w:tcPr>
            <w:tcW w:w="0" w:type="dxa"/>
            <w:vAlign w:val="bottom"/>
          </w:tcPr>
          <w:p>
            <w:pPr>
              <w:spacing w:after="0"/>
              <w:rPr>
                <w:sz w:val="1"/>
                <w:szCs w:val="1"/>
                <w:color w:val="auto"/>
              </w:rPr>
            </w:pPr>
          </w:p>
        </w:tc>
      </w:tr>
      <w:tr>
        <w:trPr>
          <w:trHeight w:val="202"/>
        </w:trPr>
        <w:tc>
          <w:tcPr>
            <w:tcW w:w="49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year</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67,045,105</w:t>
            </w:r>
          </w:p>
        </w:tc>
        <w:tc>
          <w:tcPr>
            <w:tcW w:w="240" w:type="dxa"/>
            <w:vAlign w:val="bottom"/>
            <w:tcBorders>
              <w:bottom w:val="single" w:sz="8" w:color="CCECFF"/>
            </w:tcBorders>
          </w:tcPr>
          <w:p>
            <w:pPr>
              <w:spacing w:after="0"/>
              <w:rPr>
                <w:sz w:val="17"/>
                <w:szCs w:val="17"/>
                <w:color w:val="auto"/>
              </w:rPr>
            </w:pPr>
          </w:p>
        </w:tc>
        <w:tc>
          <w:tcPr>
            <w:tcW w:w="60" w:type="dxa"/>
            <w:vAlign w:val="bottom"/>
            <w:tcBorders>
              <w:bottom w:val="single" w:sz="8" w:color="CCEC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69,053,958</w:t>
            </w:r>
          </w:p>
        </w:tc>
        <w:tc>
          <w:tcPr>
            <w:tcW w:w="260" w:type="dxa"/>
            <w:vAlign w:val="bottom"/>
            <w:tcBorders>
              <w:bottom w:val="single" w:sz="8" w:color="CCEC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71,060,836</w:t>
            </w:r>
          </w:p>
        </w:tc>
        <w:tc>
          <w:tcPr>
            <w:tcW w:w="18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72,966,043</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8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1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w:t>
            </w: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4.83%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4.99%</w:t>
            </w:r>
          </w:p>
        </w:tc>
        <w:tc>
          <w:tcPr>
            <w:tcW w:w="1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6.65%</w:t>
            </w:r>
          </w:p>
        </w:tc>
        <w:tc>
          <w:tcPr>
            <w:tcW w:w="16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Arial" w:cs="Arial" w:eastAsia="Arial" w:hAnsi="Arial"/>
                <w:sz w:val="14"/>
                <w:szCs w:val="14"/>
                <w:color w:val="auto"/>
              </w:rPr>
              <w:t>Ratio of interest and expenses on debt to average net assets</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6.29%</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3.54%</w:t>
            </w:r>
          </w:p>
        </w:tc>
        <w:tc>
          <w:tcPr>
            <w:tcW w:w="1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4.69%</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4.18%</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11.12%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8.53%</w:t>
            </w:r>
          </w:p>
        </w:tc>
        <w:tc>
          <w:tcPr>
            <w:tcW w:w="180" w:type="dxa"/>
            <w:vAlign w:val="bottom"/>
          </w:tcPr>
          <w:p>
            <w:pPr>
              <w:spacing w:after="0"/>
              <w:rPr>
                <w:sz w:val="13"/>
                <w:szCs w:val="13"/>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10.47%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10.83%</w:t>
            </w:r>
          </w:p>
        </w:tc>
        <w:tc>
          <w:tcPr>
            <w:tcW w:w="160" w:type="dxa"/>
            <w:vAlign w:val="bottom"/>
          </w:tcPr>
          <w:p>
            <w:pPr>
              <w:spacing w:after="0"/>
              <w:rPr>
                <w:sz w:val="13"/>
                <w:szCs w:val="13"/>
                <w:color w:val="auto"/>
              </w:rPr>
            </w:pP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Arial" w:cs="Arial" w:eastAsia="Arial" w:hAnsi="Arial"/>
                <w:sz w:val="14"/>
                <w:szCs w:val="14"/>
                <w:color w:val="auto"/>
              </w:rPr>
              <w:t>Ratio of net investment income to average net assets</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7.35%</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8.28%</w:t>
            </w:r>
          </w:p>
        </w:tc>
        <w:tc>
          <w:tcPr>
            <w:tcW w:w="1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8.67%</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10.70%</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Net assets at end of year</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581,905,668</w:t>
            </w:r>
          </w:p>
        </w:tc>
        <w:tc>
          <w:tcPr>
            <w:tcW w:w="240" w:type="dxa"/>
            <w:vAlign w:val="bottom"/>
          </w:tcPr>
          <w:p>
            <w:pPr>
              <w:spacing w:after="0"/>
              <w:rPr>
                <w:sz w:val="14"/>
                <w:szCs w:val="14"/>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628,901,895</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646,808,471</w:t>
            </w:r>
          </w:p>
        </w:tc>
        <w:tc>
          <w:tcPr>
            <w:tcW w:w="1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643,366,856</w:t>
            </w:r>
          </w:p>
        </w:tc>
        <w:tc>
          <w:tcPr>
            <w:tcW w:w="26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716,590,542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638,424,193</w:t>
            </w:r>
          </w:p>
        </w:tc>
        <w:tc>
          <w:tcPr>
            <w:tcW w:w="24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504,963,762</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605,661,674</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634,769,508</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580,367,750</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(6)</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9.43</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7.14</w:t>
            </w:r>
          </w:p>
        </w:tc>
        <w:tc>
          <w:tcPr>
            <w:tcW w:w="26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8.52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8.86</w:t>
            </w:r>
          </w:p>
        </w:tc>
        <w:tc>
          <w:tcPr>
            <w:tcW w:w="26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7.76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(7)</w:t>
            </w:r>
          </w:p>
        </w:tc>
        <w:tc>
          <w:tcPr>
            <w:tcW w:w="160" w:type="dxa"/>
            <w:vAlign w:val="bottom"/>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2,066</w:t>
            </w:r>
          </w:p>
        </w:tc>
        <w:tc>
          <w:tcPr>
            <w:tcW w:w="24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2,919</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2,998</w:t>
            </w:r>
          </w:p>
        </w:tc>
        <w:tc>
          <w:tcPr>
            <w:tcW w:w="18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2,794</w:t>
            </w:r>
          </w:p>
        </w:tc>
        <w:tc>
          <w:tcPr>
            <w:tcW w:w="26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2,586</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12"/>
                <w:szCs w:val="12"/>
                <w:color w:val="auto"/>
              </w:rPr>
              <w:t>(8), (9)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24.87</w:t>
            </w:r>
          </w:p>
        </w:tc>
        <w:tc>
          <w:tcPr>
            <w:tcW w:w="240" w:type="dxa"/>
            <w:vAlign w:val="bottom"/>
          </w:tcPr>
          <w:p>
            <w:pPr>
              <w:spacing w:after="0"/>
              <w:rPr>
                <w:sz w:val="14"/>
                <w:szCs w:val="14"/>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24.68</w:t>
            </w:r>
          </w:p>
        </w:tc>
        <w:tc>
          <w:tcPr>
            <w:tcW w:w="26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25.13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35.44%</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56.51%</w:t>
            </w:r>
          </w:p>
        </w:tc>
        <w:tc>
          <w:tcPr>
            <w:tcW w:w="1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43.60%</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26.50%</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1144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3" w:lineRule="exact"/>
        <w:rPr>
          <w:rFonts w:ascii="Arial" w:cs="Arial" w:eastAsia="Arial" w:hAnsi="Arial"/>
          <w:sz w:val="12"/>
          <w:szCs w:val="12"/>
          <w:color w:val="auto"/>
        </w:rPr>
      </w:pPr>
    </w:p>
    <w:p>
      <w:pPr>
        <w:ind w:left="380" w:right="340" w:hanging="372"/>
        <w:spacing w:after="0" w:line="221"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80" w:hanging="372"/>
        <w:spacing w:after="0" w:line="221"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80" w:hanging="372"/>
        <w:spacing w:after="0" w:line="221"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80" w:hanging="372"/>
        <w:spacing w:after="0"/>
        <w:tabs>
          <w:tab w:leader="none" w:pos="380" w:val="left"/>
        </w:tabs>
        <w:numPr>
          <w:ilvl w:val="0"/>
          <w:numId w:val="67"/>
        </w:numPr>
        <w:rPr>
          <w:rFonts w:ascii="Arial" w:cs="Arial" w:eastAsia="Arial" w:hAnsi="Arial"/>
          <w:sz w:val="11"/>
          <w:szCs w:val="11"/>
          <w:color w:val="auto"/>
        </w:rPr>
      </w:pPr>
      <w:r>
        <w:rPr>
          <w:rFonts w:ascii="Arial" w:cs="Arial" w:eastAsia="Arial" w:hAnsi="Arial"/>
          <w:sz w:val="13"/>
          <w:szCs w:val="13"/>
          <w:color w:val="auto"/>
        </w:rPr>
        <w:t>For the years ended September 30, 2018, 2017 and 2016, the ratio of operating expenses to average net assets before the waiver of certain Management Fees to average net assets was</w:t>
      </w:r>
    </w:p>
    <w:p>
      <w:pPr>
        <w:ind w:left="380" w:right="280"/>
        <w:spacing w:after="0" w:line="221" w:lineRule="auto"/>
        <w:rPr>
          <w:rFonts w:ascii="Arial" w:cs="Arial" w:eastAsia="Arial" w:hAnsi="Arial"/>
          <w:sz w:val="11"/>
          <w:szCs w:val="11"/>
          <w:color w:val="auto"/>
        </w:rPr>
      </w:pPr>
      <w:r>
        <w:rPr>
          <w:rFonts w:ascii="Arial" w:cs="Arial" w:eastAsia="Arial" w:hAnsi="Arial"/>
          <w:sz w:val="14"/>
          <w:szCs w:val="14"/>
          <w:color w:val="auto"/>
        </w:rPr>
        <w:t>5.21%, 6.65% and 7.64%, respectively, and the ratio of total expenses to average net assets before the waiver of certain Management Fees to average net assets was 8.75%, 11.33% and 11.82%, respectively.</w:t>
      </w:r>
    </w:p>
    <w:p>
      <w:pPr>
        <w:ind w:left="380" w:hanging="372"/>
        <w:spacing w:after="0" w:line="221"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380" w:right="80" w:hanging="372"/>
        <w:spacing w:after="0" w:line="238" w:lineRule="auto"/>
        <w:tabs>
          <w:tab w:leader="none" w:pos="380" w:val="left"/>
        </w:tabs>
        <w:numPr>
          <w:ilvl w:val="0"/>
          <w:numId w:val="67"/>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ind w:left="380" w:hanging="372"/>
        <w:spacing w:after="0" w:line="221"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2019 or 2018.</w:t>
      </w:r>
    </w:p>
    <w:p>
      <w:pPr>
        <w:ind w:left="380" w:right="340" w:hanging="372"/>
        <w:spacing w:after="0" w:line="237"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daily closing price of the 2024 Notes trading on The Nasdaq Global Select Market under the symbol “PNNTG,” which were issued in increments of $25 per unit and commenced trading on September 30, 2019.</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40"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The annualized weighted average cost of debt for the years ended September 30, 2019, 2018 and 2017, inclusive of the fee on the undrawn commitment and amendment costs on the SunTrust Credit Facility, debt issuance costs on the BNP Credit Facility and amortized upfront fees on SBA debentures and 2024 Notes, was 6.0%, 4.5% and 5.0%, respectively. As of September 30, 2019, in accordance with the 1940 Act, with certain limited exceptions, we are only allowed to borrow amounts such that we are in compliance with the 150% asset coverage ratio requirement after such borrowing, excluding SBA debentures, pursuant to exemptive relief from the SEC received in June 2011.</w:t>
      </w:r>
    </w:p>
    <w:p>
      <w:pPr>
        <w:spacing w:after="0" w:line="117" w:lineRule="exact"/>
        <w:rPr>
          <w:sz w:val="20"/>
          <w:szCs w:val="20"/>
          <w:color w:val="auto"/>
        </w:rPr>
      </w:pPr>
    </w:p>
    <w:p>
      <w:pPr>
        <w:jc w:val="both"/>
        <w:ind w:right="4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September 30, 2019 and 2018, our asset coverage ratio, as computed in accordance with the 1940 Act, was 207% and 292%,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BNP Credit Facility</w:t>
      </w:r>
    </w:p>
    <w:p>
      <w:pPr>
        <w:spacing w:after="0" w:line="136"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On February 22, 2019, Funding I closed the BNP Credit Facility for up to $250.0 million in borrowings with certain lenders and BNP Paribas, as administrative agent, and The Bank of New York Mellon Trust Company, N.A., as collateral agent. As of September 30, 2019, Funding I had $171.0 million in outstanding borrowings under the BNP Credit Facility. The BNP Credit Facility had a weighted average interest rate of 4.6% as of September 30, 2019. The BNP Credit Facility is a five-year revolving facility with a stated maturity date of February 22, 2024 and pricing set at 260 basis points over LIBOR. The BNP Credit Facility is secured by all of the assets of Funding I. We own 100% of the equity interest in Funding I and treat the indebtedness of Funding I as our leverage. Our Investment Adviser serves as the servicer to Funding I in connection with the BNP Credit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SunTrust Credit Facility</w:t>
      </w:r>
    </w:p>
    <w:p>
      <w:pPr>
        <w:spacing w:after="0" w:line="136"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As of September 30, 2019, we had the multi-currency SunTrust Credit Facility for up to $475.0 million in borrowings with certain lenders and SunTrust Bank, acting as administrative agent, and JPMorgan Chase Bank, N.A., acting as syndication agent for the lenders. As of September 30, 2019 and 2018, we had $301.6 million and $80.5 million (including a $2.0 million temporary draw), respectively, in outstanding borrowings under the SunTrust Credit Facility. The SunTrust Credit Facility had a weighted average interest rate of 4.2% and 3.8%, respectively, exclusive of the fee on undrawn commitment, as of September 30, 2019 and 2018. The SunTrust Credit Facility is a revolving facility with a stated maturity date of September 4, 2024 ($55.0 million of the $475 million commitment will mature May 25, 2022), a one-year term-out period on September 4, 2023 ($55.0 million of the $475 million commitment has a one year term-out period on May 25, 2021) and pricing set at 225 basis points over LIBOR. The SunTrust Credit Facility is secured by substantially all of our assets excluding assets held by Funding I and SBIC II.</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During the year ended September 30, 2019 we liquidated and dissolved SBIC I. We have funded SBIC II with $75.0 million of equity capital and it had SBA debentures outstanding of $150.0 million as of September 30, 2019.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13"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As of September 30, 2019 and 2018, our SBIC Funds had $150.0 million and $300.0 million in debt commitments, respectively, of which $150.0 million and $180.0 million was drawn, respectively. As of September 30, 2019 and 2018, the unamortized fees on the SBA debentures were $3.9 million and $4.6 million, respectively. The SBA debentures’ upfront fees of 3.4% consist of a commitment fee of 1.0% and an issuance discount of 2.4%, which are being amortized.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3"/>
                <w:szCs w:val="23"/>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3"/>
                <w:szCs w:val="23"/>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60" w:type="dxa"/>
            <w:vAlign w:val="bottom"/>
            <w:vMerge w:val="restart"/>
          </w:tcPr>
          <w:p>
            <w:pPr>
              <w:spacing w:after="0"/>
              <w:rPr>
                <w:sz w:val="23"/>
                <w:szCs w:val="23"/>
                <w:color w:val="auto"/>
              </w:rPr>
            </w:pPr>
          </w:p>
        </w:tc>
        <w:tc>
          <w:tcPr>
            <w:tcW w:w="280" w:type="dxa"/>
            <w:vAlign w:val="bottom"/>
          </w:tcPr>
          <w:p>
            <w:pPr>
              <w:spacing w:after="0"/>
              <w:rPr>
                <w:sz w:val="23"/>
                <w:szCs w:val="23"/>
                <w:color w:val="auto"/>
              </w:rPr>
            </w:pPr>
          </w:p>
        </w:tc>
        <w:tc>
          <w:tcPr>
            <w:tcW w:w="2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As of September 30, 2019</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4"/>
              </w:rPr>
              <w:t>Principal Balance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FF0FC"/>
          </w:tcPr>
          <w:p>
            <w:pPr>
              <w:spacing w:after="0"/>
              <w:rPr>
                <w:sz w:val="13"/>
                <w:szCs w:val="13"/>
                <w:color w:val="auto"/>
              </w:rPr>
            </w:pPr>
          </w:p>
        </w:tc>
        <w:tc>
          <w:tcPr>
            <w:tcW w:w="2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FF0FC"/>
          </w:tcPr>
          <w:p>
            <w:pPr>
              <w:spacing w:after="0"/>
              <w:rPr>
                <w:sz w:val="13"/>
                <w:szCs w:val="13"/>
                <w:color w:val="auto"/>
              </w:rPr>
            </w:pPr>
          </w:p>
        </w:tc>
        <w:tc>
          <w:tcPr>
            <w:tcW w:w="2420" w:type="dxa"/>
            <w:vAlign w:val="bottom"/>
            <w:gridSpan w:val="2"/>
            <w:shd w:val="clear" w:color="auto" w:fill="CFF0FC"/>
          </w:tcPr>
          <w:p>
            <w:pPr>
              <w:ind w:left="1860"/>
              <w:spacing w:after="0" w:line="155" w:lineRule="exact"/>
              <w:rPr>
                <w:sz w:val="20"/>
                <w:szCs w:val="20"/>
                <w:color w:val="auto"/>
              </w:rPr>
            </w:pPr>
            <w:r>
              <w:rPr>
                <w:rFonts w:ascii="Arial" w:cs="Arial" w:eastAsia="Arial" w:hAnsi="Arial"/>
                <w:sz w:val="14"/>
                <w:szCs w:val="14"/>
                <w:color w:val="auto"/>
              </w:rPr>
              <w:t>2.9%</w:t>
            </w:r>
          </w:p>
        </w:tc>
        <w:tc>
          <w:tcPr>
            <w:tcW w:w="280" w:type="dxa"/>
            <w:vAlign w:val="bottom"/>
            <w:shd w:val="clear" w:color="auto" w:fill="CFF0FC"/>
          </w:tcPr>
          <w:p>
            <w:pPr>
              <w:spacing w:after="0"/>
              <w:rPr>
                <w:sz w:val="13"/>
                <w:szCs w:val="13"/>
                <w:color w:val="auto"/>
              </w:rPr>
            </w:pPr>
          </w:p>
        </w:tc>
        <w:tc>
          <w:tcPr>
            <w:tcW w:w="2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FF0FC"/>
          </w:tcPr>
          <w:p>
            <w:pPr>
              <w:ind w:left="1860"/>
              <w:spacing w:after="0"/>
              <w:rPr>
                <w:sz w:val="20"/>
                <w:szCs w:val="20"/>
                <w:color w:val="auto"/>
              </w:rPr>
            </w:pPr>
            <w:r>
              <w:rPr>
                <w:rFonts w:ascii="Arial" w:cs="Arial" w:eastAsia="Arial" w:hAnsi="Arial"/>
                <w:sz w:val="14"/>
                <w:szCs w:val="14"/>
                <w:color w:val="auto"/>
                <w:w w:val="92"/>
              </w:rPr>
              <w:t>2.9</w:t>
            </w: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3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20" w:type="dxa"/>
            <w:vAlign w:val="bottom"/>
            <w:gridSpan w:val="2"/>
            <w:shd w:val="clear" w:color="auto" w:fill="CFF0FC"/>
          </w:tcPr>
          <w:p>
            <w:pPr>
              <w:ind w:left="1860"/>
              <w:spacing w:after="0" w:line="155" w:lineRule="exact"/>
              <w:rPr>
                <w:sz w:val="20"/>
                <w:szCs w:val="20"/>
                <w:color w:val="auto"/>
              </w:rPr>
            </w:pPr>
            <w:r>
              <w:rPr>
                <w:rFonts w:ascii="Arial" w:cs="Arial" w:eastAsia="Arial" w:hAnsi="Arial"/>
                <w:sz w:val="14"/>
                <w:szCs w:val="14"/>
                <w:color w:val="auto"/>
              </w:rPr>
              <w:t>3.1%</w:t>
            </w: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2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150,000,000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6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As of September 30, 2018</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4"/>
              </w:rPr>
              <w:t>Principal Balance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September 21, 2011</w:t>
            </w:r>
          </w:p>
        </w:tc>
        <w:tc>
          <w:tcPr>
            <w:tcW w:w="240" w:type="dxa"/>
            <w:vAlign w:val="bottom"/>
            <w:shd w:val="clear" w:color="auto" w:fill="CFF0FC"/>
          </w:tcPr>
          <w:p>
            <w:pPr>
              <w:spacing w:after="0"/>
              <w:rPr>
                <w:sz w:val="13"/>
                <w:szCs w:val="13"/>
                <w:color w:val="auto"/>
              </w:rPr>
            </w:pPr>
          </w:p>
        </w:tc>
        <w:tc>
          <w:tcPr>
            <w:tcW w:w="2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FF0FC"/>
          </w:tcPr>
          <w:p>
            <w:pPr>
              <w:spacing w:after="0"/>
              <w:rPr>
                <w:sz w:val="13"/>
                <w:szCs w:val="13"/>
                <w:color w:val="auto"/>
              </w:rPr>
            </w:pPr>
          </w:p>
        </w:tc>
        <w:tc>
          <w:tcPr>
            <w:tcW w:w="2420" w:type="dxa"/>
            <w:vAlign w:val="bottom"/>
            <w:gridSpan w:val="2"/>
            <w:shd w:val="clear" w:color="auto" w:fill="CFF0FC"/>
          </w:tcPr>
          <w:p>
            <w:pPr>
              <w:ind w:left="1860"/>
              <w:spacing w:after="0" w:line="155" w:lineRule="exact"/>
              <w:rPr>
                <w:sz w:val="20"/>
                <w:szCs w:val="20"/>
                <w:color w:val="auto"/>
              </w:rPr>
            </w:pPr>
            <w:r>
              <w:rPr>
                <w:rFonts w:ascii="Arial" w:cs="Arial" w:eastAsia="Arial" w:hAnsi="Arial"/>
                <w:sz w:val="14"/>
                <w:szCs w:val="14"/>
                <w:color w:val="auto"/>
              </w:rPr>
              <w:t>3.4%</w:t>
            </w: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2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30,000,000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2.9</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September 1, 2026</w:t>
            </w:r>
          </w:p>
        </w:tc>
        <w:tc>
          <w:tcPr>
            <w:tcW w:w="2060" w:type="dxa"/>
            <w:vAlign w:val="bottom"/>
            <w:shd w:val="clear" w:color="auto" w:fill="CFF0FC"/>
          </w:tcPr>
          <w:p>
            <w:pPr>
              <w:ind w:left="1860"/>
              <w:spacing w:after="0"/>
              <w:rPr>
                <w:sz w:val="20"/>
                <w:szCs w:val="20"/>
                <w:color w:val="auto"/>
              </w:rPr>
            </w:pPr>
            <w:r>
              <w:rPr>
                <w:rFonts w:ascii="Arial" w:cs="Arial" w:eastAsia="Arial" w:hAnsi="Arial"/>
                <w:sz w:val="14"/>
                <w:szCs w:val="14"/>
                <w:color w:val="auto"/>
                <w:w w:val="92"/>
              </w:rPr>
              <w:t>2.4</w:t>
            </w: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2.9</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March 21, 2018</w:t>
            </w:r>
          </w:p>
        </w:tc>
        <w:tc>
          <w:tcPr>
            <w:tcW w:w="23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shd w:val="clear" w:color="auto" w:fill="CFF0FC"/>
          </w:tcPr>
          <w:p>
            <w:pPr>
              <w:ind w:left="1860"/>
              <w:spacing w:after="0"/>
              <w:rPr>
                <w:sz w:val="20"/>
                <w:szCs w:val="20"/>
                <w:color w:val="auto"/>
              </w:rPr>
            </w:pPr>
            <w:r>
              <w:rPr>
                <w:rFonts w:ascii="Arial" w:cs="Arial" w:eastAsia="Arial" w:hAnsi="Arial"/>
                <w:sz w:val="14"/>
                <w:szCs w:val="14"/>
                <w:color w:val="auto"/>
                <w:w w:val="92"/>
              </w:rPr>
              <w:t>3.5</w:t>
            </w:r>
          </w:p>
        </w:tc>
        <w:tc>
          <w:tcPr>
            <w:tcW w:w="36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3.2%</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224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455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77"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2"/>
          <w:szCs w:val="12"/>
          <w:color w:val="auto"/>
        </w:rPr>
      </w:pPr>
      <w:r>
        <w:rPr>
          <w:rFonts w:ascii="Arial" w:cs="Arial" w:eastAsia="Arial" w:hAnsi="Arial"/>
          <w:sz w:val="14"/>
          <w:szCs w:val="14"/>
          <w:color w:val="auto"/>
        </w:rPr>
        <w:t>Excluding 3.4% of upfront fees.</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2019 Notes were redeemed on March 4, 2019 at a redemption price equal to $1,008.65 for each $1,000.00 of principal of notes outstanding, plus accrued and unpaid interest to March 4, 2019, pursuant to the indenture governing the 2019 Notes. Interest on the 2019 Notes was paid semi-annually on April 1 and October 1, at a rate of 4.50% per year. The 2019 Notes were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123"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On June 29, 2017,the 2025 Notes, were redeemed in full and no amounts were outstanding as of September 30, 2018 or 2017. Interest on the 2025 Notes was paid quarterly on February 1, May 1, August 1 and November 1, at a rate of 6.25% per year.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SunTrust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Notes</w:t>
      </w:r>
    </w:p>
    <w:p>
      <w:pPr>
        <w:spacing w:after="0" w:line="136"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As of September 30, 2019 and 2018, we had $75.0 million and zero in aggregate principal amount of 2024 Notes outstanding, respectively. Interest on the 2024 Notes is paid quarterly on January 15, April 15, July 15 and October 15, at a rate of 5.50% per year. The 2024 Notes mature on October 15, 2024. The 2024 Notes are general, unsecured obligations and rank equal in right of payment with all of our existing and future senior unsecured indebtedness. The 2024 Notes are structurally subordinated to our SBA debentures and the assets pledged or secured under our Credit Facility. The 2024 Notes may be repurchased from time to time in open market purchases and privately-negotiated transactions.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2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September 30, 2019 and 2018, we had $30.4 million and $60.6 million, respectively, in commitments to fund investments. For the same periods, there were no letters of credit issued.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UNCONSOLIDATED SIGNIFICANT SUBSIDIARIES</w:t>
      </w:r>
    </w:p>
    <w:p>
      <w:pPr>
        <w:spacing w:after="0" w:line="140" w:lineRule="exact"/>
        <w:rPr>
          <w:sz w:val="20"/>
          <w:szCs w:val="20"/>
          <w:color w:val="auto"/>
        </w:rPr>
      </w:pPr>
    </w:p>
    <w:p>
      <w:pPr>
        <w:ind w:right="60" w:firstLine="438"/>
        <w:spacing w:after="0" w:line="277" w:lineRule="auto"/>
        <w:rPr>
          <w:sz w:val="20"/>
          <w:szCs w:val="20"/>
          <w:color w:val="auto"/>
        </w:rPr>
      </w:pPr>
      <w:r>
        <w:rPr>
          <w:rFonts w:ascii="Arial" w:cs="Arial" w:eastAsia="Arial" w:hAnsi="Arial"/>
          <w:sz w:val="12"/>
          <w:szCs w:val="12"/>
          <w:color w:val="auto"/>
        </w:rPr>
        <w:t>We must determine which, if any, of our unconsolidated controlled portfolio companies is a "significant subsidiary" within the meaning of Regulation S-X. We have determined that, as of September 30, 2019, PT Networks, LLC and RAM Energy Holdings LLC triggered at least one of the significance tests. As a result and in accordance with Rule 3-09 of Regulation S-X, presented below is summarized unaudited financial information for PT Networks, LLC as of September 30, 2019 and 2018 as well as for the years ended September 30, 2019, 2018 and 2017. In accordance with Rule 3-09, separate audited financial statements of RAM Energy Holdings LLC for the year ended September 30, 2019 are being filed herewith as Exhibit 99.2 and separate unaudited financial statements for the years ending September 30, 2018 and 2017 are being filed herewith as Exhibit 99.3. In addition, audited financial statements will be filed for PT Networks, LLC.</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60" w:type="dxa"/>
            <w:vAlign w:val="bottom"/>
          </w:tcPr>
          <w:p>
            <w:pPr>
              <w:ind w:left="440"/>
              <w:spacing w:after="0"/>
              <w:rPr>
                <w:sz w:val="20"/>
                <w:szCs w:val="20"/>
                <w:color w:val="auto"/>
              </w:rPr>
            </w:pPr>
            <w:r>
              <w:rPr>
                <w:rFonts w:ascii="Arial" w:cs="Arial" w:eastAsia="Arial" w:hAnsi="Arial"/>
                <w:sz w:val="14"/>
                <w:szCs w:val="14"/>
                <w:color w:val="auto"/>
              </w:rPr>
              <w:t>PT Networks, LLC:</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96"/>
        </w:trPr>
        <w:tc>
          <w:tcPr>
            <w:tcW w:w="5560" w:type="dxa"/>
            <w:vAlign w:val="bottom"/>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jc w:val="right"/>
              <w:ind w:right="568"/>
              <w:spacing w:after="0"/>
              <w:rPr>
                <w:sz w:val="20"/>
                <w:szCs w:val="20"/>
                <w:color w:val="auto"/>
              </w:rPr>
            </w:pPr>
            <w:r>
              <w:rPr>
                <w:rFonts w:ascii="Arial" w:cs="Arial" w:eastAsia="Arial" w:hAnsi="Arial"/>
                <w:sz w:val="14"/>
                <w:szCs w:val="14"/>
                <w:b w:val="1"/>
                <w:bCs w:val="1"/>
                <w:color w:val="auto"/>
              </w:rPr>
              <w:t>September 30, 2019</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2018</w:t>
            </w:r>
          </w:p>
        </w:tc>
      </w:tr>
      <w:tr>
        <w:trPr>
          <w:trHeight w:val="155"/>
        </w:trPr>
        <w:tc>
          <w:tcPr>
            <w:tcW w:w="5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Current assets</w:t>
            </w:r>
          </w:p>
        </w:tc>
        <w:tc>
          <w:tcPr>
            <w:tcW w:w="2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2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33,149</w:t>
            </w:r>
          </w:p>
        </w:tc>
        <w:tc>
          <w:tcPr>
            <w:tcW w:w="3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2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52,911</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5560" w:type="dxa"/>
            <w:vAlign w:val="bottom"/>
          </w:tcPr>
          <w:p>
            <w:pPr>
              <w:spacing w:after="0"/>
              <w:rPr>
                <w:sz w:val="20"/>
                <w:szCs w:val="20"/>
                <w:color w:val="auto"/>
              </w:rPr>
            </w:pPr>
            <w:r>
              <w:rPr>
                <w:rFonts w:ascii="Arial" w:cs="Arial" w:eastAsia="Arial" w:hAnsi="Arial"/>
                <w:sz w:val="14"/>
                <w:szCs w:val="14"/>
                <w:color w:val="auto"/>
              </w:rPr>
              <w:t>Noncurrent assets</w:t>
            </w:r>
          </w:p>
        </w:tc>
        <w:tc>
          <w:tcPr>
            <w:tcW w:w="6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100" w:type="dxa"/>
            <w:vAlign w:val="bottom"/>
          </w:tcPr>
          <w:p>
            <w:pPr>
              <w:jc w:val="right"/>
              <w:spacing w:after="0"/>
              <w:rPr>
                <w:sz w:val="20"/>
                <w:szCs w:val="20"/>
                <w:color w:val="auto"/>
              </w:rPr>
            </w:pPr>
            <w:r>
              <w:rPr>
                <w:rFonts w:ascii="Arial" w:cs="Arial" w:eastAsia="Arial" w:hAnsi="Arial"/>
                <w:sz w:val="14"/>
                <w:szCs w:val="14"/>
                <w:color w:val="auto"/>
              </w:rPr>
              <w:t>167,068</w:t>
            </w:r>
          </w:p>
        </w:tc>
        <w:tc>
          <w:tcPr>
            <w:tcW w:w="7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120" w:type="dxa"/>
            <w:vAlign w:val="bottom"/>
          </w:tcPr>
          <w:p>
            <w:pPr>
              <w:jc w:val="right"/>
              <w:spacing w:after="0"/>
              <w:rPr>
                <w:sz w:val="20"/>
                <w:szCs w:val="20"/>
                <w:color w:val="auto"/>
              </w:rPr>
            </w:pPr>
            <w:r>
              <w:rPr>
                <w:rFonts w:ascii="Arial" w:cs="Arial" w:eastAsia="Arial" w:hAnsi="Arial"/>
                <w:sz w:val="14"/>
                <w:szCs w:val="14"/>
                <w:color w:val="auto"/>
              </w:rPr>
              <w:t>217,848</w:t>
            </w:r>
          </w:p>
        </w:tc>
        <w:tc>
          <w:tcPr>
            <w:tcW w:w="120" w:type="dxa"/>
            <w:vAlign w:val="bottom"/>
          </w:tcPr>
          <w:p>
            <w:pPr>
              <w:spacing w:after="0"/>
              <w:rPr>
                <w:sz w:val="14"/>
                <w:szCs w:val="14"/>
                <w:color w:val="auto"/>
              </w:rPr>
            </w:pPr>
          </w:p>
        </w:tc>
      </w:tr>
      <w:tr>
        <w:trPr>
          <w:trHeight w:val="162"/>
        </w:trPr>
        <w:tc>
          <w:tcPr>
            <w:tcW w:w="5560" w:type="dxa"/>
            <w:vAlign w:val="bottom"/>
            <w:shd w:val="clear" w:color="auto" w:fill="CCECFF"/>
          </w:tcPr>
          <w:p>
            <w:pPr>
              <w:spacing w:after="0"/>
              <w:rPr>
                <w:sz w:val="20"/>
                <w:szCs w:val="20"/>
                <w:color w:val="auto"/>
              </w:rPr>
            </w:pPr>
            <w:r>
              <w:rPr>
                <w:rFonts w:ascii="Arial" w:cs="Arial" w:eastAsia="Arial" w:hAnsi="Arial"/>
                <w:sz w:val="14"/>
                <w:szCs w:val="14"/>
                <w:color w:val="auto"/>
              </w:rPr>
              <w:t>Current liabilities</w:t>
            </w:r>
          </w:p>
        </w:tc>
        <w:tc>
          <w:tcPr>
            <w:tcW w:w="62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24,636</w:t>
            </w:r>
          </w:p>
        </w:tc>
        <w:tc>
          <w:tcPr>
            <w:tcW w:w="72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29,923</w:t>
            </w:r>
          </w:p>
        </w:tc>
        <w:tc>
          <w:tcPr>
            <w:tcW w:w="120" w:type="dxa"/>
            <w:vAlign w:val="bottom"/>
            <w:shd w:val="clear" w:color="auto" w:fill="CCECFF"/>
          </w:tcPr>
          <w:p>
            <w:pPr>
              <w:spacing w:after="0"/>
              <w:rPr>
                <w:sz w:val="14"/>
                <w:szCs w:val="14"/>
                <w:color w:val="auto"/>
              </w:rPr>
            </w:pPr>
          </w:p>
        </w:tc>
      </w:tr>
      <w:tr>
        <w:trPr>
          <w:trHeight w:val="182"/>
        </w:trPr>
        <w:tc>
          <w:tcPr>
            <w:tcW w:w="5560" w:type="dxa"/>
            <w:vAlign w:val="bottom"/>
          </w:tcPr>
          <w:p>
            <w:pPr>
              <w:spacing w:after="0"/>
              <w:rPr>
                <w:sz w:val="20"/>
                <w:szCs w:val="20"/>
                <w:color w:val="auto"/>
              </w:rPr>
            </w:pPr>
            <w:r>
              <w:rPr>
                <w:rFonts w:ascii="Arial" w:cs="Arial" w:eastAsia="Arial" w:hAnsi="Arial"/>
                <w:sz w:val="14"/>
                <w:szCs w:val="14"/>
                <w:color w:val="auto"/>
              </w:rPr>
              <w:t>Noncurrent liabilities</w:t>
            </w:r>
          </w:p>
        </w:tc>
        <w:tc>
          <w:tcPr>
            <w:tcW w:w="6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100" w:type="dxa"/>
            <w:vAlign w:val="bottom"/>
          </w:tcPr>
          <w:p>
            <w:pPr>
              <w:jc w:val="right"/>
              <w:spacing w:after="0"/>
              <w:rPr>
                <w:sz w:val="20"/>
                <w:szCs w:val="20"/>
                <w:color w:val="auto"/>
              </w:rPr>
            </w:pPr>
            <w:r>
              <w:rPr>
                <w:rFonts w:ascii="Arial" w:cs="Arial" w:eastAsia="Arial" w:hAnsi="Arial"/>
                <w:sz w:val="14"/>
                <w:szCs w:val="14"/>
                <w:color w:val="auto"/>
              </w:rPr>
              <w:t>181,322</w:t>
            </w:r>
          </w:p>
        </w:tc>
        <w:tc>
          <w:tcPr>
            <w:tcW w:w="7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120" w:type="dxa"/>
            <w:vAlign w:val="bottom"/>
          </w:tcPr>
          <w:p>
            <w:pPr>
              <w:jc w:val="right"/>
              <w:spacing w:after="0"/>
              <w:rPr>
                <w:sz w:val="20"/>
                <w:szCs w:val="20"/>
                <w:color w:val="auto"/>
              </w:rPr>
            </w:pPr>
            <w:r>
              <w:rPr>
                <w:rFonts w:ascii="Arial" w:cs="Arial" w:eastAsia="Arial" w:hAnsi="Arial"/>
                <w:sz w:val="14"/>
                <w:szCs w:val="14"/>
                <w:color w:val="auto"/>
              </w:rPr>
              <w:t>177,132</w:t>
            </w:r>
          </w:p>
        </w:tc>
        <w:tc>
          <w:tcPr>
            <w:tcW w:w="120" w:type="dxa"/>
            <w:vAlign w:val="bottom"/>
          </w:tcPr>
          <w:p>
            <w:pPr>
              <w:spacing w:after="0"/>
              <w:rPr>
                <w:sz w:val="15"/>
                <w:szCs w:val="15"/>
                <w:color w:val="auto"/>
              </w:rPr>
            </w:pP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 September 30,</w:t>
            </w: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74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right"/>
              <w:ind w:right="76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jc w:val="right"/>
              <w:ind w:right="7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22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196,543</w:t>
            </w:r>
          </w:p>
        </w:tc>
        <w:tc>
          <w:tcPr>
            <w:tcW w:w="3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201,364</w:t>
            </w:r>
          </w:p>
        </w:tc>
        <w:tc>
          <w:tcPr>
            <w:tcW w:w="32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141,269</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Total expenses</w:t>
            </w: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267,234</w:t>
            </w:r>
          </w:p>
        </w:tc>
        <w:tc>
          <w:tcPr>
            <w:tcW w:w="3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252,958</w:t>
            </w:r>
          </w:p>
        </w:tc>
        <w:tc>
          <w:tcPr>
            <w:tcW w:w="320" w:type="dxa"/>
            <w:vAlign w:val="bottom"/>
            <w:tcBorders>
              <w:bottom w:val="single" w:sz="8" w:color="CCECFF"/>
            </w:tcBorders>
          </w:tcPr>
          <w:p>
            <w:pPr>
              <w:spacing w:after="0"/>
              <w:rPr>
                <w:sz w:val="14"/>
                <w:szCs w:val="14"/>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171,697</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20" w:type="dxa"/>
            <w:vAlign w:val="bottom"/>
            <w:tcBorders>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Net loss</w:t>
            </w:r>
          </w:p>
        </w:tc>
        <w:tc>
          <w:tcPr>
            <w:tcW w:w="460" w:type="dxa"/>
            <w:vAlign w:val="bottom"/>
            <w:tcBorders>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(70,691)</w:t>
            </w:r>
          </w:p>
        </w:tc>
        <w:tc>
          <w:tcPr>
            <w:tcW w:w="3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(51,593)</w:t>
            </w:r>
          </w:p>
        </w:tc>
        <w:tc>
          <w:tcPr>
            <w:tcW w:w="32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(30,428)</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50"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All amounts are in thousands.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 REPURCHASE PROGRAM</w:t>
      </w:r>
    </w:p>
    <w:p>
      <w:pPr>
        <w:spacing w:after="0" w:line="140" w:lineRule="exact"/>
        <w:rPr>
          <w:sz w:val="20"/>
          <w:szCs w:val="20"/>
          <w:color w:val="auto"/>
        </w:rPr>
      </w:pPr>
    </w:p>
    <w:p>
      <w:pPr>
        <w:ind w:right="80" w:firstLine="438"/>
        <w:spacing w:after="0" w:line="296" w:lineRule="auto"/>
        <w:rPr>
          <w:sz w:val="20"/>
          <w:szCs w:val="20"/>
          <w:color w:val="auto"/>
        </w:rPr>
      </w:pPr>
      <w:r>
        <w:rPr>
          <w:rFonts w:ascii="Arial" w:cs="Arial" w:eastAsia="Arial" w:hAnsi="Arial"/>
          <w:sz w:val="12"/>
          <w:szCs w:val="12"/>
          <w:color w:val="auto"/>
        </w:rPr>
        <w:t>On May 9, 2018, we announced a share repurchase program which allowed us to repurchase up to $30 million of our outstanding common stock in the open market at prices below our NAV as reported in our then most recently published consolidated financial statements. The program expired on May 9, 2019. For the years ended September 30, 2019, 2018 and 2017, we repurchased 2.0 million, 2.0 million and zero shares of common stock in open market transactions for an aggregate cost (including transaction costs) of $14.5 million, $15.0 million and zero,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SUBSEQUENT EVENTS</w:t>
      </w:r>
    </w:p>
    <w:p>
      <w:pPr>
        <w:spacing w:after="0" w:line="140"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Subsequent to year end, we issued an additional $11.3 million in aggregate principal of the 2024 Notes at par value, generating net proceeds of $10.9 million after underwriting discounts and offering expenses payable by us, as a result of the underwriters’ full exercise of the option to purchase additional 2024 Notes we granted to them in connection with the offering that closed in September 2019. In total, the Company has issued $86.3 of 2024 Notes at par value, generating net proceeds of $83.2 million.</w:t>
      </w:r>
    </w:p>
    <w:p>
      <w:pPr>
        <w:spacing w:after="0" w:line="115" w:lineRule="exact"/>
        <w:rPr>
          <w:sz w:val="20"/>
          <w:szCs w:val="20"/>
          <w:color w:val="auto"/>
        </w:rPr>
      </w:pPr>
    </w:p>
    <w:p>
      <w:pPr>
        <w:ind w:right="100" w:firstLine="438"/>
        <w:spacing w:after="0" w:line="287" w:lineRule="auto"/>
        <w:rPr>
          <w:sz w:val="20"/>
          <w:szCs w:val="20"/>
          <w:color w:val="auto"/>
        </w:rPr>
      </w:pPr>
      <w:r>
        <w:rPr>
          <w:rFonts w:ascii="Arial" w:cs="Arial" w:eastAsia="Arial" w:hAnsi="Arial"/>
          <w:sz w:val="14"/>
          <w:szCs w:val="14"/>
          <w:color w:val="auto"/>
        </w:rPr>
        <w:t>Subsequent to year end, the SBA issued a "green light" or "go forth" letter inviting the Company to file an application to obtain a license to form and operate a third Small Business Investment Company ("SBIC") subsidiary. Receipt of a green light letter from the SBA does not assure an applicant that the SBA will ultimately issue an SBIC license or of the timeframe in which it would receive a license, should one ultimately be granted.</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Subsequent to year end, we have invested approximately $70 million.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color w:val="auto"/>
        </w:rPr>
        <w:t>SUPPLEMENTARY DATA</w:t>
      </w:r>
    </w:p>
    <w:p>
      <w:pPr>
        <w:jc w:val="center"/>
        <w:spacing w:after="0" w:line="221" w:lineRule="auto"/>
        <w:rPr>
          <w:sz w:val="20"/>
          <w:szCs w:val="20"/>
          <w:color w:val="auto"/>
        </w:rPr>
      </w:pPr>
      <w:r>
        <w:rPr>
          <w:rFonts w:ascii="Arial" w:cs="Arial" w:eastAsia="Arial" w:hAnsi="Arial"/>
          <w:sz w:val="14"/>
          <w:szCs w:val="14"/>
          <w:color w:val="auto"/>
        </w:rPr>
        <w:t>Selected Quarterly Data (Unaudited)</w:t>
      </w:r>
    </w:p>
    <w:p>
      <w:pPr>
        <w:jc w:val="center"/>
        <w:spacing w:after="0"/>
        <w:rPr>
          <w:sz w:val="20"/>
          <w:szCs w:val="20"/>
          <w:color w:val="auto"/>
        </w:rPr>
      </w:pPr>
      <w:r>
        <w:rPr>
          <w:rFonts w:ascii="Arial" w:cs="Arial" w:eastAsia="Arial" w:hAnsi="Arial"/>
          <w:sz w:val="14"/>
          <w:szCs w:val="14"/>
          <w:color w:val="auto"/>
        </w:rPr>
        <w:t>(dollar amounts in thousands, except per share data)</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jc w:val="right"/>
              <w:ind w:right="74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27,926</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28,113</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28,688</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27,380</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9,619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11,650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10,753</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12,575</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change in unrealized loss</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(1,356)</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(6,021)</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(15,499)</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(5,796)</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(decrease)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8,264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5,629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(4,746)</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6,778</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(decrease)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(0.07)</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8.68</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8.74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8.83</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6.27</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6.91</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27,624</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24,760</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27,226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28,668</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13,975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11,776</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13,415</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14,168</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(loss) gain</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(1,502)</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5,134</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(7,380)</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(1,873)</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12,473</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16,910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6,035</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12,295</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0.24</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9.11</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9.00</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7.46</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6.68</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27,866</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31,084</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33,715</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31,869</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12,768</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12,460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16,169</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15,041</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gain (loss)</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(5,344)</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6,319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(4,709)</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9,008</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(decrease)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7,424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18,779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11,460</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24,049</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(decrease)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0.16</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9.18</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9.09</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8.14</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CFF"/>
          </w:tcPr>
          <w:p>
            <w:pPr>
              <w:spacing w:after="0"/>
              <w:rPr>
                <w:sz w:val="14"/>
                <w:szCs w:val="14"/>
                <w:color w:val="auto"/>
              </w:rPr>
            </w:pPr>
          </w:p>
        </w:tc>
      </w:tr>
    </w:tbl>
    <w:p>
      <w:pPr>
        <w:spacing w:after="0" w:line="130"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3" w:name="page74"/>
    <w:bookmarkEnd w:id="73"/>
    <w:p>
      <w:pPr>
        <w:spacing w:after="0"/>
        <w:tabs>
          <w:tab w:leader="none" w:pos="9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September 30, 2019,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Management’s Report on Internal Control Over Financial Reporting, which appears on page 48 of this Form 10-K, is incorporated by reference herein.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14"/>
          <w:szCs w:val="14"/>
          <w:b w:val="1"/>
          <w:bCs w:val="1"/>
          <w:color w:val="auto"/>
        </w:rPr>
        <w:t>PART III</w:t>
      </w:r>
    </w:p>
    <w:p>
      <w:pPr>
        <w:spacing w:after="0" w:line="140"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will file a definitive Proxy Statement for our 2020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9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2020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2020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2020 Annual Meeting of Stockholders, to be filed with the SEC within 120 days following the end of our fiscal year.</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2020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2020 Annual Meeting of Stockholders, to be filed with the SEC within 120 days following the end of our fiscal year.</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4"/>
          <w:szCs w:val="14"/>
          <w:b w:val="1"/>
          <w:bCs w:val="1"/>
          <w:color w:val="auto"/>
        </w:rPr>
        <w:t>PART IV</w:t>
      </w:r>
    </w:p>
    <w:p>
      <w:pPr>
        <w:spacing w:after="0" w:line="136"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23" w:lineRule="exact"/>
        <w:rPr>
          <w:sz w:val="20"/>
          <w:szCs w:val="20"/>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Financial Statements—Refer to Item 8 starting on page 47.</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Financial Statement Schedules—None.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Exhibits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3.1</w:t>
            </w:r>
          </w:p>
        </w:tc>
        <w:tc>
          <w:tcPr>
            <w:tcW w:w="10520" w:type="dxa"/>
            <w:vAlign w:val="bottom"/>
            <w:gridSpan w:val="31"/>
          </w:tcPr>
          <w:p>
            <w:pPr>
              <w:spacing w:after="0"/>
              <w:rPr>
                <w:rFonts w:ascii="Arial" w:cs="Arial" w:eastAsia="Arial" w:hAnsi="Arial"/>
                <w:sz w:val="14"/>
                <w:szCs w:val="14"/>
                <w:color w:val="0000EE"/>
                <w:w w:val="95"/>
              </w:rPr>
            </w:pPr>
            <w:hyperlink r:id="rId141">
              <w:r>
                <w:rPr>
                  <w:rFonts w:ascii="Arial" w:cs="Arial" w:eastAsia="Arial" w:hAnsi="Arial"/>
                  <w:sz w:val="14"/>
                  <w:szCs w:val="14"/>
                  <w:color w:val="0000EE"/>
                  <w:w w:val="95"/>
                </w:rPr>
                <w:t>Articles of Incorporation (Incorporated by reference to Exhibit 99(a) to the Registrant’s Pre-Effective Amendment No. 3 to the Registration Statement on Form N-2/A (File No. 333-</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440" w:type="dxa"/>
            <w:vAlign w:val="bottom"/>
            <w:tcBorders>
              <w:top w:val="single" w:sz="8" w:color="0000EE"/>
            </w:tcBorders>
            <w:gridSpan w:val="27"/>
          </w:tcPr>
          <w:p>
            <w:pPr>
              <w:spacing w:after="0" w:line="129" w:lineRule="exact"/>
              <w:rPr>
                <w:rFonts w:ascii="Arial" w:cs="Arial" w:eastAsia="Arial" w:hAnsi="Arial"/>
                <w:sz w:val="14"/>
                <w:szCs w:val="14"/>
                <w:color w:val="0000EE"/>
              </w:rPr>
            </w:pPr>
            <w:hyperlink r:id="rId141">
              <w:r>
                <w:rPr>
                  <w:rFonts w:ascii="Arial" w:cs="Arial" w:eastAsia="Arial" w:hAnsi="Arial"/>
                  <w:sz w:val="14"/>
                  <w:szCs w:val="14"/>
                  <w:color w:val="0000EE"/>
                </w:rPr>
                <w:t>140092)</w:t>
              </w:r>
              <w:r>
                <w:rPr>
                  <w:rFonts w:ascii="Arial" w:cs="Arial" w:eastAsia="Arial" w:hAnsi="Arial"/>
                  <w:sz w:val="14"/>
                  <w:szCs w:val="14"/>
                  <w:u w:val="single" w:color="auto"/>
                  <w:color w:val="0000EE"/>
                </w:rPr>
                <w:t>,</w:t>
              </w:r>
              <w:r>
                <w:rPr>
                  <w:rFonts w:ascii="Arial" w:cs="Arial" w:eastAsia="Arial" w:hAnsi="Arial"/>
                  <w:sz w:val="14"/>
                  <w:szCs w:val="14"/>
                  <w:color w:val="0000EE"/>
                </w:rPr>
                <w:t xml:space="preserve"> filed on April 5, 2007).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right"/>
              <w:ind w:right="388"/>
              <w:spacing w:after="0"/>
              <w:rPr>
                <w:sz w:val="20"/>
                <w:szCs w:val="20"/>
                <w:color w:val="auto"/>
              </w:rPr>
            </w:pPr>
            <w:r>
              <w:rPr>
                <w:rFonts w:ascii="Arial" w:cs="Arial" w:eastAsia="Arial" w:hAnsi="Arial"/>
                <w:sz w:val="14"/>
                <w:szCs w:val="14"/>
                <w:color w:val="auto"/>
              </w:rPr>
              <w:t>3.2</w:t>
            </w: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0" w:type="dxa"/>
            <w:vAlign w:val="bottom"/>
            <w:vMerge w:val="continue"/>
          </w:tcPr>
          <w:p>
            <w:pPr>
              <w:spacing w:after="0"/>
              <w:rPr>
                <w:sz w:val="24"/>
                <w:szCs w:val="24"/>
                <w:color w:val="auto"/>
              </w:rPr>
            </w:pPr>
          </w:p>
        </w:tc>
        <w:tc>
          <w:tcPr>
            <w:tcW w:w="10520" w:type="dxa"/>
            <w:vAlign w:val="bottom"/>
            <w:gridSpan w:val="31"/>
          </w:tcPr>
          <w:p>
            <w:pPr>
              <w:spacing w:after="0"/>
              <w:rPr>
                <w:rFonts w:ascii="Arial" w:cs="Arial" w:eastAsia="Arial" w:hAnsi="Arial"/>
                <w:sz w:val="14"/>
                <w:szCs w:val="14"/>
                <w:color w:val="0000EE"/>
                <w:w w:val="95"/>
              </w:rPr>
            </w:pPr>
            <w:hyperlink r:id="rId142">
              <w:r>
                <w:rPr>
                  <w:rFonts w:ascii="Arial" w:cs="Arial" w:eastAsia="Arial" w:hAnsi="Arial"/>
                  <w:sz w:val="14"/>
                  <w:szCs w:val="14"/>
                  <w:color w:val="0000EE"/>
                  <w:w w:val="95"/>
                </w:rPr>
                <w:t>Amended and Restated Bylaws of the Registrant (Incorporated by reference to Exhibit 3.1 to the Registrant’s Current Report on Form 8-K (File No. 814-00736), filed on December</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52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0"/>
              </w:rPr>
            </w:pPr>
            <w:hyperlink r:id="rId142">
              <w:r>
                <w:rPr>
                  <w:rFonts w:ascii="Arial" w:cs="Arial" w:eastAsia="Arial" w:hAnsi="Arial"/>
                  <w:sz w:val="14"/>
                  <w:szCs w:val="14"/>
                  <w:color w:val="0000EE"/>
                  <w:w w:val="90"/>
                </w:rPr>
                <w:t>2, 2015).</w:t>
              </w:r>
            </w:hyperlink>
          </w:p>
        </w:tc>
        <w:tc>
          <w:tcPr>
            <w:tcW w:w="56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04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39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9"/>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4.1</w:t>
            </w:r>
          </w:p>
        </w:tc>
        <w:tc>
          <w:tcPr>
            <w:tcW w:w="10520" w:type="dxa"/>
            <w:vAlign w:val="bottom"/>
            <w:gridSpan w:val="31"/>
          </w:tcPr>
          <w:p>
            <w:pPr>
              <w:spacing w:after="0"/>
              <w:rPr>
                <w:rFonts w:ascii="Arial" w:cs="Arial" w:eastAsia="Arial" w:hAnsi="Arial"/>
                <w:sz w:val="14"/>
                <w:szCs w:val="14"/>
                <w:u w:val="single" w:color="auto"/>
                <w:color w:val="0000EE"/>
                <w:w w:val="98"/>
              </w:rPr>
            </w:pPr>
            <w:hyperlink r:id="rId143">
              <w:r>
                <w:rPr>
                  <w:rFonts w:ascii="Arial" w:cs="Arial" w:eastAsia="Arial" w:hAnsi="Arial"/>
                  <w:sz w:val="14"/>
                  <w:szCs w:val="14"/>
                  <w:u w:val="single" w:color="auto"/>
                  <w:color w:val="0000EE"/>
                  <w:w w:val="98"/>
                </w:rPr>
                <w:t>Form of Share Certificate (Incorporated by reference to Exhibit 99(d)(1) to the Registrant’s Registration Statement on Form N-2 (File No. 333-150033), filed on April 2, 2008).</w:t>
              </w:r>
            </w:hyperlink>
          </w:p>
        </w:tc>
        <w:tc>
          <w:tcPr>
            <w:tcW w:w="0" w:type="dxa"/>
            <w:vAlign w:val="bottom"/>
          </w:tcPr>
          <w:p>
            <w:pPr>
              <w:spacing w:after="0"/>
              <w:rPr>
                <w:sz w:val="1"/>
                <w:szCs w:val="1"/>
                <w:color w:val="auto"/>
              </w:rPr>
            </w:pPr>
          </w:p>
        </w:tc>
      </w:tr>
      <w:tr>
        <w:trPr>
          <w:trHeight w:val="268"/>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4.2</w:t>
            </w:r>
          </w:p>
        </w:tc>
        <w:tc>
          <w:tcPr>
            <w:tcW w:w="10520" w:type="dxa"/>
            <w:vAlign w:val="bottom"/>
            <w:gridSpan w:val="31"/>
          </w:tcPr>
          <w:p>
            <w:pPr>
              <w:spacing w:after="0"/>
              <w:rPr>
                <w:rFonts w:ascii="Arial" w:cs="Arial" w:eastAsia="Arial" w:hAnsi="Arial"/>
                <w:sz w:val="14"/>
                <w:szCs w:val="14"/>
                <w:color w:val="0000EE"/>
                <w:w w:val="93"/>
              </w:rPr>
            </w:pPr>
            <w:hyperlink r:id="rId144">
              <w:r>
                <w:rPr>
                  <w:rFonts w:ascii="Arial" w:cs="Arial" w:eastAsia="Arial" w:hAnsi="Arial"/>
                  <w:sz w:val="14"/>
                  <w:szCs w:val="14"/>
                  <w:color w:val="0000EE"/>
                  <w:w w:val="93"/>
                </w:rPr>
                <w:t>Base Indenture, dated as of January 22, 2013, relating to the 6.25% Senior Notes due 2025, between the Registrant and American Stock Transfer &amp; Trust Company, LLC, as trustee</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360" w:type="dxa"/>
            <w:vAlign w:val="bottom"/>
            <w:tcBorders>
              <w:top w:val="single" w:sz="8" w:color="0000EE"/>
            </w:tcBorders>
            <w:gridSpan w:val="23"/>
          </w:tcPr>
          <w:p>
            <w:pPr>
              <w:spacing w:after="0" w:line="129" w:lineRule="exact"/>
              <w:rPr>
                <w:rFonts w:ascii="Arial" w:cs="Arial" w:eastAsia="Arial" w:hAnsi="Arial"/>
                <w:sz w:val="14"/>
                <w:szCs w:val="14"/>
                <w:color w:val="0000EE"/>
                <w:w w:val="96"/>
              </w:rPr>
            </w:pPr>
            <w:hyperlink r:id="rId144">
              <w:r>
                <w:rPr>
                  <w:rFonts w:ascii="Arial" w:cs="Arial" w:eastAsia="Arial" w:hAnsi="Arial"/>
                  <w:sz w:val="14"/>
                  <w:szCs w:val="14"/>
                  <w:color w:val="0000EE"/>
                  <w:w w:val="96"/>
                </w:rPr>
                <w:t>(Incorporated by reference to Exhibit 99(d)(8) to the Registrant’s Post-Effective Amendment No.4 to the Registration Statement on Form N-2/A (File No.333-172524), filed 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8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w w:val="90"/>
              </w:rPr>
            </w:pPr>
            <w:hyperlink r:id="rId144">
              <w:r>
                <w:rPr>
                  <w:rFonts w:ascii="Arial" w:cs="Arial" w:eastAsia="Arial" w:hAnsi="Arial"/>
                  <w:sz w:val="14"/>
                  <w:szCs w:val="14"/>
                  <w:color w:val="0000EE"/>
                  <w:w w:val="90"/>
                </w:rPr>
                <w:t>January 22, 2013).</w:t>
              </w:r>
            </w:hyperlink>
          </w:p>
        </w:tc>
        <w:tc>
          <w:tcPr>
            <w:tcW w:w="9040" w:type="dxa"/>
            <w:vAlign w:val="bottom"/>
            <w:tcBorders>
              <w:top w:val="single" w:sz="8" w:color="0000EE"/>
            </w:tcBorders>
            <w:gridSpan w:val="1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4.3</w:t>
            </w:r>
          </w:p>
        </w:tc>
        <w:tc>
          <w:tcPr>
            <w:tcW w:w="10520" w:type="dxa"/>
            <w:vAlign w:val="bottom"/>
            <w:gridSpan w:val="31"/>
          </w:tcPr>
          <w:p>
            <w:pPr>
              <w:spacing w:after="0"/>
              <w:rPr>
                <w:rFonts w:ascii="Arial" w:cs="Arial" w:eastAsia="Arial" w:hAnsi="Arial"/>
                <w:sz w:val="14"/>
                <w:szCs w:val="14"/>
                <w:color w:val="0000EE"/>
                <w:w w:val="95"/>
              </w:rPr>
            </w:pPr>
            <w:hyperlink r:id="rId145">
              <w:r>
                <w:rPr>
                  <w:rFonts w:ascii="Arial" w:cs="Arial" w:eastAsia="Arial" w:hAnsi="Arial"/>
                  <w:sz w:val="14"/>
                  <w:szCs w:val="14"/>
                  <w:color w:val="0000EE"/>
                  <w:w w:val="95"/>
                </w:rPr>
                <w:t>Second Supplemental Indenture, dated as of September 23, 2014, relating to the 4.50% Notes due 2019, between the Registrant and American Stock Transfer &amp; Trust Company,</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180" w:type="dxa"/>
            <w:vAlign w:val="bottom"/>
            <w:tcBorders>
              <w:top w:val="single" w:sz="8" w:color="0000EE"/>
              <w:bottom w:val="single" w:sz="8" w:color="0000EE"/>
            </w:tcBorders>
            <w:gridSpan w:val="18"/>
          </w:tcPr>
          <w:p>
            <w:pPr>
              <w:spacing w:after="0" w:line="129" w:lineRule="exact"/>
              <w:rPr>
                <w:rFonts w:ascii="Arial" w:cs="Arial" w:eastAsia="Arial" w:hAnsi="Arial"/>
                <w:sz w:val="14"/>
                <w:szCs w:val="14"/>
                <w:color w:val="0000EE"/>
                <w:w w:val="93"/>
              </w:rPr>
            </w:pPr>
            <w:hyperlink r:id="rId145">
              <w:r>
                <w:rPr>
                  <w:rFonts w:ascii="Arial" w:cs="Arial" w:eastAsia="Arial" w:hAnsi="Arial"/>
                  <w:sz w:val="14"/>
                  <w:szCs w:val="14"/>
                  <w:color w:val="0000EE"/>
                  <w:w w:val="93"/>
                </w:rPr>
                <w:t>LLC, as trustee (Incorporated by reference to Exhibit 99 (d)(11) to the Registrant’s Post-Effective Amendment No. 2 to Form N-2 (File No. 333-192782), filed on September 23,</w:t>
              </w:r>
            </w:hyperlink>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380" w:type="dxa"/>
            <w:vAlign w:val="bottom"/>
            <w:gridSpan w:val="2"/>
          </w:tcPr>
          <w:p>
            <w:pPr>
              <w:spacing w:after="0" w:line="129" w:lineRule="exact"/>
              <w:rPr>
                <w:rFonts w:ascii="Arial" w:cs="Arial" w:eastAsia="Arial" w:hAnsi="Arial"/>
                <w:sz w:val="14"/>
                <w:szCs w:val="14"/>
                <w:color w:val="0000EE"/>
              </w:rPr>
            </w:pPr>
            <w:hyperlink r:id="rId145">
              <w:r>
                <w:rPr>
                  <w:rFonts w:ascii="Arial" w:cs="Arial" w:eastAsia="Arial" w:hAnsi="Arial"/>
                  <w:sz w:val="14"/>
                  <w:szCs w:val="14"/>
                  <w:color w:val="0000EE"/>
                </w:rPr>
                <w:t>2014.</w:t>
              </w:r>
            </w:hyperlink>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4.4</w:t>
            </w:r>
          </w:p>
        </w:tc>
        <w:tc>
          <w:tcPr>
            <w:tcW w:w="10520" w:type="dxa"/>
            <w:vAlign w:val="bottom"/>
            <w:gridSpan w:val="31"/>
          </w:tcPr>
          <w:p>
            <w:pPr>
              <w:spacing w:after="0"/>
              <w:rPr>
                <w:rFonts w:ascii="Arial" w:cs="Arial" w:eastAsia="Arial" w:hAnsi="Arial"/>
                <w:sz w:val="14"/>
                <w:szCs w:val="14"/>
                <w:u w:val="single" w:color="auto"/>
                <w:color w:val="0000EE"/>
              </w:rPr>
            </w:pPr>
            <w:hyperlink r:id="rId145">
              <w:r>
                <w:rPr>
                  <w:rFonts w:ascii="Arial" w:cs="Arial" w:eastAsia="Arial" w:hAnsi="Arial"/>
                  <w:sz w:val="14"/>
                  <w:szCs w:val="14"/>
                  <w:u w:val="single" w:color="auto"/>
                  <w:color w:val="0000EE"/>
                </w:rPr>
                <w:t>Form of 4.50% Notes due 2019 (included as part of Exhibit 4.3).</w:t>
              </w:r>
            </w:hyperlink>
          </w:p>
        </w:tc>
        <w:tc>
          <w:tcPr>
            <w:tcW w:w="0" w:type="dxa"/>
            <w:vAlign w:val="bottom"/>
          </w:tcPr>
          <w:p>
            <w:pPr>
              <w:spacing w:after="0"/>
              <w:rPr>
                <w:sz w:val="1"/>
                <w:szCs w:val="1"/>
                <w:color w:val="auto"/>
              </w:rPr>
            </w:pPr>
          </w:p>
        </w:tc>
      </w:tr>
      <w:tr>
        <w:trPr>
          <w:trHeight w:val="268"/>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4.5</w:t>
            </w:r>
          </w:p>
        </w:tc>
        <w:tc>
          <w:tcPr>
            <w:tcW w:w="10520" w:type="dxa"/>
            <w:vAlign w:val="bottom"/>
            <w:gridSpan w:val="31"/>
          </w:tcPr>
          <w:p>
            <w:pPr>
              <w:spacing w:after="0"/>
              <w:rPr>
                <w:rFonts w:ascii="Arial" w:cs="Arial" w:eastAsia="Arial" w:hAnsi="Arial"/>
                <w:sz w:val="14"/>
                <w:szCs w:val="14"/>
                <w:color w:val="0000EE"/>
                <w:w w:val="96"/>
              </w:rPr>
            </w:pPr>
            <w:hyperlink r:id="rId146">
              <w:r>
                <w:rPr>
                  <w:rFonts w:ascii="Arial" w:cs="Arial" w:eastAsia="Arial" w:hAnsi="Arial"/>
                  <w:sz w:val="14"/>
                  <w:szCs w:val="14"/>
                  <w:color w:val="0000EE"/>
                  <w:w w:val="96"/>
                </w:rPr>
                <w:t>Third Supplemental Indenture, dated as of September 27, 2019, by and between the Company and American Stock Transfer &amp; Trust Company, LLC, as trustee (Incorporated by</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160" w:type="dxa"/>
            <w:vAlign w:val="bottom"/>
            <w:tcBorders>
              <w:top w:val="single" w:sz="8" w:color="0000EE"/>
            </w:tcBorders>
            <w:gridSpan w:val="17"/>
          </w:tcPr>
          <w:p>
            <w:pPr>
              <w:spacing w:after="0" w:line="129" w:lineRule="exact"/>
              <w:rPr>
                <w:rFonts w:ascii="Arial" w:cs="Arial" w:eastAsia="Arial" w:hAnsi="Arial"/>
                <w:sz w:val="14"/>
                <w:szCs w:val="14"/>
                <w:color w:val="0000EE"/>
              </w:rPr>
            </w:pPr>
            <w:hyperlink r:id="rId146">
              <w:r>
                <w:rPr>
                  <w:rFonts w:ascii="Arial" w:cs="Arial" w:eastAsia="Arial" w:hAnsi="Arial"/>
                  <w:sz w:val="14"/>
                  <w:szCs w:val="14"/>
                  <w:color w:val="0000EE"/>
                </w:rPr>
                <w:t>reference to Exhibit 4.1 to the Registrant’s Form 8-K (File No. 814-00736), filed September 27, 2019).</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4.6</w:t>
            </w:r>
          </w:p>
        </w:tc>
        <w:tc>
          <w:tcPr>
            <w:tcW w:w="5920" w:type="dxa"/>
            <w:vAlign w:val="bottom"/>
            <w:tcBorders>
              <w:top w:val="single" w:sz="8" w:color="0000EE"/>
            </w:tcBorders>
            <w:gridSpan w:val="10"/>
          </w:tcPr>
          <w:p>
            <w:pPr>
              <w:spacing w:after="0"/>
              <w:rPr>
                <w:rFonts w:ascii="Arial" w:cs="Arial" w:eastAsia="Arial" w:hAnsi="Arial"/>
                <w:sz w:val="14"/>
                <w:szCs w:val="14"/>
                <w:u w:val="single" w:color="auto"/>
                <w:color w:val="0000EE"/>
              </w:rPr>
            </w:pPr>
            <w:hyperlink r:id="rId145">
              <w:r>
                <w:rPr>
                  <w:rFonts w:ascii="Arial" w:cs="Arial" w:eastAsia="Arial" w:hAnsi="Arial"/>
                  <w:sz w:val="14"/>
                  <w:szCs w:val="14"/>
                  <w:u w:val="single" w:color="auto"/>
                  <w:color w:val="0000EE"/>
                </w:rPr>
                <w:t>Form of 5.50% Notes due 2024 (included as part of Exhibit 4.5).</w:t>
              </w:r>
            </w:hyperlink>
          </w:p>
        </w:tc>
        <w:tc>
          <w:tcPr>
            <w:tcW w:w="460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Pr>
          <w:p>
            <w:pPr>
              <w:jc w:val="right"/>
              <w:ind w:right="308"/>
              <w:spacing w:after="0"/>
              <w:rPr>
                <w:sz w:val="20"/>
                <w:szCs w:val="20"/>
                <w:color w:val="auto"/>
              </w:rPr>
            </w:pPr>
            <w:r>
              <w:rPr>
                <w:rFonts w:ascii="Arial" w:cs="Arial" w:eastAsia="Arial" w:hAnsi="Arial"/>
                <w:sz w:val="14"/>
                <w:szCs w:val="14"/>
                <w:color w:val="auto"/>
              </w:rPr>
              <w:t>4.7*</w:t>
            </w:r>
          </w:p>
        </w:tc>
        <w:tc>
          <w:tcPr>
            <w:tcW w:w="10520" w:type="dxa"/>
            <w:vAlign w:val="bottom"/>
            <w:gridSpan w:val="31"/>
          </w:tcPr>
          <w:p>
            <w:pPr>
              <w:spacing w:after="0"/>
              <w:rPr>
                <w:rFonts w:ascii="Arial" w:cs="Arial" w:eastAsia="Arial" w:hAnsi="Arial"/>
                <w:sz w:val="14"/>
                <w:szCs w:val="14"/>
                <w:u w:val="single" w:color="auto"/>
                <w:color w:val="0000EE"/>
              </w:rPr>
            </w:pPr>
            <w:hyperlink w:anchor="page90">
              <w:r>
                <w:rPr>
                  <w:rFonts w:ascii="Arial" w:cs="Arial" w:eastAsia="Arial" w:hAnsi="Arial"/>
                  <w:sz w:val="14"/>
                  <w:szCs w:val="14"/>
                  <w:u w:val="single" w:color="auto"/>
                  <w:color w:val="0000EE"/>
                </w:rPr>
                <w:t>Description of Securities</w:t>
              </w:r>
            </w:hyperlink>
          </w:p>
        </w:tc>
        <w:tc>
          <w:tcPr>
            <w:tcW w:w="0" w:type="dxa"/>
            <w:vAlign w:val="bottom"/>
          </w:tcPr>
          <w:p>
            <w:pPr>
              <w:spacing w:after="0"/>
              <w:rPr>
                <w:sz w:val="1"/>
                <w:szCs w:val="1"/>
                <w:color w:val="auto"/>
              </w:rPr>
            </w:pPr>
          </w:p>
        </w:tc>
      </w:tr>
      <w:tr>
        <w:trPr>
          <w:trHeight w:val="268"/>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10.1</w:t>
            </w:r>
          </w:p>
        </w:tc>
        <w:tc>
          <w:tcPr>
            <w:tcW w:w="10520" w:type="dxa"/>
            <w:vAlign w:val="bottom"/>
            <w:gridSpan w:val="31"/>
          </w:tcPr>
          <w:p>
            <w:pPr>
              <w:spacing w:after="0"/>
              <w:rPr>
                <w:rFonts w:ascii="Arial" w:cs="Arial" w:eastAsia="Arial" w:hAnsi="Arial"/>
                <w:sz w:val="14"/>
                <w:szCs w:val="14"/>
                <w:color w:val="0000EE"/>
                <w:w w:val="98"/>
              </w:rPr>
            </w:pPr>
            <w:hyperlink r:id="rId147">
              <w:r>
                <w:rPr>
                  <w:rFonts w:ascii="Arial" w:cs="Arial" w:eastAsia="Arial" w:hAnsi="Arial"/>
                  <w:sz w:val="14"/>
                  <w:szCs w:val="14"/>
                  <w:color w:val="0000EE"/>
                  <w:w w:val="98"/>
                </w:rPr>
                <w:t>Form of Administration Agreement between the Registrant and PennantPark Investment Administration LLC (Incorporated by reference to Exhibit 99(k)(1) to the Registrant’s</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08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r:id="rId147">
              <w:r>
                <w:rPr>
                  <w:rFonts w:ascii="Arial" w:cs="Arial" w:eastAsia="Arial" w:hAnsi="Arial"/>
                  <w:sz w:val="14"/>
                  <w:szCs w:val="14"/>
                  <w:color w:val="0000EE"/>
                </w:rPr>
                <w:t>Registration Statement on Form N-2 (File No. 333-150033), filed on April 2, 2008).</w:t>
              </w:r>
            </w:hyperlink>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10.2</w:t>
            </w:r>
          </w:p>
        </w:tc>
        <w:tc>
          <w:tcPr>
            <w:tcW w:w="10520" w:type="dxa"/>
            <w:vAlign w:val="bottom"/>
            <w:gridSpan w:val="31"/>
          </w:tcPr>
          <w:p>
            <w:pPr>
              <w:spacing w:after="0"/>
              <w:rPr>
                <w:rFonts w:ascii="Arial" w:cs="Arial" w:eastAsia="Arial" w:hAnsi="Arial"/>
                <w:sz w:val="14"/>
                <w:szCs w:val="14"/>
                <w:u w:val="single" w:color="auto"/>
                <w:color w:val="0000EE"/>
                <w:w w:val="97"/>
              </w:rPr>
            </w:pPr>
            <w:hyperlink r:id="rId148">
              <w:r>
                <w:rPr>
                  <w:rFonts w:ascii="Arial" w:cs="Arial" w:eastAsia="Arial" w:hAnsi="Arial"/>
                  <w:sz w:val="14"/>
                  <w:szCs w:val="14"/>
                  <w:u w:val="single" w:color="auto"/>
                  <w:color w:val="0000EE"/>
                  <w:w w:val="97"/>
                </w:rPr>
                <w:t>Dividend Reinvestment Plan (Incorporated by reference to Exhibit 99(e) to the Registrant’s Registration Statement on Form N-2 (File No. 333-150033), filed on April 2, 2008).</w:t>
              </w:r>
            </w:hyperlink>
          </w:p>
        </w:tc>
        <w:tc>
          <w:tcPr>
            <w:tcW w:w="0" w:type="dxa"/>
            <w:vAlign w:val="bottom"/>
          </w:tcPr>
          <w:p>
            <w:pPr>
              <w:spacing w:after="0"/>
              <w:rPr>
                <w:sz w:val="1"/>
                <w:szCs w:val="1"/>
                <w:color w:val="auto"/>
              </w:rPr>
            </w:pPr>
          </w:p>
        </w:tc>
      </w:tr>
      <w:tr>
        <w:trPr>
          <w:trHeight w:val="269"/>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10.3</w:t>
            </w:r>
          </w:p>
        </w:tc>
        <w:tc>
          <w:tcPr>
            <w:tcW w:w="10520" w:type="dxa"/>
            <w:vAlign w:val="bottom"/>
            <w:gridSpan w:val="31"/>
          </w:tcPr>
          <w:p>
            <w:pPr>
              <w:spacing w:after="0"/>
              <w:rPr>
                <w:rFonts w:ascii="Arial" w:cs="Arial" w:eastAsia="Arial" w:hAnsi="Arial"/>
                <w:sz w:val="14"/>
                <w:szCs w:val="14"/>
                <w:color w:val="0000EE"/>
                <w:w w:val="93"/>
              </w:rPr>
            </w:pPr>
            <w:hyperlink r:id="rId149">
              <w:r>
                <w:rPr>
                  <w:rFonts w:ascii="Arial" w:cs="Arial" w:eastAsia="Arial" w:hAnsi="Arial"/>
                  <w:sz w:val="14"/>
                  <w:szCs w:val="14"/>
                  <w:color w:val="0000EE"/>
                  <w:w w:val="93"/>
                </w:rPr>
                <w:t>First Omnibus Amendment to Second Amended and Restated Senior Secured Revolving Credit Agreement and Second Amended and Restated Guarantee and Security Agreement,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20" w:type="dxa"/>
            <w:vAlign w:val="bottom"/>
          </w:tcPr>
          <w:p>
            <w:pPr>
              <w:spacing w:after="0"/>
              <w:rPr>
                <w:sz w:val="11"/>
                <w:szCs w:val="11"/>
                <w:color w:val="auto"/>
              </w:rPr>
            </w:pPr>
          </w:p>
        </w:tc>
        <w:tc>
          <w:tcPr>
            <w:tcW w:w="10520" w:type="dxa"/>
            <w:vAlign w:val="bottom"/>
            <w:gridSpan w:val="31"/>
          </w:tcPr>
          <w:p>
            <w:pPr>
              <w:spacing w:after="0" w:line="129" w:lineRule="exact"/>
              <w:rPr>
                <w:rFonts w:ascii="Arial" w:cs="Arial" w:eastAsia="Arial" w:hAnsi="Arial"/>
                <w:sz w:val="14"/>
                <w:szCs w:val="14"/>
                <w:color w:val="0000EE"/>
                <w:w w:val="93"/>
              </w:rPr>
            </w:pPr>
            <w:hyperlink r:id="rId149">
              <w:r>
                <w:rPr>
                  <w:rFonts w:ascii="Arial" w:cs="Arial" w:eastAsia="Arial" w:hAnsi="Arial"/>
                  <w:sz w:val="14"/>
                  <w:szCs w:val="14"/>
                  <w:color w:val="0000EE"/>
                  <w:w w:val="93"/>
                </w:rPr>
                <w:t>dated as of May 25, 2017, among the Registrant, the lenders party thereto and SunTrust Bank, as administrative agent for the lenders (Incorporated by reference to Exhibit 10.1 to the</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480" w:type="dxa"/>
            <w:vAlign w:val="bottom"/>
            <w:tcBorders>
              <w:top w:val="single" w:sz="8" w:color="0000EE"/>
            </w:tcBorders>
            <w:gridSpan w:val="29"/>
          </w:tcPr>
          <w:p>
            <w:pPr>
              <w:spacing w:after="0" w:line="129" w:lineRule="exact"/>
              <w:rPr>
                <w:rFonts w:ascii="Arial" w:cs="Arial" w:eastAsia="Arial" w:hAnsi="Arial"/>
                <w:sz w:val="14"/>
                <w:szCs w:val="14"/>
                <w:color w:val="0000EE"/>
              </w:rPr>
            </w:pPr>
            <w:hyperlink r:id="rId149">
              <w:r>
                <w:rPr>
                  <w:rFonts w:ascii="Arial" w:cs="Arial" w:eastAsia="Arial" w:hAnsi="Arial"/>
                  <w:sz w:val="14"/>
                  <w:szCs w:val="14"/>
                  <w:color w:val="0000EE"/>
                </w:rPr>
                <w:t>Registrant’s Quarterly Report on Form 10-Q (File No. 814-00736), filed on August 7, 2017).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10.4</w:t>
            </w:r>
          </w:p>
        </w:tc>
        <w:tc>
          <w:tcPr>
            <w:tcW w:w="10520" w:type="dxa"/>
            <w:vAlign w:val="bottom"/>
            <w:gridSpan w:val="31"/>
          </w:tcPr>
          <w:p>
            <w:pPr>
              <w:spacing w:after="0"/>
              <w:rPr>
                <w:rFonts w:ascii="Arial" w:cs="Arial" w:eastAsia="Arial" w:hAnsi="Arial"/>
                <w:sz w:val="14"/>
                <w:szCs w:val="14"/>
                <w:color w:val="0000EE"/>
                <w:w w:val="96"/>
              </w:rPr>
            </w:pPr>
            <w:hyperlink r:id="rId150">
              <w:r>
                <w:rPr>
                  <w:rFonts w:ascii="Arial" w:cs="Arial" w:eastAsia="Arial" w:hAnsi="Arial"/>
                  <w:sz w:val="14"/>
                  <w:szCs w:val="14"/>
                  <w:color w:val="0000EE"/>
                  <w:w w:val="96"/>
                </w:rPr>
                <w:t>Indemnification Agreement, dated as of November 15, 2016, between PennantPark Investment Corporation and each of the directors and officers listed on Schedule A attached</w:t>
              </w:r>
            </w:hyperlink>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0100" w:type="dxa"/>
            <w:vAlign w:val="bottom"/>
            <w:tcBorders>
              <w:top w:val="single" w:sz="8" w:color="0000EE"/>
            </w:tcBorders>
            <w:gridSpan w:val="15"/>
          </w:tcPr>
          <w:p>
            <w:pPr>
              <w:spacing w:after="0"/>
              <w:rPr>
                <w:rFonts w:ascii="Arial" w:cs="Arial" w:eastAsia="Arial" w:hAnsi="Arial"/>
                <w:sz w:val="14"/>
                <w:szCs w:val="14"/>
                <w:u w:val="single" w:color="auto"/>
                <w:color w:val="0000EE"/>
              </w:rPr>
            </w:pPr>
            <w:hyperlink r:id="rId150">
              <w:r>
                <w:rPr>
                  <w:rFonts w:ascii="Arial" w:cs="Arial" w:eastAsia="Arial" w:hAnsi="Arial"/>
                  <w:sz w:val="14"/>
                  <w:szCs w:val="14"/>
                  <w:u w:val="single" w:color="auto"/>
                  <w:color w:val="0000EE"/>
                </w:rPr>
                <w:t>thereto (Incorporated by reference to Exhibit 10.5 to the Registrant’s Annual Report on Form 10-K (File No. 814-00736) filed on November 21, 2016).</w:t>
              </w:r>
            </w:hyperlink>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10.5</w:t>
            </w:r>
          </w:p>
        </w:tc>
        <w:tc>
          <w:tcPr>
            <w:tcW w:w="10020" w:type="dxa"/>
            <w:vAlign w:val="bottom"/>
            <w:tcBorders>
              <w:bottom w:val="single" w:sz="8" w:color="0000EE"/>
            </w:tcBorders>
            <w:gridSpan w:val="13"/>
          </w:tcPr>
          <w:p>
            <w:pPr>
              <w:spacing w:after="0"/>
              <w:rPr>
                <w:rFonts w:ascii="Arial" w:cs="Arial" w:eastAsia="Arial" w:hAnsi="Arial"/>
                <w:sz w:val="14"/>
                <w:szCs w:val="14"/>
                <w:color w:val="0000EE"/>
                <w:w w:val="93"/>
              </w:rPr>
            </w:pPr>
            <w:hyperlink r:id="rId151">
              <w:r>
                <w:rPr>
                  <w:rFonts w:ascii="Arial" w:cs="Arial" w:eastAsia="Arial" w:hAnsi="Arial"/>
                  <w:sz w:val="14"/>
                  <w:szCs w:val="14"/>
                  <w:color w:val="0000EE"/>
                  <w:w w:val="93"/>
                </w:rPr>
                <w:t>Revolving Credit and Security Agreement by and among PennantPark Investment Funding I, LLC, as borrower, the lenders from time to time parties thereto, BNP Paribas, as</w:t>
              </w:r>
            </w:hyperlink>
          </w:p>
        </w:tc>
        <w:tc>
          <w:tcPr>
            <w:tcW w:w="50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520" w:type="dxa"/>
            <w:vAlign w:val="bottom"/>
            <w:gridSpan w:val="31"/>
          </w:tcPr>
          <w:p>
            <w:pPr>
              <w:spacing w:after="0" w:line="129" w:lineRule="exact"/>
              <w:rPr>
                <w:rFonts w:ascii="Arial" w:cs="Arial" w:eastAsia="Arial" w:hAnsi="Arial"/>
                <w:sz w:val="14"/>
                <w:szCs w:val="14"/>
                <w:color w:val="0000EE"/>
                <w:w w:val="93"/>
              </w:rPr>
            </w:pPr>
            <w:hyperlink r:id="rId151">
              <w:r>
                <w:rPr>
                  <w:rFonts w:ascii="Arial" w:cs="Arial" w:eastAsia="Arial" w:hAnsi="Arial"/>
                  <w:sz w:val="14"/>
                  <w:szCs w:val="14"/>
                  <w:color w:val="0000EE"/>
                  <w:w w:val="93"/>
                </w:rPr>
                <w:t>administrative agent, PennantPark Investment Corporation, as equityholder, PennantPark Investment Advisers, LLC, as servicer, and The Bank of New York Mellon Trust Company,</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460" w:type="dxa"/>
            <w:vAlign w:val="bottom"/>
            <w:tcBorders>
              <w:top w:val="single" w:sz="8" w:color="0000EE"/>
            </w:tcBorders>
            <w:gridSpan w:val="28"/>
          </w:tcPr>
          <w:p>
            <w:pPr>
              <w:spacing w:after="0" w:line="129" w:lineRule="exact"/>
              <w:rPr>
                <w:rFonts w:ascii="Arial" w:cs="Arial" w:eastAsia="Arial" w:hAnsi="Arial"/>
                <w:sz w:val="14"/>
                <w:szCs w:val="14"/>
                <w:color w:val="0000EE"/>
                <w:w w:val="95"/>
              </w:rPr>
            </w:pPr>
            <w:hyperlink r:id="rId151">
              <w:r>
                <w:rPr>
                  <w:rFonts w:ascii="Arial" w:cs="Arial" w:eastAsia="Arial" w:hAnsi="Arial"/>
                  <w:sz w:val="14"/>
                  <w:szCs w:val="14"/>
                  <w:color w:val="0000EE"/>
                  <w:w w:val="95"/>
                </w:rPr>
                <w:t>National Association, as collateral agent, dated as of February 22, 2019 (Incorporated by reference to Exhibit 10.1 to the Registrant’s Current Report on Form 8-K (File No. 814-</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220" w:type="dxa"/>
            <w:vAlign w:val="bottom"/>
            <w:tcBorders>
              <w:top w:val="single" w:sz="8" w:color="0000EE"/>
            </w:tcBorders>
            <w:gridSpan w:val="20"/>
          </w:tcPr>
          <w:p>
            <w:pPr>
              <w:spacing w:after="0" w:line="129" w:lineRule="exact"/>
              <w:rPr>
                <w:rFonts w:ascii="Arial" w:cs="Arial" w:eastAsia="Arial" w:hAnsi="Arial"/>
                <w:sz w:val="14"/>
                <w:szCs w:val="14"/>
                <w:color w:val="0000EE"/>
              </w:rPr>
            </w:pPr>
            <w:hyperlink r:id="rId151">
              <w:r>
                <w:rPr>
                  <w:rFonts w:ascii="Arial" w:cs="Arial" w:eastAsia="Arial" w:hAnsi="Arial"/>
                  <w:sz w:val="14"/>
                  <w:szCs w:val="14"/>
                  <w:color w:val="0000EE"/>
                </w:rPr>
                <w:t>00736)</w:t>
              </w:r>
              <w:r>
                <w:rPr>
                  <w:rFonts w:ascii="Arial" w:cs="Arial" w:eastAsia="Arial" w:hAnsi="Arial"/>
                  <w:sz w:val="14"/>
                  <w:szCs w:val="14"/>
                  <w:u w:val="single" w:color="auto"/>
                  <w:color w:val="0000EE"/>
                </w:rPr>
                <w:t>,</w:t>
              </w:r>
              <w:r>
                <w:rPr>
                  <w:rFonts w:ascii="Arial" w:cs="Arial" w:eastAsia="Arial" w:hAnsi="Arial"/>
                  <w:sz w:val="14"/>
                  <w:szCs w:val="14"/>
                  <w:color w:val="0000EE"/>
                </w:rPr>
                <w:t xml:space="preserve"> filed on February 26, 2019).</w:t>
              </w:r>
            </w:hyperlink>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10.6</w:t>
            </w:r>
          </w:p>
        </w:tc>
        <w:tc>
          <w:tcPr>
            <w:tcW w:w="10340" w:type="dxa"/>
            <w:vAlign w:val="bottom"/>
            <w:tcBorders>
              <w:bottom w:val="single" w:sz="8" w:color="0000EE"/>
            </w:tcBorders>
            <w:gridSpan w:val="22"/>
          </w:tcPr>
          <w:p>
            <w:pPr>
              <w:spacing w:after="0"/>
              <w:rPr>
                <w:rFonts w:ascii="Arial" w:cs="Arial" w:eastAsia="Arial" w:hAnsi="Arial"/>
                <w:sz w:val="14"/>
                <w:szCs w:val="14"/>
                <w:color w:val="0000EE"/>
                <w:w w:val="94"/>
              </w:rPr>
            </w:pPr>
            <w:hyperlink r:id="rId152">
              <w:r>
                <w:rPr>
                  <w:rFonts w:ascii="Arial" w:cs="Arial" w:eastAsia="Arial" w:hAnsi="Arial"/>
                  <w:sz w:val="14"/>
                  <w:szCs w:val="14"/>
                  <w:color w:val="0000EE"/>
                  <w:w w:val="94"/>
                </w:rPr>
                <w:t>Account Control Agreement by and among PennantPark Investment Funding I, LLC, as pledgor, The Bank of New York Mellon Trust Company, National Association, as secured</w:t>
              </w:r>
            </w:hyperlink>
          </w:p>
        </w:tc>
        <w:tc>
          <w:tcPr>
            <w:tcW w:w="1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520" w:type="dxa"/>
            <w:vAlign w:val="bottom"/>
            <w:gridSpan w:val="31"/>
          </w:tcPr>
          <w:p>
            <w:pPr>
              <w:spacing w:after="0" w:line="129" w:lineRule="exact"/>
              <w:rPr>
                <w:rFonts w:ascii="Arial" w:cs="Arial" w:eastAsia="Arial" w:hAnsi="Arial"/>
                <w:sz w:val="14"/>
                <w:szCs w:val="14"/>
                <w:color w:val="0000EE"/>
                <w:w w:val="94"/>
              </w:rPr>
            </w:pPr>
            <w:hyperlink r:id="rId152">
              <w:r>
                <w:rPr>
                  <w:rFonts w:ascii="Arial" w:cs="Arial" w:eastAsia="Arial" w:hAnsi="Arial"/>
                  <w:sz w:val="14"/>
                  <w:szCs w:val="14"/>
                  <w:color w:val="0000EE"/>
                  <w:w w:val="94"/>
                </w:rPr>
                <w:t>party, PennantPark Investment Advisers, LLC, as servicer, and The Bank of New York Mellon Trust Company, National Association, as securities intermediary, dated as of February</w:t>
              </w:r>
            </w:hyperlink>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0420" w:type="dxa"/>
            <w:vAlign w:val="bottom"/>
            <w:tcBorders>
              <w:top w:val="single" w:sz="8" w:color="0000EE"/>
            </w:tcBorders>
            <w:gridSpan w:val="26"/>
          </w:tcPr>
          <w:p>
            <w:pPr>
              <w:spacing w:after="0"/>
              <w:rPr>
                <w:rFonts w:ascii="Arial" w:cs="Arial" w:eastAsia="Arial" w:hAnsi="Arial"/>
                <w:sz w:val="14"/>
                <w:szCs w:val="14"/>
                <w:u w:val="single" w:color="auto"/>
                <w:color w:val="0000EE"/>
              </w:rPr>
            </w:pPr>
            <w:hyperlink r:id="rId152">
              <w:r>
                <w:rPr>
                  <w:rFonts w:ascii="Arial" w:cs="Arial" w:eastAsia="Arial" w:hAnsi="Arial"/>
                  <w:sz w:val="14"/>
                  <w:szCs w:val="14"/>
                  <w:u w:val="single" w:color="auto"/>
                  <w:color w:val="0000EE"/>
                </w:rPr>
                <w:t>22, 2019 (Incorporated by reference to Exhibit 10.2 to the Registrant’s Current Report on Form 8-K (File No. 814-00736), filed on February 26, 2019).</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10.7</w:t>
            </w:r>
          </w:p>
        </w:tc>
        <w:tc>
          <w:tcPr>
            <w:tcW w:w="10520" w:type="dxa"/>
            <w:vAlign w:val="bottom"/>
            <w:gridSpan w:val="31"/>
          </w:tcPr>
          <w:p>
            <w:pPr>
              <w:spacing w:after="0"/>
              <w:rPr>
                <w:rFonts w:ascii="Arial" w:cs="Arial" w:eastAsia="Arial" w:hAnsi="Arial"/>
                <w:sz w:val="14"/>
                <w:szCs w:val="14"/>
                <w:color w:val="0000EE"/>
                <w:w w:val="95"/>
              </w:rPr>
            </w:pPr>
            <w:hyperlink r:id="rId153">
              <w:r>
                <w:rPr>
                  <w:rFonts w:ascii="Arial" w:cs="Arial" w:eastAsia="Arial" w:hAnsi="Arial"/>
                  <w:sz w:val="14"/>
                  <w:szCs w:val="14"/>
                  <w:color w:val="0000EE"/>
                  <w:w w:val="95"/>
                </w:rPr>
                <w:t>Custodian Agreement by and among PennantPark Investment Funding I, LLC, The Bank of New York Mellon Trust Company, National Association, as custodian, and The Bank of</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380" w:type="dxa"/>
            <w:vAlign w:val="bottom"/>
            <w:tcBorders>
              <w:top w:val="single" w:sz="8" w:color="0000EE"/>
            </w:tcBorders>
            <w:gridSpan w:val="24"/>
          </w:tcPr>
          <w:p>
            <w:pPr>
              <w:spacing w:after="0" w:line="129" w:lineRule="exact"/>
              <w:rPr>
                <w:rFonts w:ascii="Arial" w:cs="Arial" w:eastAsia="Arial" w:hAnsi="Arial"/>
                <w:sz w:val="14"/>
                <w:szCs w:val="14"/>
                <w:color w:val="0000EE"/>
                <w:w w:val="95"/>
              </w:rPr>
            </w:pPr>
            <w:hyperlink r:id="rId153">
              <w:r>
                <w:rPr>
                  <w:rFonts w:ascii="Arial" w:cs="Arial" w:eastAsia="Arial" w:hAnsi="Arial"/>
                  <w:sz w:val="14"/>
                  <w:szCs w:val="14"/>
                  <w:color w:val="0000EE"/>
                  <w:w w:val="95"/>
                </w:rPr>
                <w:t>New York Mellon Trust Company, National Association, as collateral agent, dated as of February 22, 2019 (Incorporated by reference to Exhibit 10.3 to the Registrant’s Current</w:t>
              </w:r>
            </w:hyperlink>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414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94"/>
              </w:rPr>
            </w:pPr>
            <w:hyperlink r:id="rId153">
              <w:r>
                <w:rPr>
                  <w:rFonts w:ascii="Arial" w:cs="Arial" w:eastAsia="Arial" w:hAnsi="Arial"/>
                  <w:sz w:val="14"/>
                  <w:szCs w:val="14"/>
                  <w:color w:val="0000EE"/>
                  <w:w w:val="94"/>
                </w:rPr>
                <w:t>Report on Form 8-K (File No. 814-00736), filed on February 26, 2019).</w:t>
              </w:r>
            </w:hyperlink>
          </w:p>
        </w:tc>
        <w:tc>
          <w:tcPr>
            <w:tcW w:w="6060" w:type="dxa"/>
            <w:vAlign w:val="bottom"/>
            <w:tcBorders>
              <w:top w:val="single" w:sz="8" w:color="0000EE"/>
            </w:tcBorders>
            <w:gridSpan w:val="12"/>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10.8</w:t>
            </w:r>
          </w:p>
        </w:tc>
        <w:tc>
          <w:tcPr>
            <w:tcW w:w="10520" w:type="dxa"/>
            <w:vAlign w:val="bottom"/>
            <w:gridSpan w:val="31"/>
          </w:tcPr>
          <w:p>
            <w:pPr>
              <w:spacing w:after="0"/>
              <w:rPr>
                <w:rFonts w:ascii="Arial" w:cs="Arial" w:eastAsia="Arial" w:hAnsi="Arial"/>
                <w:sz w:val="14"/>
                <w:szCs w:val="14"/>
                <w:color w:val="0000EE"/>
                <w:w w:val="91"/>
              </w:rPr>
            </w:pPr>
            <w:hyperlink r:id="rId154">
              <w:r>
                <w:rPr>
                  <w:rFonts w:ascii="Arial" w:cs="Arial" w:eastAsia="Arial" w:hAnsi="Arial"/>
                  <w:sz w:val="14"/>
                  <w:szCs w:val="14"/>
                  <w:color w:val="0000EE"/>
                  <w:w w:val="91"/>
                </w:rPr>
                <w:t>Purchase and Sale Agreement by and between PennantPark Investment Funding I, LLC, as the purchaser, and PennantPark Investment Corporation, as the seller, dated as of February</w:t>
              </w:r>
            </w:hyperlink>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0500" w:type="dxa"/>
            <w:vAlign w:val="bottom"/>
            <w:tcBorders>
              <w:top w:val="single" w:sz="8" w:color="0000EE"/>
            </w:tcBorders>
            <w:gridSpan w:val="30"/>
          </w:tcPr>
          <w:p>
            <w:pPr>
              <w:spacing w:after="0"/>
              <w:rPr>
                <w:rFonts w:ascii="Arial" w:cs="Arial" w:eastAsia="Arial" w:hAnsi="Arial"/>
                <w:sz w:val="14"/>
                <w:szCs w:val="14"/>
                <w:u w:val="single" w:color="auto"/>
                <w:color w:val="0000EE"/>
              </w:rPr>
            </w:pPr>
            <w:hyperlink r:id="rId154">
              <w:r>
                <w:rPr>
                  <w:rFonts w:ascii="Arial" w:cs="Arial" w:eastAsia="Arial" w:hAnsi="Arial"/>
                  <w:sz w:val="14"/>
                  <w:szCs w:val="14"/>
                  <w:u w:val="single" w:color="auto"/>
                  <w:color w:val="0000EE"/>
                </w:rPr>
                <w:t>22, 2019 (Incorporated by reference to Exhibit 10.4 to the Registrant’s Current Report on Form 8-K (File No. 814-00736), filed on February 26, 2019).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10.9</w:t>
            </w:r>
          </w:p>
        </w:tc>
        <w:tc>
          <w:tcPr>
            <w:tcW w:w="10520" w:type="dxa"/>
            <w:vAlign w:val="bottom"/>
            <w:gridSpan w:val="31"/>
          </w:tcPr>
          <w:p>
            <w:pPr>
              <w:spacing w:after="0"/>
              <w:rPr>
                <w:rFonts w:ascii="Arial" w:cs="Arial" w:eastAsia="Arial" w:hAnsi="Arial"/>
                <w:sz w:val="14"/>
                <w:szCs w:val="14"/>
                <w:color w:val="0000EE"/>
                <w:w w:val="98"/>
              </w:rPr>
            </w:pPr>
            <w:hyperlink r:id="rId155">
              <w:r>
                <w:rPr>
                  <w:rFonts w:ascii="Arial" w:cs="Arial" w:eastAsia="Arial" w:hAnsi="Arial"/>
                  <w:sz w:val="14"/>
                  <w:szCs w:val="14"/>
                  <w:color w:val="0000EE"/>
                  <w:w w:val="98"/>
                </w:rPr>
                <w:t>Third Amended and Restated Investment Advisory Management Agreement, dated as of April 12, 2019, between the Registrant and PennantPark Investment Advisers, LLC</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9940" w:type="dxa"/>
            <w:vAlign w:val="bottom"/>
            <w:tcBorders>
              <w:top w:val="single" w:sz="8" w:color="0000EE"/>
            </w:tcBorders>
            <w:gridSpan w:val="12"/>
          </w:tcPr>
          <w:p>
            <w:pPr>
              <w:spacing w:after="0" w:line="129" w:lineRule="exact"/>
              <w:rPr>
                <w:rFonts w:ascii="Arial" w:cs="Arial" w:eastAsia="Arial" w:hAnsi="Arial"/>
                <w:sz w:val="14"/>
                <w:szCs w:val="14"/>
                <w:color w:val="0000EE"/>
                <w:w w:val="95"/>
              </w:rPr>
            </w:pPr>
            <w:hyperlink r:id="rId155">
              <w:r>
                <w:rPr>
                  <w:rFonts w:ascii="Arial" w:cs="Arial" w:eastAsia="Arial" w:hAnsi="Arial"/>
                  <w:sz w:val="14"/>
                  <w:szCs w:val="14"/>
                  <w:color w:val="0000EE"/>
                  <w:w w:val="95"/>
                </w:rPr>
                <w:t>(Incorporated by reference to Exhibit (g)(3) to the Registrant’s Pre-Effective Amendment No. 1 to the Registration Statement on Form N-2 (File No. 333-230014), filed on</w:t>
              </w:r>
            </w:hyperlink>
          </w:p>
        </w:tc>
        <w:tc>
          <w:tcPr>
            <w:tcW w:w="580" w:type="dxa"/>
            <w:vAlign w:val="bottom"/>
            <w:gridSpan w:val="19"/>
          </w:tcPr>
          <w:p>
            <w:pPr>
              <w:spacing w:after="0" w:line="129" w:lineRule="exact"/>
              <w:rPr>
                <w:rFonts w:ascii="Arial" w:cs="Arial" w:eastAsia="Arial" w:hAnsi="Arial"/>
                <w:sz w:val="14"/>
                <w:szCs w:val="14"/>
                <w:color w:val="0000EE"/>
              </w:rPr>
            </w:pPr>
            <w:hyperlink r:id="rId155">
              <w:r>
                <w:rPr>
                  <w:rFonts w:ascii="Arial" w:cs="Arial" w:eastAsia="Arial" w:hAnsi="Arial"/>
                  <w:sz w:val="14"/>
                  <w:szCs w:val="14"/>
                  <w:color w:val="0000EE"/>
                </w:rPr>
                <w:t>April 12,</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38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0"/>
              </w:rPr>
            </w:pPr>
            <w:hyperlink r:id="rId155">
              <w:r>
                <w:rPr>
                  <w:rFonts w:ascii="Arial" w:cs="Arial" w:eastAsia="Arial" w:hAnsi="Arial"/>
                  <w:sz w:val="14"/>
                  <w:szCs w:val="14"/>
                  <w:color w:val="0000EE"/>
                  <w:w w:val="90"/>
                </w:rPr>
                <w:t>2019).</w:t>
              </w:r>
            </w:hyperlink>
          </w:p>
        </w:tc>
        <w:tc>
          <w:tcPr>
            <w:tcW w:w="1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04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39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08"/>
              <w:spacing w:after="0"/>
              <w:rPr>
                <w:sz w:val="20"/>
                <w:szCs w:val="20"/>
                <w:color w:val="auto"/>
              </w:rPr>
            </w:pPr>
            <w:r>
              <w:rPr>
                <w:rFonts w:ascii="Arial" w:cs="Arial" w:eastAsia="Arial" w:hAnsi="Arial"/>
                <w:sz w:val="14"/>
                <w:szCs w:val="14"/>
                <w:color w:val="auto"/>
                <w:w w:val="91"/>
              </w:rPr>
              <w:t>10.10</w:t>
            </w:r>
          </w:p>
        </w:tc>
        <w:tc>
          <w:tcPr>
            <w:tcW w:w="10520" w:type="dxa"/>
            <w:vAlign w:val="bottom"/>
            <w:gridSpan w:val="31"/>
          </w:tcPr>
          <w:p>
            <w:pPr>
              <w:spacing w:after="0"/>
              <w:rPr>
                <w:rFonts w:ascii="Arial" w:cs="Arial" w:eastAsia="Arial" w:hAnsi="Arial"/>
                <w:sz w:val="14"/>
                <w:szCs w:val="14"/>
                <w:color w:val="0000EE"/>
                <w:w w:val="97"/>
              </w:rPr>
            </w:pPr>
            <w:hyperlink r:id="rId156">
              <w:r>
                <w:rPr>
                  <w:rFonts w:ascii="Arial" w:cs="Arial" w:eastAsia="Arial" w:hAnsi="Arial"/>
                  <w:sz w:val="14"/>
                  <w:szCs w:val="14"/>
                  <w:color w:val="0000EE"/>
                  <w:w w:val="97"/>
                </w:rPr>
                <w:t>Second Amendment to Second Amended and Restated Senior Secured Revolving Credit Agreement, dated as of September 4, 2019, by and among PennantPark Investment</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9900" w:type="dxa"/>
            <w:vAlign w:val="bottom"/>
            <w:tcBorders>
              <w:top w:val="single" w:sz="8" w:color="0000EE"/>
            </w:tcBorders>
            <w:gridSpan w:val="11"/>
          </w:tcPr>
          <w:p>
            <w:pPr>
              <w:spacing w:after="0" w:line="129" w:lineRule="exact"/>
              <w:rPr>
                <w:rFonts w:ascii="Arial" w:cs="Arial" w:eastAsia="Arial" w:hAnsi="Arial"/>
                <w:sz w:val="14"/>
                <w:szCs w:val="14"/>
                <w:color w:val="0000EE"/>
                <w:w w:val="93"/>
              </w:rPr>
            </w:pPr>
            <w:hyperlink r:id="rId156">
              <w:r>
                <w:rPr>
                  <w:rFonts w:ascii="Arial" w:cs="Arial" w:eastAsia="Arial" w:hAnsi="Arial"/>
                  <w:sz w:val="14"/>
                  <w:szCs w:val="14"/>
                  <w:color w:val="0000EE"/>
                  <w:w w:val="93"/>
                </w:rPr>
                <w:t>Corporation, as borrower, the lenders party thereto, SunTrust Bank, as administrative agent and collateral agent, and solely with respect to Section 4.9, PNNT CI (GALLS)</w:t>
              </w:r>
            </w:hyperlink>
          </w:p>
        </w:tc>
        <w:tc>
          <w:tcPr>
            <w:tcW w:w="620" w:type="dxa"/>
            <w:vAlign w:val="bottom"/>
            <w:gridSpan w:val="20"/>
          </w:tcPr>
          <w:p>
            <w:pPr>
              <w:spacing w:after="0" w:line="129" w:lineRule="exact"/>
              <w:rPr>
                <w:rFonts w:ascii="Arial" w:cs="Arial" w:eastAsia="Arial" w:hAnsi="Arial"/>
                <w:sz w:val="14"/>
                <w:szCs w:val="14"/>
                <w:color w:val="0000EE"/>
              </w:rPr>
            </w:pPr>
            <w:hyperlink r:id="rId156">
              <w:r>
                <w:rPr>
                  <w:rFonts w:ascii="Arial" w:cs="Arial" w:eastAsia="Arial" w:hAnsi="Arial"/>
                  <w:sz w:val="14"/>
                  <w:szCs w:val="14"/>
                  <w:color w:val="0000EE"/>
                </w:rPr>
                <w:t>Prime</w:t>
              </w:r>
            </w:hyperlink>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0240" w:type="dxa"/>
            <w:vAlign w:val="bottom"/>
            <w:tcBorders>
              <w:top w:val="single" w:sz="8" w:color="0000EE"/>
            </w:tcBorders>
            <w:gridSpan w:val="21"/>
          </w:tcPr>
          <w:p>
            <w:pPr>
              <w:spacing w:after="0" w:line="135" w:lineRule="exact"/>
              <w:rPr>
                <w:rFonts w:ascii="Arial" w:cs="Arial" w:eastAsia="Arial" w:hAnsi="Arial"/>
                <w:sz w:val="14"/>
                <w:szCs w:val="14"/>
                <w:u w:val="single" w:color="auto"/>
                <w:color w:val="0000EE"/>
                <w:w w:val="98"/>
              </w:rPr>
            </w:pPr>
            <w:hyperlink r:id="rId156">
              <w:r>
                <w:rPr>
                  <w:rFonts w:ascii="Arial" w:cs="Arial" w:eastAsia="Arial" w:hAnsi="Arial"/>
                  <w:sz w:val="14"/>
                  <w:szCs w:val="14"/>
                  <w:u w:val="single" w:color="auto"/>
                  <w:color w:val="0000EE"/>
                  <w:w w:val="98"/>
                </w:rPr>
                <w:t>Investment Holdings, LLC, PNNT Investment Holdings, LLC, PNNT New Gulf Resources, LLC, PNNT ecoserve, LLC and PNNT Cascade Environmental Holdings, LLC</w:t>
              </w:r>
            </w:hyperlink>
          </w:p>
        </w:tc>
        <w:tc>
          <w:tcPr>
            <w:tcW w:w="28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bl>
    <w:p>
      <w:pPr>
        <w:ind w:left="720"/>
        <w:spacing w:after="0" w:line="221" w:lineRule="auto"/>
        <w:rPr>
          <w:rFonts w:ascii="Arial" w:cs="Arial" w:eastAsia="Arial" w:hAnsi="Arial"/>
          <w:sz w:val="14"/>
          <w:szCs w:val="14"/>
          <w:u w:val="single" w:color="auto"/>
          <w:color w:val="0000EE"/>
        </w:rPr>
      </w:pPr>
      <w:hyperlink r:id="rId156">
        <w:r>
          <w:rPr>
            <w:rFonts w:ascii="Arial" w:cs="Arial" w:eastAsia="Arial" w:hAnsi="Arial"/>
            <w:sz w:val="14"/>
            <w:szCs w:val="14"/>
            <w:u w:val="single" w:color="auto"/>
            <w:color w:val="0000EE"/>
          </w:rPr>
          <w:t>(Incorporated by reference to Exhibit 10.1 to the Registrant’s Form 8-K (File No.</w:t>
        </w:r>
      </w:hyperlink>
    </w:p>
    <w:p>
      <w:pPr>
        <w:ind w:left="720"/>
        <w:spacing w:after="0"/>
        <w:rPr>
          <w:rFonts w:ascii="Arial" w:cs="Arial" w:eastAsia="Arial" w:hAnsi="Arial"/>
          <w:sz w:val="14"/>
          <w:szCs w:val="14"/>
          <w:u w:val="single" w:color="auto"/>
          <w:color w:val="0000EE"/>
        </w:rPr>
      </w:pPr>
      <w:hyperlink r:id="rId156">
        <w:r>
          <w:rPr>
            <w:rFonts w:ascii="Arial" w:cs="Arial" w:eastAsia="Arial" w:hAnsi="Arial"/>
            <w:sz w:val="14"/>
            <w:szCs w:val="14"/>
            <w:u w:val="single" w:color="auto"/>
            <w:color w:val="0000EE"/>
          </w:rPr>
          <w:t>814-00736), filed on September 4, 2019).</w:t>
        </w:r>
      </w:hyperlink>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76" w:name="page77"/>
    <w:bookmarkEnd w:id="76"/>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14.1*</w:t>
      </w:r>
      <w:r>
        <w:rPr>
          <w:sz w:val="20"/>
          <w:szCs w:val="20"/>
          <w:color w:val="auto"/>
        </w:rPr>
        <w:tab/>
      </w:r>
      <w:hyperlink w:anchor="page79">
        <w:r>
          <w:rPr>
            <w:rFonts w:ascii="Arial" w:cs="Arial" w:eastAsia="Arial" w:hAnsi="Arial"/>
            <w:sz w:val="13"/>
            <w:szCs w:val="13"/>
            <w:u w:val="single" w:color="auto"/>
            <w:color w:val="0000EE"/>
          </w:rPr>
          <w:t>Joint Code of Ethics of the Registrant.</w:t>
        </w:r>
      </w:hyperlink>
    </w:p>
    <w:p>
      <w:pPr>
        <w:spacing w:after="0" w:line="136" w:lineRule="exact"/>
        <w:rPr>
          <w:sz w:val="20"/>
          <w:szCs w:val="20"/>
          <w:color w:val="auto"/>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21.1*</w:t>
      </w:r>
      <w:r>
        <w:rPr>
          <w:sz w:val="20"/>
          <w:szCs w:val="20"/>
          <w:color w:val="auto"/>
        </w:rPr>
        <w:tab/>
      </w:r>
      <w:hyperlink w:anchor="page85">
        <w:r>
          <w:rPr>
            <w:rFonts w:ascii="Arial" w:cs="Arial" w:eastAsia="Arial" w:hAnsi="Arial"/>
            <w:sz w:val="13"/>
            <w:szCs w:val="13"/>
            <w:u w:val="single" w:color="auto"/>
            <w:color w:val="0000EE"/>
          </w:rPr>
          <w:t>Subsidiaries of the Registrant</w:t>
        </w:r>
        <w:r>
          <w:rPr>
            <w:rFonts w:ascii="Arial" w:cs="Arial" w:eastAsia="Arial" w:hAnsi="Arial"/>
            <w:sz w:val="13"/>
            <w:szCs w:val="13"/>
            <w:color w:val="0000EE"/>
          </w:rPr>
          <w:t>.</w:t>
        </w:r>
      </w:hyperlink>
    </w:p>
    <w:p>
      <w:pPr>
        <w:spacing w:after="0" w:line="136" w:lineRule="exact"/>
        <w:rPr>
          <w:sz w:val="20"/>
          <w:szCs w:val="20"/>
          <w:color w:val="auto"/>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86">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sz w:val="20"/>
          <w:szCs w:val="20"/>
          <w:color w:val="auto"/>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87">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sz w:val="20"/>
          <w:szCs w:val="20"/>
          <w:color w:val="auto"/>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88">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sz w:val="20"/>
          <w:szCs w:val="20"/>
          <w:color w:val="auto"/>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89">
        <w:r>
          <w:rPr>
            <w:rFonts w:ascii="Arial" w:cs="Arial" w:eastAsia="Arial" w:hAnsi="Arial"/>
            <w:sz w:val="13"/>
            <w:szCs w:val="13"/>
            <w:u w:val="single" w:color="auto"/>
            <w:color w:val="0000EE"/>
          </w:rPr>
          <w:t>Certification of Chief Financial Officer pursuant to section 906 of the Sarbanes-Oxley Act of 2002</w:t>
        </w:r>
        <w:r>
          <w:rPr>
            <w:rFonts w:ascii="Arial" w:cs="Arial" w:eastAsia="Arial" w:hAnsi="Arial"/>
            <w:sz w:val="13"/>
            <w:szCs w:val="13"/>
            <w:color w:val="0000EE"/>
          </w:rPr>
          <w:t>.</w:t>
        </w:r>
      </w:hyperlink>
    </w:p>
    <w:p>
      <w:pPr>
        <w:spacing w:after="0" w:line="136" w:lineRule="exact"/>
        <w:rPr>
          <w:sz w:val="20"/>
          <w:szCs w:val="20"/>
          <w:color w:val="auto"/>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158">
        <w:r>
          <w:rPr>
            <w:rFonts w:ascii="Arial" w:cs="Arial" w:eastAsia="Arial" w:hAnsi="Arial"/>
            <w:sz w:val="13"/>
            <w:szCs w:val="13"/>
            <w:u w:val="single" w:color="auto"/>
            <w:color w:val="0000EE"/>
          </w:rPr>
          <w:t>Privacy Policy of the Registrant (Incorporated by reference to Exhibit 99.1 to the Registrant’s Annual Report on Form 10-K (File No. 814-00736), filed on November 16, 2011)</w:t>
        </w:r>
        <w:r>
          <w:rPr>
            <w:rFonts w:ascii="Arial" w:cs="Arial" w:eastAsia="Arial" w:hAnsi="Arial"/>
            <w:sz w:val="13"/>
            <w:szCs w:val="13"/>
            <w:color w:val="0000EE"/>
          </w:rPr>
          <w:t>.</w:t>
        </w:r>
      </w:hyperlink>
    </w:p>
    <w:p>
      <w:pPr>
        <w:spacing w:after="0" w:line="136" w:lineRule="exact"/>
        <w:rPr>
          <w:sz w:val="20"/>
          <w:szCs w:val="20"/>
          <w:color w:val="auto"/>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99.2*</w:t>
      </w:r>
      <w:r>
        <w:rPr>
          <w:sz w:val="20"/>
          <w:szCs w:val="20"/>
          <w:color w:val="auto"/>
        </w:rPr>
        <w:tab/>
      </w:r>
      <w:hyperlink w:anchor="page108">
        <w:r>
          <w:rPr>
            <w:rFonts w:ascii="Arial" w:cs="Arial" w:eastAsia="Arial" w:hAnsi="Arial"/>
            <w:sz w:val="13"/>
            <w:szCs w:val="13"/>
            <w:u w:val="single" w:color="auto"/>
            <w:color w:val="0000EE"/>
          </w:rPr>
          <w:t>Audited Consolidated Financial Statements of RAM Energy Holdings LLC and Subsidiaries for the Year Ended September 30, 2019.</w:t>
        </w:r>
      </w:hyperlink>
    </w:p>
    <w:p>
      <w:pPr>
        <w:spacing w:after="0" w:line="136" w:lineRule="exact"/>
        <w:rPr>
          <w:sz w:val="20"/>
          <w:szCs w:val="20"/>
          <w:color w:val="auto"/>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99.3*</w:t>
      </w:r>
      <w:r>
        <w:rPr>
          <w:sz w:val="20"/>
          <w:szCs w:val="20"/>
          <w:color w:val="auto"/>
        </w:rPr>
        <w:tab/>
      </w:r>
      <w:hyperlink w:anchor="page128">
        <w:r>
          <w:rPr>
            <w:rFonts w:ascii="Arial" w:cs="Arial" w:eastAsia="Arial" w:hAnsi="Arial"/>
            <w:sz w:val="13"/>
            <w:szCs w:val="13"/>
            <w:u w:val="single" w:color="auto"/>
            <w:color w:val="0000EE"/>
          </w:rPr>
          <w:t>Unaudited Consolidated Financial Statements of RAM Energy Holdings LLC and Subsidiaries for the Year Ended September 30,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3455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57"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00"/>
          </w:cols>
          <w:pgMar w:left="320" w:top="283" w:right="679" w:bottom="144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November 21, 2019.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 w:type="dxa"/>
            <w:vAlign w:val="bottom"/>
          </w:tcPr>
          <w:p>
            <w:pPr>
              <w:spacing w:after="0"/>
              <w:rPr>
                <w:sz w:val="20"/>
                <w:szCs w:val="20"/>
                <w:color w:val="auto"/>
              </w:rPr>
            </w:pPr>
            <w:r>
              <w:rPr>
                <w:rFonts w:ascii="Arial" w:cs="Arial" w:eastAsia="Arial" w:hAnsi="Arial"/>
                <w:sz w:val="14"/>
                <w:szCs w:val="14"/>
                <w:color w:val="auto"/>
              </w:rPr>
              <w:t>By:</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ARTHUR H. PENN</w:t>
            </w:r>
          </w:p>
        </w:tc>
      </w:tr>
      <w:tr>
        <w:trPr>
          <w:trHeight w:val="119"/>
        </w:trPr>
        <w:tc>
          <w:tcPr>
            <w:tcW w:w="740" w:type="dxa"/>
            <w:vAlign w:val="bottom"/>
          </w:tcPr>
          <w:p>
            <w:pPr>
              <w:spacing w:after="0" w:line="119" w:lineRule="exact"/>
              <w:rPr>
                <w:sz w:val="20"/>
                <w:szCs w:val="20"/>
                <w:color w:val="auto"/>
              </w:rPr>
            </w:pPr>
            <w:r>
              <w:rPr>
                <w:rFonts w:ascii="Arial" w:cs="Arial" w:eastAsia="Arial" w:hAnsi="Arial"/>
                <w:sz w:val="13"/>
                <w:szCs w:val="13"/>
                <w:color w:val="auto"/>
              </w:rPr>
              <w:t>Name:</w:t>
            </w:r>
          </w:p>
        </w:tc>
        <w:tc>
          <w:tcPr>
            <w:tcW w:w="3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Arthur H. Penn</w:t>
            </w:r>
          </w:p>
        </w:tc>
      </w:tr>
      <w:tr>
        <w:trPr>
          <w:trHeight w:val="148"/>
        </w:trPr>
        <w:tc>
          <w:tcPr>
            <w:tcW w:w="74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w:t>
            </w:r>
          </w:p>
        </w:tc>
      </w:tr>
      <w:tr>
        <w:trPr>
          <w:trHeight w:val="186"/>
        </w:trPr>
        <w:tc>
          <w:tcPr>
            <w:tcW w:w="740" w:type="dxa"/>
            <w:vAlign w:val="bottom"/>
          </w:tcPr>
          <w:p>
            <w:pPr>
              <w:spacing w:after="0"/>
              <w:rPr>
                <w:sz w:val="16"/>
                <w:szCs w:val="16"/>
                <w:color w:val="auto"/>
              </w:rPr>
            </w:pP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4"/>
              </w:rPr>
              <w:t>Directors</w:t>
            </w:r>
          </w:p>
        </w:tc>
      </w:tr>
    </w:tbl>
    <w:p>
      <w:pPr>
        <w:spacing w:after="0" w:line="101"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2940" w:type="dxa"/>
            <w:vAlign w:val="bottom"/>
          </w:tcPr>
          <w:p>
            <w:pPr>
              <w:ind w:left="10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Title</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42"/>
        </w:trPr>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/s/</w:t>
            </w:r>
          </w:p>
        </w:tc>
        <w:tc>
          <w:tcPr>
            <w:tcW w:w="29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ARTHUR H. PENN</w:t>
            </w:r>
          </w:p>
        </w:tc>
        <w:tc>
          <w:tcPr>
            <w:tcW w:w="120" w:type="dxa"/>
            <w:vAlign w:val="bottom"/>
          </w:tcPr>
          <w:p>
            <w:pPr>
              <w:spacing w:after="0"/>
              <w:rPr>
                <w:sz w:val="12"/>
                <w:szCs w:val="12"/>
                <w:color w:val="auto"/>
              </w:rPr>
            </w:pPr>
          </w:p>
        </w:tc>
        <w:tc>
          <w:tcPr>
            <w:tcW w:w="5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Chief Executive Officer and Chairman of the Board of Directors</w:t>
            </w:r>
          </w:p>
        </w:tc>
        <w:tc>
          <w:tcPr>
            <w:tcW w:w="120" w:type="dxa"/>
            <w:vAlign w:val="bottom"/>
          </w:tcPr>
          <w:p>
            <w:pPr>
              <w:spacing w:after="0"/>
              <w:rPr>
                <w:sz w:val="12"/>
                <w:szCs w:val="12"/>
                <w:color w:val="auto"/>
              </w:rPr>
            </w:pPr>
          </w:p>
        </w:tc>
        <w:tc>
          <w:tcPr>
            <w:tcW w:w="2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November 21, 2019</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20" w:type="dxa"/>
            <w:vAlign w:val="bottom"/>
          </w:tcPr>
          <w:p>
            <w:pPr>
              <w:spacing w:after="0"/>
              <w:rPr>
                <w:sz w:val="15"/>
                <w:szCs w:val="15"/>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(Principal Executive Officer)</w:t>
            </w: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AVIV EFRAT</w:t>
            </w:r>
          </w:p>
        </w:tc>
        <w:tc>
          <w:tcPr>
            <w:tcW w:w="120" w:type="dxa"/>
            <w:vAlign w:val="bottom"/>
          </w:tcPr>
          <w:p>
            <w:pPr>
              <w:spacing w:after="0"/>
              <w:rPr>
                <w:sz w:val="21"/>
                <w:szCs w:val="21"/>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Chief Financial Officer and Treasurer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21, 2019</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Aviv Efrat</w:t>
            </w:r>
          </w:p>
        </w:tc>
        <w:tc>
          <w:tcPr>
            <w:tcW w:w="120" w:type="dxa"/>
            <w:vAlign w:val="bottom"/>
          </w:tcPr>
          <w:p>
            <w:pPr>
              <w:spacing w:after="0"/>
              <w:rPr>
                <w:sz w:val="15"/>
                <w:szCs w:val="15"/>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(Principal Financial and Accounting Officer)</w:t>
            </w: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ADAM K. BERNSTEIN</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21, 2019</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JEFFREY FLUG</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21, 2019</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MARSHALL BROZOST</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21, 2019</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SAMUEL L. KATZ</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21, 2019</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490"/>
        </w:trPr>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160" w:type="dxa"/>
            <w:vAlign w:val="bottom"/>
            <w:gridSpan w:val="2"/>
          </w:tcPr>
          <w:p>
            <w:pPr>
              <w:jc w:val="right"/>
              <w:ind w:right="25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4"/>
          <w:szCs w:val="14"/>
          <w:b w:val="1"/>
          <w:bCs w:val="1"/>
          <w:color w:val="auto"/>
        </w:rPr>
        <w:t>EXHIBIT 14.1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line="221"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40" w:lineRule="exact"/>
        <w:rPr>
          <w:sz w:val="20"/>
          <w:szCs w:val="20"/>
          <w:color w:val="auto"/>
        </w:rPr>
      </w:pPr>
    </w:p>
    <w:p>
      <w:pPr>
        <w:ind w:right="40" w:firstLine="496"/>
        <w:spacing w:after="0" w:line="228" w:lineRule="auto"/>
        <w:rPr>
          <w:sz w:val="20"/>
          <w:szCs w:val="20"/>
          <w:color w:val="auto"/>
        </w:rPr>
      </w:pPr>
      <w:r>
        <w:rPr>
          <w:rFonts w:ascii="Arial" w:cs="Arial" w:eastAsia="Arial" w:hAnsi="Arial"/>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17" w:lineRule="exact"/>
        <w:rPr>
          <w:sz w:val="20"/>
          <w:szCs w:val="20"/>
          <w:color w:val="auto"/>
        </w:rPr>
      </w:pPr>
    </w:p>
    <w:p>
      <w:pPr>
        <w:ind w:right="60" w:firstLine="496"/>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96" w:lineRule="exact"/>
        <w:rPr>
          <w:sz w:val="20"/>
          <w:szCs w:val="20"/>
          <w:color w:val="auto"/>
        </w:rPr>
      </w:pPr>
    </w:p>
    <w:p>
      <w:pPr>
        <w:ind w:right="80" w:firstLine="496"/>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Covered Personnel must read and retain this Code.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127" w:lineRule="exact"/>
        <w:rPr>
          <w:sz w:val="20"/>
          <w:szCs w:val="20"/>
          <w:color w:val="auto"/>
        </w:rPr>
      </w:pPr>
    </w:p>
    <w:p>
      <w:pPr>
        <w:ind w:left="980" w:hanging="486"/>
        <w:spacing w:after="0"/>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spacing w:after="0" w:line="136" w:lineRule="exact"/>
        <w:rPr>
          <w:rFonts w:ascii="Arial" w:cs="Arial" w:eastAsia="Arial" w:hAnsi="Arial"/>
          <w:sz w:val="14"/>
          <w:szCs w:val="14"/>
          <w:color w:val="auto"/>
        </w:rPr>
      </w:pPr>
    </w:p>
    <w:p>
      <w:pPr>
        <w:ind w:left="980" w:right="40" w:hanging="486"/>
        <w:spacing w:after="0" w:line="231" w:lineRule="auto"/>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116" w:lineRule="exact"/>
        <w:rPr>
          <w:rFonts w:ascii="Arial" w:cs="Arial" w:eastAsia="Arial" w:hAnsi="Arial"/>
          <w:sz w:val="14"/>
          <w:szCs w:val="14"/>
          <w:color w:val="auto"/>
        </w:rPr>
      </w:pPr>
    </w:p>
    <w:p>
      <w:pPr>
        <w:ind w:left="980" w:right="340" w:hanging="486"/>
        <w:spacing w:after="0" w:line="253" w:lineRule="auto"/>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136" w:lineRule="exact"/>
        <w:rPr>
          <w:rFonts w:ascii="Arial" w:cs="Arial" w:eastAsia="Arial" w:hAnsi="Arial"/>
          <w:sz w:val="14"/>
          <w:szCs w:val="14"/>
          <w:color w:val="auto"/>
        </w:rPr>
      </w:pPr>
    </w:p>
    <w:p>
      <w:pPr>
        <w:ind w:left="980" w:hanging="486"/>
        <w:spacing w:after="0" w:line="248" w:lineRule="auto"/>
        <w:tabs>
          <w:tab w:leader="none" w:pos="9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12" w:lineRule="exact"/>
        <w:rPr>
          <w:rFonts w:ascii="Arial" w:cs="Arial" w:eastAsia="Arial" w:hAnsi="Arial"/>
          <w:sz w:val="13"/>
          <w:szCs w:val="13"/>
          <w:color w:val="auto"/>
        </w:rPr>
      </w:pPr>
    </w:p>
    <w:p>
      <w:pPr>
        <w:ind w:left="1000" w:right="20"/>
        <w:spacing w:after="0" w:line="227" w:lineRule="auto"/>
        <w:rPr>
          <w:rFonts w:ascii="Arial" w:cs="Arial" w:eastAsia="Arial" w:hAnsi="Arial"/>
          <w:sz w:val="13"/>
          <w:szCs w:val="13"/>
          <w:color w:val="auto"/>
        </w:rPr>
      </w:pPr>
      <w:r>
        <w:rPr>
          <w:rFonts w:ascii="Arial" w:cs="Arial" w:eastAsia="Arial" w:hAnsi="Arial"/>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18" w:lineRule="exact"/>
        <w:rPr>
          <w:rFonts w:ascii="Arial" w:cs="Arial" w:eastAsia="Arial" w:hAnsi="Arial"/>
          <w:sz w:val="13"/>
          <w:szCs w:val="13"/>
          <w:color w:val="auto"/>
        </w:rPr>
      </w:pPr>
    </w:p>
    <w:p>
      <w:pPr>
        <w:ind w:left="980" w:hanging="486"/>
        <w:spacing w:after="0"/>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136" w:lineRule="exact"/>
        <w:rPr>
          <w:rFonts w:ascii="Arial" w:cs="Arial" w:eastAsia="Arial" w:hAnsi="Arial"/>
          <w:sz w:val="14"/>
          <w:szCs w:val="14"/>
          <w:color w:val="auto"/>
        </w:rPr>
      </w:pPr>
    </w:p>
    <w:p>
      <w:pPr>
        <w:ind w:left="980" w:right="240" w:hanging="486"/>
        <w:spacing w:after="0" w:line="253" w:lineRule="auto"/>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9" w:name="page80"/>
    <w:bookmarkEnd w:id="79"/>
    <w:p>
      <w:pPr>
        <w:ind w:left="980" w:right="100" w:hanging="486"/>
        <w:spacing w:after="0" w:line="253"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“Restricted List” means the “Pipeline” report of potential investments combined with the current holdings of the clients. PennantPark Access Persons are restricted from trading any security on the Restricted List.</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“Security Held or to be Acquired” by the Corporation means: (i) any Covered Security which, within the most recent 15 days: (A) is or has been held by the Corporation; or</w:t>
      </w:r>
    </w:p>
    <w:p>
      <w:pPr>
        <w:spacing w:after="0" w:line="11" w:lineRule="exact"/>
        <w:rPr>
          <w:rFonts w:ascii="Arial" w:cs="Arial" w:eastAsia="Arial" w:hAnsi="Arial"/>
          <w:sz w:val="13"/>
          <w:szCs w:val="13"/>
          <w:color w:val="auto"/>
        </w:rPr>
      </w:pPr>
    </w:p>
    <w:p>
      <w:pPr>
        <w:ind w:left="980" w:right="20"/>
        <w:spacing w:after="0" w:line="237" w:lineRule="auto"/>
        <w:tabs>
          <w:tab w:leader="none" w:pos="1208" w:val="left"/>
        </w:tabs>
        <w:numPr>
          <w:ilvl w:val="1"/>
          <w:numId w:val="73"/>
        </w:numPr>
        <w:rPr>
          <w:rFonts w:ascii="Arial" w:cs="Arial" w:eastAsia="Arial" w:hAnsi="Arial"/>
          <w:sz w:val="14"/>
          <w:szCs w:val="14"/>
          <w:color w:val="auto"/>
        </w:rPr>
      </w:pPr>
      <w:r>
        <w:rPr>
          <w:rFonts w:ascii="Arial" w:cs="Arial" w:eastAsia="Arial" w:hAnsi="Arial"/>
          <w:sz w:val="14"/>
          <w:szCs w:val="14"/>
          <w:color w:val="auto"/>
        </w:rPr>
        <w:t>is being or has been considered by the Corporation or the Adviser for purchase by the Corporation; and (ii) any option to purchase or sell, and any security convertible into or exchangeable for, a Covered Security described in Section II (K)(i).</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127" w:lineRule="exact"/>
        <w:rPr>
          <w:sz w:val="20"/>
          <w:szCs w:val="20"/>
          <w:color w:val="auto"/>
        </w:rPr>
      </w:pPr>
    </w:p>
    <w:p>
      <w:pPr>
        <w:ind w:right="40" w:firstLine="496"/>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15" w:lineRule="exact"/>
        <w:rPr>
          <w:sz w:val="20"/>
          <w:szCs w:val="20"/>
          <w:color w:val="auto"/>
        </w:rPr>
      </w:pPr>
    </w:p>
    <w:p>
      <w:pPr>
        <w:ind w:right="160" w:firstLine="496"/>
        <w:spacing w:after="0" w:line="264" w:lineRule="auto"/>
        <w:rPr>
          <w:sz w:val="20"/>
          <w:szCs w:val="20"/>
          <w:color w:val="auto"/>
        </w:rPr>
      </w:pPr>
      <w:r>
        <w:rPr>
          <w:rFonts w:ascii="Arial" w:cs="Arial" w:eastAsia="Arial" w:hAnsi="Arial"/>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01" w:lineRule="exact"/>
        <w:rPr>
          <w:sz w:val="20"/>
          <w:szCs w:val="20"/>
          <w:color w:val="auto"/>
        </w:rPr>
      </w:pPr>
    </w:p>
    <w:p>
      <w:pPr>
        <w:ind w:left="980" w:hanging="486"/>
        <w:spacing w:after="0"/>
        <w:tabs>
          <w:tab w:leader="none" w:pos="9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136" w:lineRule="exact"/>
        <w:rPr>
          <w:rFonts w:ascii="Arial" w:cs="Arial" w:eastAsia="Arial" w:hAnsi="Arial"/>
          <w:sz w:val="14"/>
          <w:szCs w:val="14"/>
          <w:color w:val="auto"/>
        </w:rPr>
      </w:pPr>
    </w:p>
    <w:p>
      <w:pPr>
        <w:ind w:left="980" w:right="100" w:hanging="486"/>
        <w:spacing w:after="0" w:line="253" w:lineRule="auto"/>
        <w:tabs>
          <w:tab w:leader="none" w:pos="9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136" w:lineRule="exact"/>
        <w:rPr>
          <w:sz w:val="20"/>
          <w:szCs w:val="20"/>
          <w:color w:val="auto"/>
        </w:rPr>
      </w:pPr>
    </w:p>
    <w:p>
      <w:pPr>
        <w:ind w:right="900" w:firstLine="496"/>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Personal Account Transactions; Window Period to Trade PennantPark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-1270</wp:posOffset>
            </wp:positionV>
            <wp:extent cx="228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20" w:lineRule="exact"/>
        <w:rPr>
          <w:sz w:val="20"/>
          <w:szCs w:val="20"/>
          <w:color w:val="auto"/>
        </w:rPr>
      </w:pPr>
    </w:p>
    <w:p>
      <w:pPr>
        <w:ind w:right="160" w:firstLine="496"/>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Exceptions to the Pre-Clearance Requirement Policy</w:t>
      </w:r>
      <w:r>
        <w:rPr>
          <w:rFonts w:ascii="Arial" w:cs="Arial" w:eastAsia="Arial" w:hAnsi="Arial"/>
          <w:sz w:val="14"/>
          <w:szCs w:val="14"/>
          <w:color w:val="auto"/>
        </w:rPr>
        <w:t>,</w:t>
      </w:r>
    </w:p>
    <w:p>
      <w:pPr>
        <w:spacing w:after="0" w:line="136" w:lineRule="exact"/>
        <w:rPr>
          <w:sz w:val="20"/>
          <w:szCs w:val="20"/>
          <w:color w:val="auto"/>
        </w:rPr>
      </w:pPr>
    </w:p>
    <w:p>
      <w:pPr>
        <w:ind w:right="80" w:firstLine="496"/>
        <w:spacing w:after="0" w:line="251"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109" w:lineRule="exact"/>
        <w:rPr>
          <w:sz w:val="20"/>
          <w:szCs w:val="20"/>
          <w:color w:val="auto"/>
        </w:rPr>
      </w:pPr>
    </w:p>
    <w:p>
      <w:pPr>
        <w:ind w:firstLine="496"/>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140" w:lineRule="exact"/>
        <w:rPr>
          <w:sz w:val="20"/>
          <w:szCs w:val="20"/>
          <w:color w:val="auto"/>
        </w:rPr>
      </w:pPr>
    </w:p>
    <w:p>
      <w:pPr>
        <w:ind w:left="980" w:right="60" w:hanging="486"/>
        <w:spacing w:after="0" w:line="251" w:lineRule="auto"/>
        <w:tabs>
          <w:tab w:leader="none" w:pos="9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109" w:lineRule="exact"/>
        <w:rPr>
          <w:rFonts w:ascii="Arial" w:cs="Arial" w:eastAsia="Arial" w:hAnsi="Arial"/>
          <w:sz w:val="13"/>
          <w:szCs w:val="13"/>
          <w:color w:val="auto"/>
        </w:rPr>
      </w:pPr>
    </w:p>
    <w:p>
      <w:pPr>
        <w:ind w:left="980" w:right="40" w:hanging="486"/>
        <w:spacing w:after="0" w:line="238" w:lineRule="auto"/>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115" w:lineRule="exact"/>
        <w:rPr>
          <w:rFonts w:ascii="Arial" w:cs="Arial" w:eastAsia="Arial" w:hAnsi="Arial"/>
          <w:sz w:val="14"/>
          <w:szCs w:val="14"/>
          <w:color w:val="auto"/>
        </w:rPr>
      </w:pPr>
    </w:p>
    <w:p>
      <w:pPr>
        <w:jc w:val="both"/>
        <w:ind w:left="980" w:hanging="486"/>
        <w:spacing w:after="0" w:line="233" w:lineRule="auto"/>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140" w:lineRule="exact"/>
        <w:rPr>
          <w:sz w:val="20"/>
          <w:szCs w:val="20"/>
          <w:color w:val="auto"/>
        </w:rPr>
      </w:pPr>
    </w:p>
    <w:p>
      <w:pPr>
        <w:ind w:left="980" w:hanging="486"/>
        <w:spacing w:after="0"/>
        <w:tabs>
          <w:tab w:leader="none" w:pos="9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136" w:lineRule="exact"/>
        <w:rPr>
          <w:sz w:val="20"/>
          <w:szCs w:val="20"/>
          <w:color w:val="auto"/>
        </w:rPr>
      </w:pPr>
    </w:p>
    <w:p>
      <w:pPr>
        <w:ind w:right="40" w:firstLine="496"/>
        <w:spacing w:after="0" w:line="253" w:lineRule="auto"/>
        <w:rPr>
          <w:sz w:val="20"/>
          <w:szCs w:val="20"/>
          <w:color w:val="auto"/>
        </w:rPr>
      </w:pPr>
      <w:r>
        <w:rPr>
          <w:rFonts w:ascii="Arial" w:cs="Arial" w:eastAsia="Arial" w:hAnsi="Arial"/>
          <w:sz w:val="14"/>
          <w:szCs w:val="14"/>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0" w:name="page81"/>
    <w:bookmarkEnd w:id="80"/>
    <w:p>
      <w:pPr>
        <w:spacing w:after="0" w:line="233" w:lineRule="auto"/>
        <w:rPr>
          <w:sz w:val="20"/>
          <w:szCs w:val="20"/>
          <w:color w:val="auto"/>
        </w:rPr>
      </w:pPr>
      <w:r>
        <w:rPr>
          <w:rFonts w:ascii="Arial" w:cs="Arial" w:eastAsia="Arial" w:hAnsi="Arial"/>
          <w:sz w:val="14"/>
          <w:szCs w:val="14"/>
          <w:color w:val="auto"/>
        </w:rPr>
        <w:t>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104" w:lineRule="exact"/>
        <w:rPr>
          <w:sz w:val="20"/>
          <w:szCs w:val="20"/>
          <w:color w:val="auto"/>
        </w:rPr>
      </w:pPr>
    </w:p>
    <w:p>
      <w:pPr>
        <w:ind w:left="980" w:hanging="486"/>
        <w:spacing w:after="0"/>
        <w:tabs>
          <w:tab w:leader="none" w:pos="9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Quarterly Transaction Reports.</w:t>
      </w:r>
    </w:p>
    <w:p>
      <w:pPr>
        <w:spacing w:after="0" w:line="136" w:lineRule="exact"/>
        <w:rPr>
          <w:sz w:val="20"/>
          <w:szCs w:val="20"/>
          <w:color w:val="auto"/>
        </w:rPr>
      </w:pPr>
    </w:p>
    <w:p>
      <w:pPr>
        <w:jc w:val="both"/>
        <w:ind w:right="320" w:firstLine="496"/>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84"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106" w:lineRule="exact"/>
        <w:rPr>
          <w:sz w:val="20"/>
          <w:szCs w:val="20"/>
          <w:color w:val="auto"/>
        </w:rPr>
      </w:pPr>
    </w:p>
    <w:p>
      <w:pPr>
        <w:ind w:left="980" w:hanging="486"/>
        <w:spacing w:after="0"/>
        <w:tabs>
          <w:tab w:leader="none" w:pos="9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13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136" w:lineRule="exact"/>
        <w:rPr>
          <w:sz w:val="20"/>
          <w:szCs w:val="20"/>
          <w:color w:val="auto"/>
        </w:rPr>
      </w:pPr>
    </w:p>
    <w:p>
      <w:pPr>
        <w:ind w:left="980" w:hanging="486"/>
        <w:spacing w:after="0"/>
        <w:tabs>
          <w:tab w:leader="none" w:pos="9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136" w:lineRule="exact"/>
        <w:rPr>
          <w:sz w:val="20"/>
          <w:szCs w:val="20"/>
          <w:color w:val="auto"/>
        </w:rPr>
      </w:pPr>
    </w:p>
    <w:p>
      <w:pPr>
        <w:ind w:right="120" w:firstLine="496"/>
        <w:spacing w:after="0" w:line="251" w:lineRule="auto"/>
        <w:rPr>
          <w:sz w:val="20"/>
          <w:szCs w:val="20"/>
          <w:color w:val="auto"/>
        </w:rPr>
      </w:pPr>
      <w:r>
        <w:rPr>
          <w:rFonts w:ascii="Arial" w:cs="Arial" w:eastAsia="Arial" w:hAnsi="Arial"/>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96" w:lineRule="exact"/>
        <w:rPr>
          <w:sz w:val="20"/>
          <w:szCs w:val="20"/>
          <w:color w:val="auto"/>
        </w:rPr>
      </w:pPr>
    </w:p>
    <w:p>
      <w:pPr>
        <w:ind w:left="980" w:hanging="486"/>
        <w:spacing w:after="0"/>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136" w:lineRule="exact"/>
        <w:rPr>
          <w:sz w:val="20"/>
          <w:szCs w:val="20"/>
          <w:color w:val="auto"/>
        </w:rPr>
      </w:pPr>
    </w:p>
    <w:p>
      <w:pPr>
        <w:ind w:right="280" w:firstLine="496"/>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06" w:lineRule="exact"/>
        <w:rPr>
          <w:sz w:val="20"/>
          <w:szCs w:val="20"/>
          <w:color w:val="auto"/>
        </w:rPr>
      </w:pPr>
    </w:p>
    <w:p>
      <w:pPr>
        <w:jc w:val="center"/>
        <w:ind w:left="500" w:right="7700" w:hanging="6"/>
        <w:spacing w:after="0" w:line="516" w:lineRule="auto"/>
        <w:tabs>
          <w:tab w:leader="none" w:pos="976" w:val="left"/>
        </w:tabs>
        <w:numPr>
          <w:ilvl w:val="0"/>
          <w:numId w:val="81"/>
        </w:numPr>
        <w:rPr>
          <w:rFonts w:ascii="Arial" w:cs="Arial" w:eastAsia="Arial" w:hAnsi="Arial"/>
          <w:sz w:val="12"/>
          <w:szCs w:val="12"/>
          <w:color w:val="auto"/>
        </w:rPr>
      </w:pPr>
      <w:r>
        <w:rPr>
          <w:rFonts w:ascii="Arial" w:cs="Arial" w:eastAsia="Arial" w:hAnsi="Arial"/>
          <w:sz w:val="12"/>
          <w:szCs w:val="12"/>
          <w:color w:val="auto"/>
        </w:rPr>
        <w:t>Brokerage Accounts and Statements. Access Persons, except Independent Directors, shall:</w:t>
      </w:r>
    </w:p>
    <w:p>
      <w:pPr>
        <w:spacing w:after="0" w:line="1" w:lineRule="exact"/>
        <w:rPr>
          <w:sz w:val="20"/>
          <w:szCs w:val="20"/>
          <w:color w:val="auto"/>
        </w:rPr>
      </w:pPr>
    </w:p>
    <w:p>
      <w:pPr>
        <w:jc w:val="both"/>
        <w:ind w:left="980" w:right="40" w:hanging="486"/>
        <w:spacing w:after="0" w:line="238" w:lineRule="auto"/>
        <w:tabs>
          <w:tab w:leader="none" w:pos="9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136" w:lineRule="exact"/>
        <w:rPr>
          <w:sz w:val="20"/>
          <w:szCs w:val="20"/>
          <w:color w:val="auto"/>
        </w:rPr>
      </w:pPr>
    </w:p>
    <w:p>
      <w:pPr>
        <w:ind w:left="980" w:hanging="486"/>
        <w:spacing w:after="0"/>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136" w:lineRule="exact"/>
        <w:rPr>
          <w:sz w:val="20"/>
          <w:szCs w:val="20"/>
          <w:color w:val="auto"/>
        </w:rPr>
      </w:pPr>
    </w:p>
    <w:p>
      <w:pPr>
        <w:ind w:right="60" w:firstLine="496"/>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93" w:lineRule="exact"/>
        <w:rPr>
          <w:sz w:val="20"/>
          <w:szCs w:val="20"/>
          <w:color w:val="auto"/>
        </w:rPr>
      </w:pPr>
    </w:p>
    <w:p>
      <w:pPr>
        <w:ind w:left="980" w:hanging="486"/>
        <w:spacing w:after="0"/>
        <w:tabs>
          <w:tab w:leader="none" w:pos="9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136" w:lineRule="exact"/>
        <w:rPr>
          <w:sz w:val="20"/>
          <w:szCs w:val="20"/>
          <w:color w:val="auto"/>
        </w:rPr>
      </w:pPr>
    </w:p>
    <w:p>
      <w:pPr>
        <w:jc w:val="both"/>
        <w:ind w:right="40" w:firstLine="496"/>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15" w:lineRule="exact"/>
        <w:rPr>
          <w:sz w:val="20"/>
          <w:szCs w:val="20"/>
          <w:color w:val="auto"/>
        </w:rPr>
      </w:pPr>
    </w:p>
    <w:p>
      <w:pPr>
        <w:ind w:left="980" w:hanging="486"/>
        <w:spacing w:after="0"/>
        <w:tabs>
          <w:tab w:leader="none" w:pos="9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136" w:lineRule="exact"/>
        <w:rPr>
          <w:sz w:val="20"/>
          <w:szCs w:val="20"/>
          <w:color w:val="auto"/>
        </w:rPr>
      </w:pPr>
    </w:p>
    <w:p>
      <w:pPr>
        <w:ind w:left="980" w:hanging="486"/>
        <w:spacing w:after="0"/>
        <w:tabs>
          <w:tab w:leader="none" w:pos="9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136" w:lineRule="exact"/>
        <w:rPr>
          <w:sz w:val="20"/>
          <w:szCs w:val="20"/>
          <w:color w:val="auto"/>
        </w:rPr>
      </w:pPr>
    </w:p>
    <w:p>
      <w:pPr>
        <w:ind w:right="60" w:firstLine="496"/>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93" w:lineRule="exact"/>
        <w:rPr>
          <w:sz w:val="20"/>
          <w:szCs w:val="20"/>
          <w:color w:val="auto"/>
        </w:rPr>
      </w:pPr>
    </w:p>
    <w:p>
      <w:pPr>
        <w:ind w:left="980" w:hanging="486"/>
        <w:spacing w:after="0"/>
        <w:tabs>
          <w:tab w:leader="none" w:pos="9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Exceptions from Reporting Requirements.</w:t>
      </w:r>
    </w:p>
    <w:p>
      <w:pPr>
        <w:spacing w:after="0" w:line="136" w:lineRule="exact"/>
        <w:rPr>
          <w:sz w:val="20"/>
          <w:szCs w:val="20"/>
          <w:color w:val="auto"/>
        </w:rPr>
      </w:pPr>
    </w:p>
    <w:p>
      <w:pPr>
        <w:ind w:right="160" w:firstLine="496"/>
        <w:spacing w:after="0" w:line="231" w:lineRule="auto"/>
        <w:rPr>
          <w:sz w:val="20"/>
          <w:szCs w:val="20"/>
          <w:color w:val="auto"/>
        </w:rPr>
      </w:pPr>
      <w:r>
        <w:rPr>
          <w:rFonts w:ascii="Arial" w:cs="Arial" w:eastAsia="Arial" w:hAnsi="Arial"/>
          <w:sz w:val="14"/>
          <w:szCs w:val="14"/>
          <w:color w:val="auto"/>
        </w:rPr>
        <w:t>Reports are not required: (1) with respect to securities held in accounts over which the access person has no direct or indirect influence or control as determined by the CCO in accordance with applicable guidance, a “Third Party Managed Account”; (2) with respect to transactions effected pursuant to an automatic investment plan; or (3) which would duplicate information contained in broker trade confirmations or account statements provided the adviser receives such confirmations or statements within 30 days after the end of the applicable calendar quarter and holds them in its books and records. PennantPark allows, but does not require, Access Persons to direct their brokers to provide duplicate statements and confirmations for this purpose.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1" w:name="page82"/>
    <w:bookmarkEnd w:id="81"/>
    <w:p>
      <w:pPr>
        <w:ind w:left="980" w:hanging="486"/>
        <w:spacing w:after="0"/>
        <w:tabs>
          <w:tab w:leader="none" w:pos="9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Blind Trusts and other Third Party Managed Accounts.</w:t>
      </w:r>
    </w:p>
    <w:p>
      <w:pPr>
        <w:spacing w:after="0" w:line="136" w:lineRule="exact"/>
        <w:rPr>
          <w:sz w:val="20"/>
          <w:szCs w:val="20"/>
          <w:color w:val="auto"/>
        </w:rPr>
      </w:pPr>
    </w:p>
    <w:p>
      <w:pPr>
        <w:ind w:right="100" w:firstLine="496"/>
        <w:spacing w:after="0" w:line="247" w:lineRule="auto"/>
        <w:rPr>
          <w:sz w:val="20"/>
          <w:szCs w:val="20"/>
          <w:color w:val="auto"/>
        </w:rPr>
      </w:pPr>
      <w:r>
        <w:rPr>
          <w:rFonts w:ascii="Arial" w:cs="Arial" w:eastAsia="Arial" w:hAnsi="Arial"/>
          <w:sz w:val="13"/>
          <w:szCs w:val="13"/>
          <w:color w:val="auto"/>
        </w:rPr>
        <w:t>Rule 204A-1(b)(3)(i) provides that an access person is not required “to submit . . . any report [(i.e., initial and annual holdings reports and quarterly transaction reports)] with respect to securities held in accounts over which the access person has no direct or indirect influence or control.” Examples of such accounts include “Blind Trusts” where the access person has no knowledge of specific actions taken by the Trustee with respect to Trust investments and no right to intervene in the trustee’s management. Additionally, accounts with similar features that limit the access person’s involvement, including other types of trusts and accounts managed by an unaffiliated manager with discretionary authority. However, the mere retention of a trustee or manager to advise an access person’s account on a discretionary basis is not, by itself, sufficient to allow for a conclusion that the access person has no direct or indirect influence or control. Rather, under the Guidance, the adviser must make a reasonable determination, based on reasonably designed policies and procedures, whether “the access person actually had direct or indirect influence or control over the trust or account, rather than whether the third-party manager had discretionary or non-discretionary investment authority.”</w:t>
      </w:r>
    </w:p>
    <w:p>
      <w:pPr>
        <w:spacing w:after="0" w:line="98" w:lineRule="exact"/>
        <w:rPr>
          <w:sz w:val="20"/>
          <w:szCs w:val="20"/>
          <w:color w:val="auto"/>
        </w:rPr>
      </w:pPr>
    </w:p>
    <w:p>
      <w:pPr>
        <w:ind w:firstLine="496"/>
        <w:spacing w:after="0" w:line="245" w:lineRule="auto"/>
        <w:rPr>
          <w:sz w:val="20"/>
          <w:szCs w:val="20"/>
          <w:color w:val="auto"/>
        </w:rPr>
      </w:pPr>
      <w:r>
        <w:rPr>
          <w:rFonts w:ascii="Arial" w:cs="Arial" w:eastAsia="Arial" w:hAnsi="Arial"/>
          <w:sz w:val="13"/>
          <w:szCs w:val="13"/>
          <w:color w:val="auto"/>
        </w:rPr>
        <w:t>Access persons who wish to rely on this exception with respect to any account which otherwise would be reportable must register the account with the CCO who will determine, based on relevant facts and circumstances (including the terms of the account), whether the access person has direct or indirect influence or control over the account. An access person would have direct or indirect influence or control over an account where the access person (i) has the ability to suggest or direct purchases or sales; (ii) consults with the trustee or manager as to the particular allocation of investments to be made in the account; or (iii) engages in regular and substantive discussions with the trustee or manager with respect to account holdings. However, the following activities would not preclude the CCO from determining that an account is a Third Party Managed Account: (i) the access person provides information about his or her investment objectives and reasonable restrictions; (ii) the trustee or manager provides summary descriptions or explanations (whether written or oral) regarding account activity to the access person, provided that the access person does not provide suggestions or directions to the trustee or manager; and (iii) the access person is able to make contributions to and withdrawals from the account, provided that the access person may not instruct the trustee or manager as to specific securities or types of securities which should be purchased or liquidated in connection with the contribution or withdrawal.</w:t>
      </w:r>
    </w:p>
    <w:p>
      <w:pPr>
        <w:spacing w:after="0" w:line="116" w:lineRule="exact"/>
        <w:rPr>
          <w:sz w:val="20"/>
          <w:szCs w:val="20"/>
          <w:color w:val="auto"/>
        </w:rPr>
      </w:pPr>
    </w:p>
    <w:p>
      <w:pPr>
        <w:ind w:right="240" w:firstLine="496"/>
        <w:spacing w:after="0" w:line="290" w:lineRule="auto"/>
        <w:rPr>
          <w:sz w:val="20"/>
          <w:szCs w:val="20"/>
          <w:color w:val="auto"/>
        </w:rPr>
      </w:pPr>
      <w:r>
        <w:rPr>
          <w:rFonts w:ascii="Arial" w:cs="Arial" w:eastAsia="Arial" w:hAnsi="Arial"/>
          <w:sz w:val="13"/>
          <w:szCs w:val="13"/>
          <w:color w:val="auto"/>
        </w:rPr>
        <w:t>No account shall be treated as a Third Party Managed Account until the CCO determines and informs the access person that the account meets the relevant requirements. In making a determination that an account meets the requirements to be treated as a Third Party Managed Account, the CCO may consider, as he or she determines relevant under the circumstances:</w:t>
      </w:r>
    </w:p>
    <w:p>
      <w:pPr>
        <w:spacing w:after="0" w:line="84" w:lineRule="exact"/>
        <w:rPr>
          <w:sz w:val="20"/>
          <w:szCs w:val="20"/>
          <w:color w:val="auto"/>
        </w:rPr>
      </w:pPr>
    </w:p>
    <w:p>
      <w:pPr>
        <w:ind w:left="980" w:hanging="486"/>
        <w:spacing w:after="0"/>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terms of the account or trust documentation, including the advisory agreement;</w:t>
      </w:r>
    </w:p>
    <w:p>
      <w:pPr>
        <w:spacing w:after="0" w:line="136" w:lineRule="exact"/>
        <w:rPr>
          <w:rFonts w:ascii="Arial" w:cs="Arial" w:eastAsia="Arial" w:hAnsi="Arial"/>
          <w:sz w:val="14"/>
          <w:szCs w:val="14"/>
          <w:color w:val="auto"/>
        </w:rPr>
      </w:pPr>
    </w:p>
    <w:p>
      <w:pPr>
        <w:ind w:left="980" w:right="260" w:hanging="486"/>
        <w:spacing w:after="0" w:line="253" w:lineRule="auto"/>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Information obtained from the access person as to the nature of the access person’s relationship with the trustee or manager (e.g., whether the trustee or manager is a friend or relative of the access person; whether the advisory firm is affiliated with PennantPark);</w:t>
      </w:r>
    </w:p>
    <w:p>
      <w:pPr>
        <w:spacing w:after="0" w:line="106" w:lineRule="exact"/>
        <w:rPr>
          <w:rFonts w:ascii="Arial" w:cs="Arial" w:eastAsia="Arial" w:hAnsi="Arial"/>
          <w:sz w:val="14"/>
          <w:szCs w:val="14"/>
          <w:color w:val="auto"/>
        </w:rPr>
      </w:pPr>
    </w:p>
    <w:p>
      <w:pPr>
        <w:ind w:left="980" w:right="160" w:hanging="486"/>
        <w:spacing w:after="0" w:line="253" w:lineRule="auto"/>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Specific periodic certifications from the access person, trustee and/or manager, as to the nature of the account and whether the access person has sought to exercise influence or control over the trustee or manager;</w:t>
      </w:r>
    </w:p>
    <w:p>
      <w:pPr>
        <w:spacing w:after="0" w:line="106" w:lineRule="exact"/>
        <w:rPr>
          <w:rFonts w:ascii="Arial" w:cs="Arial" w:eastAsia="Arial" w:hAnsi="Arial"/>
          <w:sz w:val="14"/>
          <w:szCs w:val="14"/>
          <w:color w:val="auto"/>
        </w:rPr>
      </w:pPr>
    </w:p>
    <w:p>
      <w:pPr>
        <w:ind w:left="980" w:right="820" w:hanging="486"/>
        <w:spacing w:after="0" w:line="253" w:lineRule="auto"/>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Certification or representation from the access person that he or she has reviewed the Code, including this section defining the exception and describing the relevant determinative factors as to concluding that the access person does not exercise direct or indirect influence or control; and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Any other information that the CCO believes necessary or appropriate to determine whether the account meets the standards set forth herein.</w:t>
      </w:r>
    </w:p>
    <w:p>
      <w:pPr>
        <w:spacing w:after="0" w:line="136" w:lineRule="exact"/>
        <w:rPr>
          <w:sz w:val="20"/>
          <w:szCs w:val="20"/>
          <w:color w:val="auto"/>
        </w:rPr>
      </w:pPr>
    </w:p>
    <w:p>
      <w:pPr>
        <w:ind w:right="20" w:firstLine="496"/>
        <w:spacing w:after="0" w:line="251" w:lineRule="auto"/>
        <w:rPr>
          <w:sz w:val="20"/>
          <w:szCs w:val="20"/>
          <w:color w:val="auto"/>
        </w:rPr>
      </w:pPr>
      <w:r>
        <w:rPr>
          <w:rFonts w:ascii="Arial" w:cs="Arial" w:eastAsia="Arial" w:hAnsi="Arial"/>
          <w:sz w:val="13"/>
          <w:szCs w:val="13"/>
          <w:color w:val="auto"/>
        </w:rPr>
        <w:t>The CCO will document, in writing, his or her conclusion as to whether the account meets the requirements to be treated as a Third Party Managed Account to rely on the reporting exception and will periodically review such determination with the access person. The CCO may require that the access person (and, where appropriate, the manager/trustee) provide additional or renewed certifications or information about the account. Additionally, the CCO may require that the access person provide reports on a sample basis as to account holdings and/or transactions. The CCO will review any such reports to determine whether transactions in the account would have been inconsistent with this Code absent reliance on the reporting exception. The CCO will keep relevant records to document these reviews and support his or her conclusions as to the status of the relevant account(s).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140" w:lineRule="exact"/>
        <w:rPr>
          <w:sz w:val="20"/>
          <w:szCs w:val="20"/>
          <w:color w:val="auto"/>
        </w:rPr>
      </w:pPr>
    </w:p>
    <w:p>
      <w:pPr>
        <w:ind w:left="980" w:hanging="486"/>
        <w:spacing w:after="0"/>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136" w:lineRule="exact"/>
        <w:rPr>
          <w:sz w:val="20"/>
          <w:szCs w:val="20"/>
          <w:color w:val="auto"/>
        </w:rPr>
      </w:pPr>
    </w:p>
    <w:p>
      <w:pPr>
        <w:ind w:right="320" w:firstLine="496"/>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15" w:lineRule="exact"/>
        <w:rPr>
          <w:sz w:val="20"/>
          <w:szCs w:val="20"/>
          <w:color w:val="auto"/>
        </w:rPr>
      </w:pPr>
    </w:p>
    <w:p>
      <w:pPr>
        <w:ind w:left="980" w:hanging="486"/>
        <w:spacing w:after="0"/>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136" w:lineRule="exact"/>
        <w:rPr>
          <w:sz w:val="20"/>
          <w:szCs w:val="20"/>
          <w:color w:val="auto"/>
        </w:rPr>
      </w:pPr>
    </w:p>
    <w:p>
      <w:pPr>
        <w:ind w:right="100" w:firstLine="496"/>
        <w:spacing w:after="0" w:line="238" w:lineRule="auto"/>
        <w:rPr>
          <w:sz w:val="20"/>
          <w:szCs w:val="20"/>
          <w:color w:val="auto"/>
        </w:rPr>
      </w:pPr>
      <w:r>
        <w:rPr>
          <w:rFonts w:ascii="Arial" w:cs="Arial" w:eastAsia="Arial" w:hAnsi="Arial"/>
          <w:sz w:val="14"/>
          <w:szCs w:val="14"/>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102" w:lineRule="exact"/>
        <w:rPr>
          <w:sz w:val="20"/>
          <w:szCs w:val="20"/>
          <w:color w:val="auto"/>
        </w:rPr>
      </w:pPr>
    </w:p>
    <w:p>
      <w:pPr>
        <w:ind w:left="980" w:hanging="486"/>
        <w:spacing w:after="0"/>
        <w:tabs>
          <w:tab w:leader="none" w:pos="9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Gratuities.</w:t>
      </w:r>
    </w:p>
    <w:p>
      <w:pPr>
        <w:spacing w:after="0" w:line="136" w:lineRule="exact"/>
        <w:rPr>
          <w:sz w:val="20"/>
          <w:szCs w:val="20"/>
          <w:color w:val="auto"/>
        </w:rPr>
      </w:pPr>
    </w:p>
    <w:p>
      <w:pPr>
        <w:ind w:right="80" w:firstLine="496"/>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27" w:lineRule="exact"/>
        <w:rPr>
          <w:sz w:val="20"/>
          <w:szCs w:val="20"/>
          <w:color w:val="auto"/>
        </w:rPr>
      </w:pPr>
    </w:p>
    <w:p>
      <w:pPr>
        <w:ind w:firstLine="496"/>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09" w:lineRule="exact"/>
        <w:rPr>
          <w:sz w:val="20"/>
          <w:szCs w:val="20"/>
          <w:color w:val="auto"/>
        </w:rPr>
      </w:pPr>
    </w:p>
    <w:p>
      <w:pPr>
        <w:jc w:val="both"/>
        <w:ind w:left="980" w:right="580" w:hanging="486"/>
        <w:spacing w:after="0" w:line="290" w:lineRule="auto"/>
        <w:tabs>
          <w:tab w:leader="none" w:pos="9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84" w:lineRule="exact"/>
        <w:rPr>
          <w:rFonts w:ascii="Arial" w:cs="Arial" w:eastAsia="Arial" w:hAnsi="Arial"/>
          <w:sz w:val="13"/>
          <w:szCs w:val="13"/>
          <w:color w:val="auto"/>
        </w:rPr>
      </w:pPr>
    </w:p>
    <w:p>
      <w:pPr>
        <w:ind w:left="980" w:right="120" w:hanging="486"/>
        <w:spacing w:after="0" w:line="247" w:lineRule="auto"/>
        <w:tabs>
          <w:tab w:leader="none" w:pos="9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111" w:lineRule="exact"/>
        <w:rPr>
          <w:rFonts w:ascii="Arial" w:cs="Arial" w:eastAsia="Arial" w:hAnsi="Arial"/>
          <w:sz w:val="13"/>
          <w:szCs w:val="13"/>
          <w:color w:val="auto"/>
        </w:rPr>
      </w:pPr>
    </w:p>
    <w:p>
      <w:pPr>
        <w:ind w:left="980" w:right="100" w:hanging="486"/>
        <w:spacing w:after="0" w:line="238" w:lineRule="auto"/>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spacing w:after="0" w:line="115" w:lineRule="exact"/>
        <w:rPr>
          <w:rFonts w:ascii="Arial" w:cs="Arial" w:eastAsia="Arial" w:hAnsi="Arial"/>
          <w:sz w:val="14"/>
          <w:szCs w:val="14"/>
          <w:color w:val="auto"/>
        </w:rPr>
      </w:pPr>
    </w:p>
    <w:p>
      <w:pPr>
        <w:ind w:left="980" w:right="20" w:hanging="486"/>
        <w:spacing w:after="0" w:line="238" w:lineRule="auto"/>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115" w:lineRule="exact"/>
        <w:rPr>
          <w:rFonts w:ascii="Arial" w:cs="Arial" w:eastAsia="Arial" w:hAnsi="Arial"/>
          <w:sz w:val="14"/>
          <w:szCs w:val="14"/>
          <w:color w:val="auto"/>
        </w:rPr>
      </w:pPr>
    </w:p>
    <w:p>
      <w:pPr>
        <w:ind w:left="1480" w:hanging="487"/>
        <w:spacing w:after="0"/>
        <w:tabs>
          <w:tab w:leader="none" w:pos="1480" w:val="left"/>
        </w:tabs>
        <w:numPr>
          <w:ilvl w:val="1"/>
          <w:numId w:val="93"/>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136" w:lineRule="exact"/>
        <w:rPr>
          <w:rFonts w:ascii="Arial" w:cs="Arial" w:eastAsia="Arial" w:hAnsi="Arial"/>
          <w:sz w:val="14"/>
          <w:szCs w:val="14"/>
          <w:color w:val="auto"/>
        </w:rPr>
      </w:pPr>
    </w:p>
    <w:p>
      <w:pPr>
        <w:ind w:left="1480" w:hanging="487"/>
        <w:spacing w:after="0"/>
        <w:tabs>
          <w:tab w:leader="none" w:pos="1480" w:val="left"/>
        </w:tabs>
        <w:numPr>
          <w:ilvl w:val="1"/>
          <w:numId w:val="93"/>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136" w:lineRule="exact"/>
        <w:rPr>
          <w:rFonts w:ascii="Arial" w:cs="Arial" w:eastAsia="Arial" w:hAnsi="Arial"/>
          <w:sz w:val="14"/>
          <w:szCs w:val="14"/>
          <w:color w:val="auto"/>
        </w:rPr>
      </w:pPr>
    </w:p>
    <w:p>
      <w:pPr>
        <w:ind w:left="1480" w:hanging="487"/>
        <w:spacing w:after="0"/>
        <w:tabs>
          <w:tab w:leader="none" w:pos="1480" w:val="left"/>
        </w:tabs>
        <w:numPr>
          <w:ilvl w:val="1"/>
          <w:numId w:val="93"/>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136" w:lineRule="exact"/>
        <w:rPr>
          <w:sz w:val="20"/>
          <w:szCs w:val="20"/>
          <w:color w:val="auto"/>
        </w:rPr>
      </w:pPr>
    </w:p>
    <w:p>
      <w:pPr>
        <w:jc w:val="both"/>
        <w:ind w:right="160" w:firstLine="496"/>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15" w:lineRule="exact"/>
        <w:rPr>
          <w:sz w:val="20"/>
          <w:szCs w:val="20"/>
          <w:color w:val="auto"/>
        </w:rPr>
      </w:pPr>
    </w:p>
    <w:p>
      <w:pPr>
        <w:jc w:val="both"/>
        <w:ind w:left="980" w:right="60" w:hanging="486"/>
        <w:spacing w:after="0" w:line="244" w:lineRule="auto"/>
        <w:tabs>
          <w:tab w:leader="none" w:pos="9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w:t>
      </w:r>
    </w:p>
    <w:p>
      <w:pPr>
        <w:spacing w:after="0" w:line="1" w:lineRule="exact"/>
        <w:rPr>
          <w:rFonts w:ascii="Arial" w:cs="Arial" w:eastAsia="Arial" w:hAnsi="Arial"/>
          <w:sz w:val="13"/>
          <w:szCs w:val="13"/>
          <w:color w:val="auto"/>
        </w:rPr>
      </w:pPr>
    </w:p>
    <w:p>
      <w:pPr>
        <w:ind w:left="980" w:right="20"/>
        <w:spacing w:after="0" w:line="229" w:lineRule="auto"/>
        <w:rPr>
          <w:rFonts w:ascii="Arial" w:cs="Arial" w:eastAsia="Arial" w:hAnsi="Arial"/>
          <w:sz w:val="13"/>
          <w:szCs w:val="13"/>
          <w:color w:val="auto"/>
        </w:rPr>
      </w:pPr>
      <w:r>
        <w:rPr>
          <w:rFonts w:ascii="Arial" w:cs="Arial" w:eastAsia="Arial" w:hAnsi="Arial"/>
          <w:sz w:val="14"/>
          <w:szCs w:val="14"/>
          <w:color w:val="auto"/>
        </w:rPr>
        <w:t>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116" w:lineRule="exact"/>
        <w:rPr>
          <w:rFonts w:ascii="Arial" w:cs="Arial" w:eastAsia="Arial" w:hAnsi="Arial"/>
          <w:sz w:val="13"/>
          <w:szCs w:val="13"/>
          <w:color w:val="auto"/>
        </w:rPr>
      </w:pPr>
    </w:p>
    <w:p>
      <w:pPr>
        <w:ind w:left="980" w:right="20" w:hanging="486"/>
        <w:spacing w:after="0" w:line="229" w:lineRule="auto"/>
        <w:tabs>
          <w:tab w:leader="none" w:pos="9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127" w:lineRule="exact"/>
        <w:rPr>
          <w:sz w:val="20"/>
          <w:szCs w:val="20"/>
          <w:color w:val="auto"/>
        </w:rPr>
      </w:pPr>
    </w:p>
    <w:p>
      <w:pPr>
        <w:ind w:left="980" w:hanging="486"/>
        <w:spacing w:after="0"/>
        <w:tabs>
          <w:tab w:leader="none" w:pos="9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136" w:lineRule="exact"/>
        <w:rPr>
          <w:sz w:val="20"/>
          <w:szCs w:val="20"/>
          <w:color w:val="auto"/>
        </w:rPr>
      </w:pPr>
    </w:p>
    <w:p>
      <w:pPr>
        <w:ind w:right="340" w:firstLine="496"/>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84" w:lineRule="exact"/>
        <w:rPr>
          <w:sz w:val="20"/>
          <w:szCs w:val="20"/>
          <w:color w:val="auto"/>
        </w:rPr>
      </w:pPr>
    </w:p>
    <w:p>
      <w:pPr>
        <w:ind w:left="980" w:hanging="486"/>
        <w:spacing w:after="0"/>
        <w:tabs>
          <w:tab w:leader="none" w:pos="9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136" w:lineRule="exact"/>
        <w:rPr>
          <w:sz w:val="20"/>
          <w:szCs w:val="20"/>
          <w:color w:val="auto"/>
        </w:rPr>
      </w:pPr>
    </w:p>
    <w:p>
      <w:pPr>
        <w:ind w:right="200" w:firstLine="496"/>
        <w:spacing w:after="0" w:line="233" w:lineRule="auto"/>
        <w:rPr>
          <w:sz w:val="20"/>
          <w:szCs w:val="20"/>
          <w:color w:val="auto"/>
        </w:rPr>
      </w:pPr>
      <w:r>
        <w:rPr>
          <w:rFonts w:ascii="Arial" w:cs="Arial" w:eastAsia="Arial" w:hAnsi="Arial"/>
          <w:sz w:val="14"/>
          <w:szCs w:val="14"/>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color w:val="auto"/>
        </w:rPr>
        <w:t>Section X Sanctions</w:t>
      </w:r>
    </w:p>
    <w:p>
      <w:pPr>
        <w:spacing w:after="0" w:line="127" w:lineRule="exact"/>
        <w:rPr>
          <w:sz w:val="20"/>
          <w:szCs w:val="20"/>
          <w:color w:val="auto"/>
        </w:rPr>
      </w:pPr>
    </w:p>
    <w:p>
      <w:pPr>
        <w:ind w:right="40" w:firstLine="496"/>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140" w:lineRule="exact"/>
        <w:rPr>
          <w:sz w:val="20"/>
          <w:szCs w:val="20"/>
          <w:color w:val="auto"/>
        </w:rPr>
      </w:pPr>
    </w:p>
    <w:p>
      <w:pPr>
        <w:ind w:left="980" w:hanging="486"/>
        <w:spacing w:after="0"/>
        <w:tabs>
          <w:tab w:leader="none" w:pos="9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136" w:lineRule="exact"/>
        <w:rPr>
          <w:sz w:val="20"/>
          <w:szCs w:val="20"/>
          <w:color w:val="auto"/>
        </w:rPr>
      </w:pPr>
    </w:p>
    <w:p>
      <w:pPr>
        <w:jc w:val="both"/>
        <w:ind w:left="980" w:right="20" w:hanging="486"/>
        <w:spacing w:after="0" w:line="238" w:lineRule="auto"/>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15" w:lineRule="exact"/>
        <w:rPr>
          <w:rFonts w:ascii="Arial" w:cs="Arial" w:eastAsia="Arial" w:hAnsi="Arial"/>
          <w:sz w:val="14"/>
          <w:szCs w:val="14"/>
          <w:color w:val="auto"/>
        </w:rPr>
      </w:pPr>
    </w:p>
    <w:p>
      <w:pPr>
        <w:ind w:left="980" w:right="460" w:hanging="486"/>
        <w:spacing w:after="0" w:line="253" w:lineRule="auto"/>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136" w:lineRule="exact"/>
        <w:rPr>
          <w:rFonts w:ascii="Arial" w:cs="Arial" w:eastAsia="Arial" w:hAnsi="Arial"/>
          <w:sz w:val="14"/>
          <w:szCs w:val="14"/>
          <w:color w:val="auto"/>
        </w:rPr>
      </w:pPr>
    </w:p>
    <w:p>
      <w:pPr>
        <w:ind w:left="980" w:right="640" w:hanging="486"/>
        <w:spacing w:after="0" w:line="253" w:lineRule="auto"/>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0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Issuance either personally or with the assistance of counsel as may be appropriate, of any interpretation of this Code that may appear consistent with the objectives of Rule 17j-1 and this Code;</w:t>
      </w:r>
    </w:p>
    <w:p>
      <w:pPr>
        <w:spacing w:after="0" w:line="106" w:lineRule="exact"/>
        <w:rPr>
          <w:rFonts w:ascii="Arial" w:cs="Arial" w:eastAsia="Arial" w:hAnsi="Arial"/>
          <w:sz w:val="14"/>
          <w:szCs w:val="14"/>
          <w:color w:val="auto"/>
        </w:rPr>
      </w:pPr>
    </w:p>
    <w:p>
      <w:pPr>
        <w:ind w:left="980" w:right="420" w:hanging="486"/>
        <w:spacing w:after="0" w:line="253" w:lineRule="auto"/>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106" w:lineRule="exact"/>
        <w:rPr>
          <w:rFonts w:ascii="Arial" w:cs="Arial" w:eastAsia="Arial" w:hAnsi="Arial"/>
          <w:sz w:val="14"/>
          <w:szCs w:val="14"/>
          <w:color w:val="auto"/>
        </w:rPr>
      </w:pPr>
    </w:p>
    <w:p>
      <w:pPr>
        <w:ind w:left="980" w:hanging="486"/>
        <w:spacing w:after="0" w:line="253" w:lineRule="auto"/>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06" w:lineRule="exact"/>
        <w:rPr>
          <w:sz w:val="20"/>
          <w:szCs w:val="20"/>
          <w:color w:val="auto"/>
        </w:rPr>
      </w:pPr>
    </w:p>
    <w:p>
      <w:pPr>
        <w:ind w:left="980" w:right="32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106" w:lineRule="exact"/>
        <w:rPr>
          <w:sz w:val="20"/>
          <w:szCs w:val="20"/>
          <w:color w:val="auto"/>
        </w:rPr>
      </w:pPr>
    </w:p>
    <w:p>
      <w:pPr>
        <w:ind w:left="980" w:right="20" w:hanging="486"/>
        <w:spacing w:after="0" w:line="253" w:lineRule="auto"/>
        <w:tabs>
          <w:tab w:leader="none" w:pos="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106" w:lineRule="exact"/>
        <w:rPr>
          <w:rFonts w:ascii="Arial" w:cs="Arial" w:eastAsia="Arial" w:hAnsi="Arial"/>
          <w:sz w:val="14"/>
          <w:szCs w:val="14"/>
          <w:color w:val="auto"/>
        </w:rPr>
      </w:pPr>
    </w:p>
    <w:p>
      <w:pPr>
        <w:ind w:left="980" w:right="460" w:hanging="486"/>
        <w:spacing w:after="0" w:line="253" w:lineRule="auto"/>
        <w:tabs>
          <w:tab w:leader="none" w:pos="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 record of each violation of such codes of ethics and of any action taken as a result of such violation for at least five (5) years after the end of the fiscal year in which the violation occurs;</w:t>
      </w:r>
    </w:p>
    <w:p>
      <w:pPr>
        <w:spacing w:after="0" w:line="106" w:lineRule="exact"/>
        <w:rPr>
          <w:rFonts w:ascii="Arial" w:cs="Arial" w:eastAsia="Arial" w:hAnsi="Arial"/>
          <w:sz w:val="14"/>
          <w:szCs w:val="14"/>
          <w:color w:val="auto"/>
        </w:rPr>
      </w:pPr>
    </w:p>
    <w:p>
      <w:pPr>
        <w:ind w:left="980" w:right="260" w:hanging="486"/>
        <w:spacing w:after="0" w:line="253" w:lineRule="auto"/>
        <w:tabs>
          <w:tab w:leader="none" w:pos="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100" w:hanging="486"/>
        <w:spacing w:after="0" w:line="253" w:lineRule="auto"/>
        <w:tabs>
          <w:tab w:leader="none" w:pos="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10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06" w:lineRule="exact"/>
        <w:rPr>
          <w:sz w:val="20"/>
          <w:szCs w:val="20"/>
          <w:color w:val="auto"/>
        </w:rPr>
      </w:pPr>
    </w:p>
    <w:p>
      <w:pPr>
        <w:ind w:left="980" w:hanging="486"/>
        <w:spacing w:after="0"/>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136" w:lineRule="exact"/>
        <w:rPr>
          <w:sz w:val="20"/>
          <w:szCs w:val="20"/>
          <w:color w:val="auto"/>
        </w:rPr>
      </w:pPr>
    </w:p>
    <w:p>
      <w:pPr>
        <w:ind w:right="700" w:firstLine="496"/>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95"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297"/>
        </w:trPr>
        <w:tc>
          <w:tcPr>
            <w:tcW w:w="4260" w:type="dxa"/>
            <w:vAlign w:val="bottom"/>
          </w:tcPr>
          <w:p>
            <w:pPr>
              <w:spacing w:after="0"/>
              <w:rPr>
                <w:sz w:val="24"/>
                <w:szCs w:val="24"/>
                <w:color w:val="auto"/>
              </w:rPr>
            </w:pPr>
          </w:p>
        </w:tc>
        <w:tc>
          <w:tcPr>
            <w:tcW w:w="6720" w:type="dxa"/>
            <w:vAlign w:val="bottom"/>
            <w:gridSpan w:val="4"/>
          </w:tcPr>
          <w:p>
            <w:pPr>
              <w:jc w:val="right"/>
              <w:ind w:right="4440"/>
              <w:spacing w:after="0"/>
              <w:rPr>
                <w:sz w:val="20"/>
                <w:szCs w:val="20"/>
                <w:color w:val="auto"/>
              </w:rPr>
            </w:pPr>
            <w:r>
              <w:rPr>
                <w:rFonts w:ascii="Arial" w:cs="Arial" w:eastAsia="Arial" w:hAnsi="Arial"/>
                <w:sz w:val="14"/>
                <w:szCs w:val="14"/>
                <w:b w:val="1"/>
                <w:bCs w:val="1"/>
                <w:color w:val="auto"/>
              </w:rPr>
              <w:t>Subsidiaries of the Registrant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4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Voting Securities</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260" w:type="dxa"/>
            <w:vAlign w:val="bottom"/>
            <w:tcBorders>
              <w:bottom w:val="single" w:sz="8" w:color="auto"/>
            </w:tcBorders>
            <w:vMerge w:val="continue"/>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Owned Percentage</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PennantPark Investment Funding I, LLC (Delaware)</w:t>
            </w:r>
          </w:p>
        </w:tc>
        <w:tc>
          <w:tcPr>
            <w:tcW w:w="4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color w:val="auto"/>
              </w:rPr>
              <w:t>100%</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GP II, LLC (Delaware)</w:t>
            </w:r>
          </w:p>
        </w:tc>
        <w:tc>
          <w:tcPr>
            <w:tcW w:w="67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PennantPark SBIC II LP (Delaware)</w:t>
            </w:r>
          </w:p>
        </w:tc>
        <w:tc>
          <w:tcPr>
            <w:tcW w:w="6720" w:type="dxa"/>
            <w:vAlign w:val="bottom"/>
            <w:gridSpan w:val="4"/>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Alabama Holdings Inc. (Delaware)</w:t>
            </w:r>
          </w:p>
        </w:tc>
        <w:tc>
          <w:tcPr>
            <w:tcW w:w="67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8"/>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PNNT Cascade Environmental Holdings, LLC (Delaware)</w:t>
            </w:r>
          </w:p>
        </w:tc>
        <w:tc>
          <w:tcPr>
            <w:tcW w:w="6720" w:type="dxa"/>
            <w:vAlign w:val="bottom"/>
            <w:gridSpan w:val="4"/>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CI (GALLS) Prime Investment Holdings, LLC (Delaware)</w:t>
            </w:r>
          </w:p>
        </w:tc>
        <w:tc>
          <w:tcPr>
            <w:tcW w:w="67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PNNT ecoserve, LLC (Delaware)</w:t>
            </w:r>
          </w:p>
        </w:tc>
        <w:tc>
          <w:tcPr>
            <w:tcW w:w="6720" w:type="dxa"/>
            <w:vAlign w:val="bottom"/>
            <w:gridSpan w:val="4"/>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Investment Holdings, LLC (Delaware)</w:t>
            </w:r>
          </w:p>
        </w:tc>
        <w:tc>
          <w:tcPr>
            <w:tcW w:w="67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PNNT New Gulf Resources, LLC (Delaware)</w:t>
            </w:r>
          </w:p>
        </w:tc>
        <w:tc>
          <w:tcPr>
            <w:tcW w:w="6720" w:type="dxa"/>
            <w:vAlign w:val="bottom"/>
            <w:gridSpan w:val="4"/>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RAM Energy Holdings LLC (Delaware)</w:t>
            </w:r>
          </w:p>
        </w:tc>
        <w:tc>
          <w:tcPr>
            <w:tcW w:w="67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48"/>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AKW Holdings Limited (Isle of Man)</w:t>
            </w:r>
          </w:p>
        </w:tc>
        <w:tc>
          <w:tcPr>
            <w:tcW w:w="6720" w:type="dxa"/>
            <w:vAlign w:val="bottom"/>
            <w:gridSpan w:val="4"/>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84%</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Arial" w:cs="Arial" w:eastAsia="Arial" w:hAnsi="Arial"/>
                <w:sz w:val="14"/>
                <w:szCs w:val="14"/>
                <w:color w:val="auto"/>
              </w:rPr>
              <w:t>PT Network Intermediate Holdings, LLC (Delaware)</w:t>
            </w:r>
          </w:p>
        </w:tc>
        <w:tc>
          <w:tcPr>
            <w:tcW w:w="6720" w:type="dxa"/>
            <w:vAlign w:val="bottom"/>
            <w:gridSpan w:val="4"/>
          </w:tcPr>
          <w:p>
            <w:pPr>
              <w:jc w:val="right"/>
              <w:ind w:right="20"/>
              <w:spacing w:after="0"/>
              <w:rPr>
                <w:sz w:val="20"/>
                <w:szCs w:val="20"/>
                <w:color w:val="auto"/>
              </w:rPr>
            </w:pPr>
            <w:r>
              <w:rPr>
                <w:rFonts w:ascii="Arial" w:cs="Arial" w:eastAsia="Arial" w:hAnsi="Arial"/>
                <w:sz w:val="14"/>
                <w:szCs w:val="14"/>
                <w:color w:val="auto"/>
              </w:rPr>
              <w:t>62%</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00" w:hanging="492"/>
        <w:spacing w:after="0"/>
        <w:tabs>
          <w:tab w:leader="none" w:pos="50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II, LLC, which is effectively wholly-owned by us.</w:t>
      </w:r>
    </w:p>
    <w:p>
      <w:pPr>
        <w:ind w:left="500" w:hanging="492"/>
        <w:spacing w:after="0" w:line="221" w:lineRule="auto"/>
        <w:tabs>
          <w:tab w:leader="none" w:pos="50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This entity is not operational.</w:t>
      </w:r>
    </w:p>
    <w:p>
      <w:pPr>
        <w:ind w:left="500" w:hanging="492"/>
        <w:spacing w:after="0"/>
        <w:tabs>
          <w:tab w:leader="none" w:pos="500" w:val="left"/>
        </w:tabs>
        <w:numPr>
          <w:ilvl w:val="0"/>
          <w:numId w:val="102"/>
        </w:numPr>
        <w:rPr>
          <w:rFonts w:ascii="Arial" w:cs="Arial" w:eastAsia="Arial" w:hAnsi="Arial"/>
          <w:sz w:val="12"/>
          <w:szCs w:val="12"/>
          <w:color w:val="auto"/>
        </w:rPr>
      </w:pPr>
      <w:r>
        <w:rPr>
          <w:rFonts w:ascii="Arial" w:cs="Arial" w:eastAsia="Arial" w:hAnsi="Arial"/>
          <w:sz w:val="14"/>
          <w:szCs w:val="14"/>
          <w:color w:val="auto"/>
        </w:rPr>
        <w:t>This is a controlled affiliated investment.</w:t>
      </w:r>
    </w:p>
    <w:p>
      <w:pPr>
        <w:sectPr>
          <w:pgSz w:w="11900" w:h="16838" w:orient="portrait"/>
          <w:cols w:equalWidth="0" w:num="1">
            <w:col w:w="11240"/>
          </w:cols>
          <w:pgMar w:left="320" w:top="11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and Chairman of the Board of Directors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10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10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10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10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10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21,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10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10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10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10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21,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In connection with the Annual Report on Form 10-K of PennantPark Investment Corporation for the annual period ended September 30, 2019 as filed with the Securities and Exchange Commission on the date hereof (the “Report”), I, Arthur H. Penn, as Chief Executive Officer of the Registrant hereby certify, to the best of my knowledge that:</w:t>
      </w:r>
    </w:p>
    <w:p>
      <w:pPr>
        <w:spacing w:after="0" w:line="106" w:lineRule="exact"/>
        <w:rPr>
          <w:sz w:val="20"/>
          <w:szCs w:val="20"/>
          <w:color w:val="auto"/>
        </w:rPr>
      </w:pPr>
    </w:p>
    <w:p>
      <w:pPr>
        <w:ind w:left="460" w:hanging="204"/>
        <w:spacing w:after="0"/>
        <w:tabs>
          <w:tab w:leader="none" w:pos="4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Arthur H. Penn</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4000" w:type="dxa"/>
            <w:vAlign w:val="bottom"/>
          </w:tcPr>
          <w:p>
            <w:pPr>
              <w:ind w:left="80"/>
              <w:spacing w:after="0" w:line="149" w:lineRule="exact"/>
              <w:rPr>
                <w:sz w:val="20"/>
                <w:szCs w:val="20"/>
                <w:color w:val="auto"/>
              </w:rPr>
            </w:pPr>
            <w:r>
              <w:rPr>
                <w:rFonts w:ascii="Arial" w:cs="Arial" w:eastAsia="Arial" w:hAnsi="Arial"/>
                <w:sz w:val="14"/>
                <w:szCs w:val="14"/>
                <w:color w:val="auto"/>
              </w:rPr>
              <w:t>Chief Executive Officer</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4000" w:type="dxa"/>
            <w:vAlign w:val="bottom"/>
          </w:tcPr>
          <w:p>
            <w:pPr>
              <w:ind w:left="80"/>
              <w:spacing w:after="0"/>
              <w:rPr>
                <w:sz w:val="20"/>
                <w:szCs w:val="20"/>
                <w:color w:val="auto"/>
              </w:rPr>
            </w:pPr>
            <w:r>
              <w:rPr>
                <w:rFonts w:ascii="Arial" w:cs="Arial" w:eastAsia="Arial" w:hAnsi="Arial"/>
                <w:sz w:val="14"/>
                <w:szCs w:val="14"/>
                <w:color w:val="auto"/>
              </w:rPr>
              <w:t>November 21, 2019</w:t>
            </w:r>
          </w:p>
        </w:tc>
      </w:tr>
    </w:tbl>
    <w:p>
      <w:pPr>
        <w:sectPr>
          <w:pgSz w:w="11900" w:h="16838" w:orient="portrait"/>
          <w:cols w:equalWidth="0" w:num="1">
            <w:col w:w="11240"/>
          </w:cols>
          <w:pgMar w:left="320" w:top="11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In connection with the Annual Report on Form 10-K of PennantPark Investment Corporation for the annual period ended September 30, 2019 as filed with the Securities and Exchange Commission on the date hereof (the “Report”), I, Aviv Efrat, as Chief Financial Officer of the Registrant hereby certify, to the best of my knowledge that:</w:t>
      </w:r>
    </w:p>
    <w:p>
      <w:pPr>
        <w:spacing w:after="0" w:line="106" w:lineRule="exact"/>
        <w:rPr>
          <w:sz w:val="20"/>
          <w:szCs w:val="20"/>
          <w:color w:val="auto"/>
        </w:rPr>
      </w:pPr>
    </w:p>
    <w:p>
      <w:pPr>
        <w:ind w:left="460" w:hanging="204"/>
        <w:spacing w:after="0"/>
        <w:tabs>
          <w:tab w:leader="none" w:pos="4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Aviv Efrat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4000" w:type="dxa"/>
            <w:vAlign w:val="bottom"/>
          </w:tcPr>
          <w:p>
            <w:pPr>
              <w:ind w:left="80"/>
              <w:spacing w:after="0" w:line="149" w:lineRule="exact"/>
              <w:rPr>
                <w:sz w:val="20"/>
                <w:szCs w:val="20"/>
                <w:color w:val="auto"/>
              </w:rPr>
            </w:pPr>
            <w:r>
              <w:rPr>
                <w:rFonts w:ascii="Arial" w:cs="Arial" w:eastAsia="Arial" w:hAnsi="Arial"/>
                <w:sz w:val="14"/>
                <w:szCs w:val="14"/>
                <w:color w:val="auto"/>
              </w:rPr>
              <w:t>Chief Financial Officer</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4000" w:type="dxa"/>
            <w:vAlign w:val="bottom"/>
          </w:tcPr>
          <w:p>
            <w:pPr>
              <w:ind w:left="80"/>
              <w:spacing w:after="0"/>
              <w:rPr>
                <w:sz w:val="20"/>
                <w:szCs w:val="20"/>
                <w:color w:val="auto"/>
              </w:rPr>
            </w:pPr>
            <w:r>
              <w:rPr>
                <w:rFonts w:ascii="Arial" w:cs="Arial" w:eastAsia="Arial" w:hAnsi="Arial"/>
                <w:sz w:val="14"/>
                <w:szCs w:val="14"/>
                <w:color w:val="auto"/>
              </w:rPr>
              <w:t>November 21, 2019</w:t>
            </w:r>
          </w:p>
        </w:tc>
      </w:tr>
    </w:tbl>
    <w:p>
      <w:pPr>
        <w:sectPr>
          <w:pgSz w:w="11900" w:h="16838" w:orient="portrait"/>
          <w:cols w:equalWidth="0" w:num="1">
            <w:col w:w="11240"/>
          </w:cols>
          <w:pgMar w:left="320" w:top="11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4.7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220" w:lineRule="exact"/>
        <w:rPr>
          <w:sz w:val="20"/>
          <w:szCs w:val="20"/>
          <w:color w:val="auto"/>
        </w:rPr>
      </w:pPr>
    </w:p>
    <w:p>
      <w:pPr>
        <w:ind w:left="880" w:hanging="440"/>
        <w:spacing w:after="0"/>
        <w:tabs>
          <w:tab w:leader="none" w:pos="88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Common Stock, $0.001 par value per share</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of September 30, 2019, the authorized capital stock of PennantPark Investment Corporation (the “Company,” “we,” “our” or “us”)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the Company and its consolidated subsidiaries,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Provisions of the Maryland General Corporation Law and our Charter and Bylaws</w:t>
      </w:r>
    </w:p>
    <w:p>
      <w:pPr>
        <w:spacing w:after="0" w:line="22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i w:val="1"/>
          <w:iCs w:val="1"/>
          <w:color w:val="auto"/>
        </w:rPr>
        <w:t>Classified board of directors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board of directors is divided into three classes of directors serving staggered three-year terms. The terms of the first, second and third classes will expire at the annual meeting of stockholders held in 2020, 2021 and 2022,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Election of directors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Number of directors; vacancies; removal</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Investment Company Act of 1940, as amended (the “1940 Act”).</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Action by stockholders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b w:val="1"/>
          <w:bCs w:val="1"/>
          <w:i w:val="1"/>
          <w:iCs w:val="1"/>
          <w:color w:val="auto"/>
        </w:rPr>
        <w:t>Advance notice provisions for stockholder nominations and stockholder proposals</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Calling of special meetings of stockholders</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Approval of extraordinary corporate action; amendment of charter and bylaws</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2" w:name="page93"/>
    <w:bookmarkEnd w:id="92"/>
    <w:p>
      <w:pPr>
        <w:jc w:val="both"/>
        <w:spacing w:after="0" w:line="273" w:lineRule="auto"/>
        <w:rPr>
          <w:sz w:val="20"/>
          <w:szCs w:val="20"/>
          <w:color w:val="auto"/>
        </w:rPr>
      </w:pPr>
      <w:r>
        <w:rPr>
          <w:rFonts w:ascii="Arial" w:cs="Arial" w:eastAsia="Arial" w:hAnsi="Arial"/>
          <w:sz w:val="19"/>
          <w:szCs w:val="19"/>
          <w:color w:val="auto"/>
        </w:rPr>
        <w:t>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charter and bylaws provide that the board of directors will have the exclusive power to adopt, alter or repeal any provision of our bylaws and to make new bylaws.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 appraisal rights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Control share acquisitions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20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218" w:lineRule="exact"/>
        <w:rPr>
          <w:sz w:val="20"/>
          <w:szCs w:val="20"/>
          <w:color w:val="auto"/>
        </w:rPr>
      </w:pPr>
    </w:p>
    <w:p>
      <w:pPr>
        <w:ind w:left="880" w:hanging="319"/>
        <w:spacing w:after="0"/>
        <w:tabs>
          <w:tab w:leader="none" w:pos="8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one-tenth or more but less than one-third;</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one-third or more but less than a majority; or</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 majority or more of all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3" w:name="page94"/>
    <w:bookmarkEnd w:id="93"/>
    <w:p>
      <w:pPr>
        <w:jc w:val="both"/>
        <w:spacing w:after="0" w:line="238" w:lineRule="auto"/>
        <w:rPr>
          <w:sz w:val="20"/>
          <w:szCs w:val="20"/>
          <w:color w:val="auto"/>
        </w:rPr>
      </w:pPr>
      <w:r>
        <w:rPr>
          <w:rFonts w:ascii="Arial" w:cs="Arial" w:eastAsia="Arial" w:hAnsi="Arial"/>
          <w:sz w:val="22"/>
          <w:szCs w:val="2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20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combinations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214" w:lineRule="exact"/>
        <w:rPr>
          <w:sz w:val="20"/>
          <w:szCs w:val="20"/>
          <w:color w:val="auto"/>
        </w:rPr>
      </w:pPr>
    </w:p>
    <w:p>
      <w:pPr>
        <w:ind w:left="880" w:right="20" w:hanging="319"/>
        <w:spacing w:after="0" w:line="250" w:lineRule="auto"/>
        <w:tabs>
          <w:tab w:leader="none" w:pos="8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person who beneficially owns, directly or indirectly, 10% or more of the voting power of the corporation’s shares; or</w:t>
      </w:r>
    </w:p>
    <w:p>
      <w:pPr>
        <w:spacing w:after="0" w:line="201" w:lineRule="exact"/>
        <w:rPr>
          <w:rFonts w:ascii="Arial" w:cs="Arial" w:eastAsia="Arial" w:hAnsi="Arial"/>
          <w:sz w:val="22"/>
          <w:szCs w:val="22"/>
          <w:color w:val="auto"/>
        </w:rPr>
      </w:pPr>
    </w:p>
    <w:p>
      <w:pPr>
        <w:jc w:val="both"/>
        <w:ind w:left="880" w:hanging="319"/>
        <w:spacing w:after="0"/>
        <w:tabs>
          <w:tab w:leader="none" w:pos="8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4" w:name="page95"/>
    <w:bookmarkEnd w:id="94"/>
    <w:p>
      <w:pPr>
        <w:jc w:val="both"/>
        <w:spacing w:after="0" w:line="238" w:lineRule="auto"/>
        <w:rPr>
          <w:sz w:val="20"/>
          <w:szCs w:val="20"/>
          <w:color w:val="auto"/>
        </w:rPr>
      </w:pPr>
      <w:r>
        <w:rPr>
          <w:rFonts w:ascii="Arial" w:cs="Arial" w:eastAsia="Arial" w:hAnsi="Arial"/>
          <w:sz w:val="22"/>
          <w:szCs w:val="2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9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132" w:lineRule="exact"/>
        <w:rPr>
          <w:sz w:val="20"/>
          <w:szCs w:val="20"/>
          <w:color w:val="auto"/>
        </w:rPr>
      </w:pPr>
    </w:p>
    <w:p>
      <w:pPr>
        <w:ind w:left="880" w:hanging="319"/>
        <w:spacing w:after="0"/>
        <w:tabs>
          <w:tab w:leader="none" w:pos="88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80% of the votes entitled to be cast by holders of outstanding shares of voting stock of the corporation; and</w:t>
      </w:r>
    </w:p>
    <w:p>
      <w:pPr>
        <w:spacing w:after="0" w:line="244" w:lineRule="exact"/>
        <w:rPr>
          <w:rFonts w:ascii="Arial" w:cs="Arial" w:eastAsia="Arial" w:hAnsi="Arial"/>
          <w:sz w:val="21"/>
          <w:szCs w:val="21"/>
          <w:color w:val="auto"/>
        </w:rPr>
      </w:pPr>
    </w:p>
    <w:p>
      <w:pPr>
        <w:jc w:val="both"/>
        <w:ind w:left="880" w:hanging="319"/>
        <w:spacing w:after="0"/>
        <w:tabs>
          <w:tab w:leader="none" w:pos="8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Conflict with 1940 Act</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41" w:lineRule="exact"/>
        <w:rPr>
          <w:sz w:val="20"/>
          <w:szCs w:val="20"/>
          <w:color w:val="auto"/>
        </w:rPr>
      </w:pPr>
    </w:p>
    <w:p>
      <w:pPr>
        <w:ind w:left="880" w:hanging="440"/>
        <w:spacing w:after="0"/>
        <w:tabs>
          <w:tab w:leader="none" w:pos="88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Debt Securities – 5.50% Notes Due 2024</w:t>
      </w:r>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September 2019, we issued $75,000,000 in aggregate principal amount of notes due 2024 (the “2024 Notes”). In October 2019, the underwriters exercised their overallotment option and purchased an additional $11,250,000 aggregate principal amount of 2024 Notes. The 2024 Notes bear interest at a rate of 5.50% per year payable quarterly on January 15, April 15, July 15 and October 15 of each year, commencing January 15, 2020. The 2024 Notes are issued in minimum denominations of $25 and integral multiples of $25 in excess thereof.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5" w:name="page96"/>
    <w:bookmarkEnd w:id="95"/>
    <w:p>
      <w:pPr>
        <w:jc w:val="both"/>
        <w:spacing w:after="0" w:line="238" w:lineRule="auto"/>
        <w:rPr>
          <w:sz w:val="20"/>
          <w:szCs w:val="20"/>
          <w:color w:val="auto"/>
        </w:rPr>
      </w:pPr>
      <w:r>
        <w:rPr>
          <w:rFonts w:ascii="Arial" w:cs="Arial" w:eastAsia="Arial" w:hAnsi="Arial"/>
          <w:sz w:val="22"/>
          <w:szCs w:val="22"/>
          <w:color w:val="auto"/>
        </w:rPr>
        <w:t>we had $75,000,000 in aggregate principal amount of 2024 Notes outstanding. The 2024 Notes are scheduled to mature on October 15, 2024. Additionally, the 2024 Notes will not be subject to any sinking fund and are subject to defeasance and covenant defeasance by us. We have listed the 2024 Notes on The Nasdaq Global Select Market under the trading symbol “PNNTG.”</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2024 Notes were issued under that certain indenture, dated January 22, 2013 (the “Base Indenture”), by and between the Company and American Stock Transfer &amp; Trust Company, LLC (the “Trustee”), as supplemented by the third supplemental indenture dated as of September 27, 2019 (the “Third Supplemental Indenture” and, together with the Base Indenture, the “Indenture”), between the Company and the Trustee. The Indenture provides that debt securities may be issued under the Indenture from time to time in one or more series. The Indenture and the 2024 Notes are governed by, and construed in accordance with, the laws of the State of New York. The Indenture does not limit the amount of debt securities that we may issue under that Indenture. We may, without the consent of the holders of the debt securities of any series, issue additional debt securities ranking equally with, and otherwise similar in all respects to, the debt securities of the series (except for the public offering price and the issue date) so that those additional debt securities will be consolidated and form a single series with the debt securities of the series previously offered and sold.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The 2024 Notes are the Company’s direct unsecured obligations and will rank:</w:t>
      </w:r>
    </w:p>
    <w:p>
      <w:pPr>
        <w:spacing w:after="0" w:line="220" w:lineRule="exact"/>
        <w:rPr>
          <w:sz w:val="20"/>
          <w:szCs w:val="20"/>
          <w:color w:val="auto"/>
        </w:rPr>
      </w:pPr>
    </w:p>
    <w:p>
      <w:pPr>
        <w:ind w:left="880" w:hanging="319"/>
        <w:spacing w:after="0"/>
        <w:tabs>
          <w:tab w:leader="none" w:pos="880" w:val="left"/>
        </w:tabs>
        <w:numPr>
          <w:ilvl w:val="0"/>
          <w:numId w:val="112"/>
        </w:numPr>
        <w:rPr>
          <w:rFonts w:ascii="Arial" w:cs="Arial" w:eastAsia="Arial" w:hAnsi="Arial"/>
          <w:sz w:val="22"/>
          <w:szCs w:val="22"/>
          <w:color w:val="auto"/>
        </w:rPr>
      </w:pPr>
      <w:r>
        <w:rPr>
          <w:rFonts w:ascii="Arial" w:cs="Arial" w:eastAsia="Arial" w:hAnsi="Arial"/>
          <w:sz w:val="22"/>
          <w:szCs w:val="22"/>
          <w:i w:val="1"/>
          <w:iCs w:val="1"/>
          <w:color w:val="auto"/>
        </w:rPr>
        <w:t xml:space="preserve">pari passu </w:t>
      </w:r>
      <w:r>
        <w:rPr>
          <w:rFonts w:ascii="Arial" w:cs="Arial" w:eastAsia="Arial" w:hAnsi="Arial"/>
          <w:sz w:val="22"/>
          <w:szCs w:val="22"/>
          <w:color w:val="auto"/>
        </w:rPr>
        <w:t>in right of payment with the Company’s future unsecured unsubordinated indebtedness;</w:t>
      </w:r>
    </w:p>
    <w:p>
      <w:pPr>
        <w:spacing w:after="0" w:line="219" w:lineRule="exact"/>
        <w:rPr>
          <w:rFonts w:ascii="Arial" w:cs="Arial" w:eastAsia="Arial" w:hAnsi="Arial"/>
          <w:sz w:val="22"/>
          <w:szCs w:val="22"/>
          <w:color w:val="auto"/>
        </w:rPr>
      </w:pPr>
    </w:p>
    <w:p>
      <w:pPr>
        <w:ind w:left="880" w:hanging="319"/>
        <w:spacing w:after="0" w:line="250" w:lineRule="auto"/>
        <w:tabs>
          <w:tab w:leader="none" w:pos="8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senior to any of the Company’s future indebtedness that expressly states it is subordinated in right of payment to the 2024 Notes,</w:t>
      </w:r>
    </w:p>
    <w:p>
      <w:pPr>
        <w:spacing w:after="0" w:line="188" w:lineRule="exact"/>
        <w:rPr>
          <w:rFonts w:ascii="Arial" w:cs="Arial" w:eastAsia="Arial" w:hAnsi="Arial"/>
          <w:sz w:val="22"/>
          <w:szCs w:val="22"/>
          <w:color w:val="auto"/>
        </w:rPr>
      </w:pPr>
    </w:p>
    <w:p>
      <w:pPr>
        <w:jc w:val="both"/>
        <w:ind w:left="880" w:hanging="319"/>
        <w:spacing w:after="0"/>
        <w:tabs>
          <w:tab w:leader="none" w:pos="8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w:t>
      </w:r>
    </w:p>
    <w:p>
      <w:pPr>
        <w:spacing w:after="0" w:line="199" w:lineRule="exact"/>
        <w:rPr>
          <w:rFonts w:ascii="Arial" w:cs="Arial" w:eastAsia="Arial" w:hAnsi="Arial"/>
          <w:sz w:val="22"/>
          <w:szCs w:val="22"/>
          <w:color w:val="auto"/>
        </w:rPr>
      </w:pPr>
    </w:p>
    <w:p>
      <w:pPr>
        <w:ind w:left="880" w:hanging="319"/>
        <w:spacing w:after="0" w:line="250" w:lineRule="auto"/>
        <w:tabs>
          <w:tab w:leader="none" w:pos="8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structurally subordinated to all existing and future indebtedness and other obligations of any of the Company’s subsidiaries, financing vehicles, or similar facilities.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2024 Notes may be redeemed in whole or in part at any time or from time to time at our option on or after October 15, 2021, upon not less than 30 days’ nor more than 60 days’ written notice by mail prior to the date fixed for redemption thereof, at a redemption price of 100% of the outstanding principal amount thereof plus accrued and unpaid interest payments otherwise payable for the then-current quarterly interest period accrued to but not including the date fixed for redemption. You may be prevented from exchanging or transferring the 2024 Notes when they are subject to redemption. In case any 2024 Notes are to be redeemed in part only, the redemption notice will provide that, upon surrender of such 2024 Note, you will receive, without a charge, a new 2024 Note or 2024 Notes of authorized denominations representing the principal amount of your remaining unredeemed Notes. Any exercise of our option to redeem the 2024 Notes will be done in compliance with the 1940 Act and the related rules, regulations and interpretations, to the extent applicable. If we redeem only some of the 2024 Notes, the Trustee or the Depositary Trust Company (“DTC”), as applicable, will determine the method for selection of the particular 2024 Notes to be redeemed, in accordance with the 1940 Act, to the extent applicable. Unless we default in payment of the redemption price, on and after the date of redemption interest will cease to accrue on the 2024 Notes called for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6" w:name="page97"/>
    <w:bookmarkEnd w:id="96"/>
    <w:p>
      <w:pPr>
        <w:jc w:val="both"/>
        <w:spacing w:after="0" w:line="279" w:lineRule="auto"/>
        <w:rPr>
          <w:sz w:val="20"/>
          <w:szCs w:val="20"/>
          <w:color w:val="auto"/>
        </w:rPr>
      </w:pPr>
      <w:r>
        <w:rPr>
          <w:rFonts w:ascii="Arial" w:cs="Arial" w:eastAsia="Arial" w:hAnsi="Arial"/>
          <w:sz w:val="19"/>
          <w:szCs w:val="19"/>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with respect to the 2024 Notes has two main roles. First, the Trustee can enforce your rights against us if we default. There are some limitations on the extent to which the Trustee acts on your behalf, see “Events of Default” for more information. Second, the Trustee performs certain administrative duties for us, such as sending interest and principal payments to holders.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For purposes of this description, any reference to the payment of principal of, or premium or interest, if any, on, the 2024 Notes will include additional amounts if required by the terms of the 2024 Notes.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description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Indenture does not contain any provisions that give you protection in the event we issue a large amount of debt or we are acquired by another entity.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Global Securities</w:t>
      </w:r>
    </w:p>
    <w:p>
      <w:pPr>
        <w:spacing w:after="0" w:line="22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noted above, the 2024 Notes were issued as registered securities in book-entry form only. A global security represents one or any other number of individual debt securities. Generally, all debt securities represented by the same global securities will have the same terms.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DTC will be the depositary for all debt securities issued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7" w:name="page98"/>
    <w:bookmarkEnd w:id="97"/>
    <w:p>
      <w:pPr>
        <w:jc w:val="both"/>
        <w:spacing w:after="0" w:line="246" w:lineRule="auto"/>
        <w:rPr>
          <w:sz w:val="20"/>
          <w:szCs w:val="20"/>
          <w:color w:val="auto"/>
        </w:rPr>
      </w:pPr>
      <w:r>
        <w:rPr>
          <w:rFonts w:ascii="Arial" w:cs="Arial" w:eastAsia="Arial" w:hAnsi="Arial"/>
          <w:sz w:val="21"/>
          <w:szCs w:val="21"/>
          <w:color w:val="auto"/>
        </w:rPr>
        <w:t>A global security may not be transferred to or registered in the name of anyone other than the depositary or its nominee, unless special termination situations arise. We describe those situations below under “Special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Special Considerations for Global Securities</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If debt securities are issued only in the form of a global security, an investor should be aware of the following:</w:t>
      </w:r>
    </w:p>
    <w:p>
      <w:pPr>
        <w:spacing w:after="0" w:line="233" w:lineRule="exact"/>
        <w:rPr>
          <w:sz w:val="20"/>
          <w:szCs w:val="20"/>
          <w:color w:val="auto"/>
        </w:rPr>
      </w:pPr>
    </w:p>
    <w:p>
      <w:pPr>
        <w:ind w:left="880" w:right="20" w:hanging="319"/>
        <w:spacing w:after="0" w:line="250" w:lineRule="auto"/>
        <w:tabs>
          <w:tab w:leader="none" w:pos="8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 investor cannot cause the debt securities to be registered in his or her name and cannot obtain certificates for his or her interest in the debt securities, except in the special situations we describe below;</w:t>
      </w:r>
    </w:p>
    <w:p>
      <w:pPr>
        <w:spacing w:after="0" w:line="201" w:lineRule="exact"/>
        <w:rPr>
          <w:rFonts w:ascii="Arial" w:cs="Arial" w:eastAsia="Arial" w:hAnsi="Arial"/>
          <w:sz w:val="22"/>
          <w:szCs w:val="22"/>
          <w:color w:val="auto"/>
        </w:rPr>
      </w:pPr>
    </w:p>
    <w:p>
      <w:pPr>
        <w:jc w:val="both"/>
        <w:ind w:left="880" w:hanging="319"/>
        <w:spacing w:after="0"/>
        <w:tabs>
          <w:tab w:leader="none" w:pos="8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 investor will be an indirect holder and must look to his or her own bank or broker for payments on the debt securities and protection of his or her legal rights relating to the debt securities, as we describe under “Issuance of Securities in Registered Form” above;</w:t>
      </w:r>
    </w:p>
    <w:p>
      <w:pPr>
        <w:spacing w:after="0" w:line="213" w:lineRule="exact"/>
        <w:rPr>
          <w:rFonts w:ascii="Arial" w:cs="Arial" w:eastAsia="Arial" w:hAnsi="Arial"/>
          <w:sz w:val="22"/>
          <w:szCs w:val="22"/>
          <w:color w:val="auto"/>
        </w:rPr>
      </w:pPr>
    </w:p>
    <w:p>
      <w:pPr>
        <w:ind w:left="880" w:hanging="319"/>
        <w:spacing w:after="0" w:line="250" w:lineRule="auto"/>
        <w:tabs>
          <w:tab w:leader="none" w:pos="8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 investor may not be able to sell interests in the debt securities to some insurance companies and other institutions that are required by law to own their securities in non-book-entry form;</w:t>
      </w:r>
    </w:p>
    <w:p>
      <w:pPr>
        <w:spacing w:after="0" w:line="201" w:lineRule="exact"/>
        <w:rPr>
          <w:rFonts w:ascii="Arial" w:cs="Arial" w:eastAsia="Arial" w:hAnsi="Arial"/>
          <w:sz w:val="22"/>
          <w:szCs w:val="22"/>
          <w:color w:val="auto"/>
        </w:rPr>
      </w:pPr>
    </w:p>
    <w:p>
      <w:pPr>
        <w:jc w:val="both"/>
        <w:ind w:left="880" w:hanging="319"/>
        <w:spacing w:after="0"/>
        <w:tabs>
          <w:tab w:leader="none" w:pos="8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213" w:lineRule="exact"/>
        <w:rPr>
          <w:rFonts w:ascii="Arial" w:cs="Arial" w:eastAsia="Arial" w:hAnsi="Arial"/>
          <w:sz w:val="22"/>
          <w:szCs w:val="22"/>
          <w:color w:val="auto"/>
        </w:rPr>
      </w:pPr>
    </w:p>
    <w:p>
      <w:pPr>
        <w:jc w:val="both"/>
        <w:ind w:left="880" w:hanging="319"/>
        <w:spacing w:after="0" w:line="238" w:lineRule="auto"/>
        <w:tabs>
          <w:tab w:leader="none" w:pos="8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11" w:lineRule="exact"/>
        <w:rPr>
          <w:rFonts w:ascii="Arial" w:cs="Arial" w:eastAsia="Arial" w:hAnsi="Arial"/>
          <w:sz w:val="22"/>
          <w:szCs w:val="22"/>
          <w:color w:val="auto"/>
        </w:rPr>
      </w:pPr>
    </w:p>
    <w:p>
      <w:pPr>
        <w:ind w:left="880" w:hanging="319"/>
        <w:spacing w:after="0" w:line="250" w:lineRule="auto"/>
        <w:tabs>
          <w:tab w:leader="none" w:pos="8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if we redeem less than all the debt securities of a particular series being redeemed, DTC’s practice is to determine by lot the amount to be redeemed from each of its participants holding that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8" w:name="page99"/>
    <w:bookmarkEnd w:id="98"/>
    <w:p>
      <w:pPr>
        <w:jc w:val="both"/>
        <w:ind w:left="880" w:hanging="319"/>
        <w:spacing w:after="0"/>
        <w:tabs>
          <w:tab w:leader="none" w:pos="8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213" w:lineRule="exact"/>
        <w:rPr>
          <w:rFonts w:ascii="Arial" w:cs="Arial" w:eastAsia="Arial" w:hAnsi="Arial"/>
          <w:sz w:val="22"/>
          <w:szCs w:val="22"/>
          <w:color w:val="auto"/>
        </w:rPr>
      </w:pPr>
    </w:p>
    <w:p>
      <w:pPr>
        <w:jc w:val="both"/>
        <w:ind w:left="880" w:hanging="319"/>
        <w:spacing w:after="0"/>
        <w:tabs>
          <w:tab w:leader="none" w:pos="8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213" w:lineRule="exact"/>
        <w:rPr>
          <w:rFonts w:ascii="Arial" w:cs="Arial" w:eastAsia="Arial" w:hAnsi="Arial"/>
          <w:sz w:val="22"/>
          <w:szCs w:val="22"/>
          <w:color w:val="auto"/>
        </w:rPr>
      </w:pPr>
    </w:p>
    <w:p>
      <w:pPr>
        <w:jc w:val="both"/>
        <w:ind w:left="880" w:hanging="319"/>
        <w:spacing w:after="0" w:line="252" w:lineRule="auto"/>
        <w:tabs>
          <w:tab w:leader="none" w:pos="88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Special Situations when a Global Security Will Be Terminated</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“Issuance of Securities in Registered Form” above.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The special situations for termination of a global security are as follows:</w:t>
      </w:r>
    </w:p>
    <w:p>
      <w:pPr>
        <w:spacing w:after="0" w:line="233" w:lineRule="exact"/>
        <w:rPr>
          <w:sz w:val="20"/>
          <w:szCs w:val="20"/>
          <w:color w:val="auto"/>
        </w:rPr>
      </w:pPr>
    </w:p>
    <w:p>
      <w:pPr>
        <w:ind w:left="880" w:hanging="319"/>
        <w:spacing w:after="0" w:line="250" w:lineRule="auto"/>
        <w:tabs>
          <w:tab w:leader="none" w:pos="8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the depositary notifies us that it is unwilling, unable or no longer qualified to continue as depositary for that global security, and we are unable to appoint another institution to act as depositary;</w:t>
      </w:r>
    </w:p>
    <w:p>
      <w:pPr>
        <w:spacing w:after="0" w:line="201" w:lineRule="exact"/>
        <w:rPr>
          <w:rFonts w:ascii="Arial" w:cs="Arial" w:eastAsia="Arial" w:hAnsi="Arial"/>
          <w:sz w:val="22"/>
          <w:szCs w:val="22"/>
          <w:color w:val="auto"/>
        </w:rPr>
      </w:pPr>
    </w:p>
    <w:p>
      <w:pPr>
        <w:ind w:left="880" w:hanging="319"/>
        <w:spacing w:after="0"/>
        <w:tabs>
          <w:tab w:leader="none" w:pos="8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we notify the Trustee that we wish to terminate that global security; or</w:t>
      </w:r>
    </w:p>
    <w:p>
      <w:pPr>
        <w:spacing w:after="0" w:line="233" w:lineRule="exact"/>
        <w:rPr>
          <w:rFonts w:ascii="Arial" w:cs="Arial" w:eastAsia="Arial" w:hAnsi="Arial"/>
          <w:sz w:val="22"/>
          <w:szCs w:val="22"/>
          <w:color w:val="auto"/>
        </w:rPr>
      </w:pPr>
    </w:p>
    <w:p>
      <w:pPr>
        <w:ind w:left="880" w:right="20" w:hanging="319"/>
        <w:spacing w:after="0" w:line="250" w:lineRule="auto"/>
        <w:tabs>
          <w:tab w:leader="none" w:pos="8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an event of default has occurred with regard to the debt securities represented by that global security and has not been cured or waived; we discuss defaults later under “Events of Default.”</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b w:val="1"/>
          <w:bCs w:val="1"/>
          <w:color w:val="auto"/>
        </w:rPr>
        <w:t>Payment and Paying Agents</w:t>
      </w: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Payments on Global Securities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“Global Securities.”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Payment When Offices Are Closed</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any payment is due on the 2024 Notes on a day that is not a business day, we will make the payment on the next day that is a business day. Payments made on the next business day in this situation will be treated under the Indenture as if they were made on the original due date, except as otherwise indicated in this description. Such payment will not result in a default under the 2024 Note or the Indenture, and no interest will accrue on the payment amount from the original due date to the next day that is a business day.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You will have rights if an Event of Default occurs in respect of the 2024 Notes and is not cured, as described later in this subsection.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term “Event of Default” in respect of our debt securities means any of the following:</w:t>
      </w:r>
    </w:p>
    <w:p>
      <w:pPr>
        <w:spacing w:after="0" w:line="233" w:lineRule="exact"/>
        <w:rPr>
          <w:sz w:val="20"/>
          <w:szCs w:val="20"/>
          <w:color w:val="auto"/>
        </w:rPr>
      </w:pPr>
    </w:p>
    <w:p>
      <w:pPr>
        <w:ind w:left="880" w:hanging="319"/>
        <w:spacing w:after="0"/>
        <w:tabs>
          <w:tab w:leader="none" w:pos="8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we do not pay the principal of, or any premium on, any 2024 Notes when due and payable;</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we do not pay interest on any 2024 Notes when due and such default is not cured within 30 days;</w:t>
      </w:r>
    </w:p>
    <w:p>
      <w:pPr>
        <w:spacing w:after="0" w:line="219" w:lineRule="exact"/>
        <w:rPr>
          <w:rFonts w:ascii="Arial" w:cs="Arial" w:eastAsia="Arial" w:hAnsi="Arial"/>
          <w:sz w:val="22"/>
          <w:szCs w:val="22"/>
          <w:color w:val="auto"/>
        </w:rPr>
      </w:pPr>
    </w:p>
    <w:p>
      <w:pPr>
        <w:jc w:val="both"/>
        <w:ind w:left="880" w:hanging="319"/>
        <w:spacing w:after="0"/>
        <w:tabs>
          <w:tab w:leader="none" w:pos="8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we remain in breach of any other covenant with respect to the 2024 Notes for 60 days after we receive a written notice of default stating we are in breach. The notice must be sent by either the Trustee or holders of at least 25% of the principal amount of the 2024 Notes;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0" w:name="page101"/>
    <w:bookmarkEnd w:id="100"/>
    <w:p>
      <w:pPr>
        <w:jc w:val="both"/>
        <w:ind w:left="880" w:hanging="319"/>
        <w:spacing w:after="0"/>
        <w:tabs>
          <w:tab w:leader="none" w:pos="8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we file for bankruptcy or certain other events of bankruptcy, insolvency or reorganization occur and in the case of certain orders or decrees entered against us under any bankruptcy law, such order or decree remains unstayed for a period of 123 days.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Remedies if an Event of Default Occurs</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If an Event of Default has occurred and has not been cured or waived, the Trustee or the holders of not less than 25% in principal amount of the 2024 Notes may declare the entire principal amount of all the 2024Notes to be due and immediately payable. This is called a declaration of acceleration of maturity. A declaration of acceleration of maturity may be canceled by the holders of a majority in principal amount of the 2024 Notes if the default is cured or waived and certain other conditions are satisfied.</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Before you are allowed to bypass the Trustee and bring your own lawsuit or other formal legal action or take other steps to enforce your rights or protect your interests relating to the debt securities, the following must occur:</w:t>
      </w:r>
    </w:p>
    <w:p>
      <w:pPr>
        <w:spacing w:after="0" w:line="202" w:lineRule="exact"/>
        <w:rPr>
          <w:sz w:val="20"/>
          <w:szCs w:val="20"/>
          <w:color w:val="auto"/>
        </w:rPr>
      </w:pPr>
    </w:p>
    <w:p>
      <w:pPr>
        <w:ind w:left="880" w:hanging="319"/>
        <w:spacing w:after="0"/>
        <w:tabs>
          <w:tab w:leader="none" w:pos="8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you must give the Trustee written notice that an Event of Default has occurred and remains uncured;</w:t>
      </w:r>
    </w:p>
    <w:p>
      <w:pPr>
        <w:spacing w:after="0" w:line="233" w:lineRule="exact"/>
        <w:rPr>
          <w:rFonts w:ascii="Arial" w:cs="Arial" w:eastAsia="Arial" w:hAnsi="Arial"/>
          <w:sz w:val="22"/>
          <w:szCs w:val="22"/>
          <w:color w:val="auto"/>
        </w:rPr>
      </w:pPr>
    </w:p>
    <w:p>
      <w:pPr>
        <w:jc w:val="both"/>
        <w:ind w:left="880" w:hanging="319"/>
        <w:spacing w:after="0"/>
        <w:tabs>
          <w:tab w:leader="none" w:pos="8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213" w:lineRule="exact"/>
        <w:rPr>
          <w:rFonts w:ascii="Arial" w:cs="Arial" w:eastAsia="Arial" w:hAnsi="Arial"/>
          <w:sz w:val="22"/>
          <w:szCs w:val="22"/>
          <w:color w:val="auto"/>
        </w:rPr>
      </w:pPr>
    </w:p>
    <w:p>
      <w:pPr>
        <w:ind w:left="880" w:hanging="319"/>
        <w:spacing w:after="0"/>
        <w:tabs>
          <w:tab w:leader="none" w:pos="8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Trustee must not have taken action for 60 days after receipt of the above notice and offer of indemnity; and</w:t>
      </w:r>
    </w:p>
    <w:p>
      <w:pPr>
        <w:spacing w:after="0" w:line="244" w:lineRule="exact"/>
        <w:rPr>
          <w:rFonts w:ascii="Arial" w:cs="Arial" w:eastAsia="Arial" w:hAnsi="Arial"/>
          <w:sz w:val="21"/>
          <w:szCs w:val="21"/>
          <w:color w:val="auto"/>
        </w:rPr>
      </w:pPr>
    </w:p>
    <w:p>
      <w:pPr>
        <w:ind w:left="880" w:hanging="319"/>
        <w:spacing w:after="0" w:line="250" w:lineRule="auto"/>
        <w:tabs>
          <w:tab w:leader="none" w:pos="8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holders of a majority in principal amount of the debt securities must not have given the Trustee a direction inconsistent with the above notice during that 60-day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1" w:name="page102"/>
    <w:bookmarkEnd w:id="101"/>
    <w:p>
      <w:pPr>
        <w:jc w:val="both"/>
        <w:spacing w:after="0" w:line="250" w:lineRule="auto"/>
        <w:rPr>
          <w:sz w:val="20"/>
          <w:szCs w:val="20"/>
          <w:color w:val="auto"/>
        </w:rPr>
      </w:pPr>
      <w:r>
        <w:rPr>
          <w:rFonts w:ascii="Arial" w:cs="Arial" w:eastAsia="Arial" w:hAnsi="Arial"/>
          <w:sz w:val="22"/>
          <w:szCs w:val="22"/>
          <w:color w:val="auto"/>
        </w:rPr>
        <w:t>However, you are entitled at any time to bring a lawsuit for the payment of money due on your debt securities on or after the due date.</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year, we will furnish to the Trustee a written statement of certain of our officers certifying that to their knowledge we are in compliance with the Indenture and the 2024 Notes, or else specifying any default.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Waiver of Default</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holders of a majority in principal amount of the 2024 Notes may waive a default for all the 2024 Notes. If this happens, the default will be treated as if it had not occurred. No one can waive a payment default on a holder’s debt security, however, without the holder’s approval.</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Merger or Consolidation</w:t>
      </w:r>
    </w:p>
    <w:p>
      <w:pPr>
        <w:spacing w:after="0" w:line="226"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13" w:lineRule="exact"/>
        <w:rPr>
          <w:sz w:val="20"/>
          <w:szCs w:val="20"/>
          <w:color w:val="auto"/>
        </w:rPr>
      </w:pPr>
    </w:p>
    <w:p>
      <w:pPr>
        <w:ind w:left="880" w:hanging="319"/>
        <w:spacing w:after="0" w:line="250" w:lineRule="auto"/>
        <w:tabs>
          <w:tab w:leader="none" w:pos="8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where we merge out of existence or sell our assets, the resulting entity must agree to be legally responsible for our obligations under the debt securities;</w:t>
      </w:r>
    </w:p>
    <w:p>
      <w:pPr>
        <w:spacing w:after="0" w:line="201" w:lineRule="exact"/>
        <w:rPr>
          <w:rFonts w:ascii="Arial" w:cs="Arial" w:eastAsia="Arial" w:hAnsi="Arial"/>
          <w:sz w:val="22"/>
          <w:szCs w:val="22"/>
          <w:color w:val="auto"/>
        </w:rPr>
      </w:pPr>
    </w:p>
    <w:p>
      <w:pPr>
        <w:ind w:left="880" w:hanging="319"/>
        <w:spacing w:after="0"/>
        <w:tabs>
          <w:tab w:leader="none" w:pos="8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alternatively, we must be the surviving company;</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immediately after the transaction no event of default will exist;</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we must deliver certain certificates and documents to the Trustee; and</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we must satisfy any other requirements specified in the prospectus supplement relating to any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or Waiver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three types of changes we can make to the Indenture and the debt securities issued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i w:val="1"/>
          <w:iCs w:val="1"/>
          <w:color w:val="auto"/>
        </w:rPr>
        <w:t>Changes Requiring Your Approval</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First, there are changes that we cannot make to your debt securities without your specific approval. The following is a list of those types of changes:</w:t>
      </w:r>
    </w:p>
    <w:p>
      <w:pPr>
        <w:spacing w:after="0" w:line="202" w:lineRule="exact"/>
        <w:rPr>
          <w:sz w:val="20"/>
          <w:szCs w:val="20"/>
          <w:color w:val="auto"/>
        </w:rPr>
      </w:pPr>
    </w:p>
    <w:p>
      <w:pPr>
        <w:ind w:left="880" w:hanging="319"/>
        <w:spacing w:after="0"/>
        <w:tabs>
          <w:tab w:leader="none" w:pos="8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change the stated maturity of the principal of or interest on a debt security;</w:t>
      </w:r>
    </w:p>
    <w:p>
      <w:pPr>
        <w:spacing w:after="0" w:line="219" w:lineRule="exact"/>
        <w:rPr>
          <w:rFonts w:ascii="Arial" w:cs="Arial" w:eastAsia="Arial" w:hAnsi="Arial"/>
          <w:sz w:val="22"/>
          <w:szCs w:val="22"/>
          <w:color w:val="auto"/>
        </w:rPr>
      </w:pPr>
    </w:p>
    <w:p>
      <w:pPr>
        <w:ind w:left="880" w:hanging="319"/>
        <w:spacing w:after="0"/>
        <w:tabs>
          <w:tab w:leader="none" w:pos="8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reduce any amounts due on a debt security;</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reduce the amount of principal payable upon acceleration of the maturity of a security following a default;</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adversely affect any right of repayment at the holder’s option;</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change the place or currency of payment on a debt security (except as otherwise described in this description);</w:t>
      </w:r>
    </w:p>
    <w:p>
      <w:pPr>
        <w:spacing w:after="0" w:line="244" w:lineRule="exact"/>
        <w:rPr>
          <w:rFonts w:ascii="Arial" w:cs="Arial" w:eastAsia="Arial" w:hAnsi="Arial"/>
          <w:sz w:val="21"/>
          <w:szCs w:val="21"/>
          <w:color w:val="auto"/>
        </w:rPr>
      </w:pPr>
    </w:p>
    <w:p>
      <w:pPr>
        <w:ind w:left="880" w:hanging="319"/>
        <w:spacing w:after="0"/>
        <w:tabs>
          <w:tab w:leader="none" w:pos="8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impair your right to sue for payment;</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adversely affect any right to convert or exchange a debt security in accordance with its terms;</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reduce the percentage of holders of debt securities whose consent is needed to modify or amend the Indenture;</w:t>
      </w:r>
    </w:p>
    <w:p>
      <w:pPr>
        <w:spacing w:after="0" w:line="267" w:lineRule="exact"/>
        <w:rPr>
          <w:rFonts w:ascii="Arial" w:cs="Arial" w:eastAsia="Arial" w:hAnsi="Arial"/>
          <w:sz w:val="19"/>
          <w:szCs w:val="19"/>
          <w:color w:val="auto"/>
        </w:rPr>
      </w:pPr>
    </w:p>
    <w:p>
      <w:pPr>
        <w:ind w:left="880" w:hanging="319"/>
        <w:spacing w:after="0" w:line="250" w:lineRule="auto"/>
        <w:tabs>
          <w:tab w:leader="none" w:pos="8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reduce the percentage of holders of debt securities whose consent is needed to waive compliance with certain provisions of the Indenture or to waive certain defaults;</w:t>
      </w:r>
    </w:p>
    <w:p>
      <w:pPr>
        <w:spacing w:after="0" w:line="201" w:lineRule="exact"/>
        <w:rPr>
          <w:rFonts w:ascii="Arial" w:cs="Arial" w:eastAsia="Arial" w:hAnsi="Arial"/>
          <w:sz w:val="22"/>
          <w:szCs w:val="22"/>
          <w:color w:val="auto"/>
        </w:rPr>
      </w:pPr>
    </w:p>
    <w:p>
      <w:pPr>
        <w:ind w:left="880" w:hanging="319"/>
        <w:spacing w:after="0" w:line="328" w:lineRule="auto"/>
        <w:tabs>
          <w:tab w:leader="none" w:pos="8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131" w:lineRule="exact"/>
        <w:rPr>
          <w:rFonts w:ascii="Arial" w:cs="Arial" w:eastAsia="Arial" w:hAnsi="Arial"/>
          <w:sz w:val="19"/>
          <w:szCs w:val="19"/>
          <w:color w:val="auto"/>
        </w:rPr>
      </w:pPr>
    </w:p>
    <w:p>
      <w:pPr>
        <w:ind w:left="880" w:hanging="319"/>
        <w:spacing w:after="0"/>
        <w:tabs>
          <w:tab w:leader="none" w:pos="8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change any obligation we have to pay additional amounts.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Changes Not Requiring Approval</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i w:val="1"/>
          <w:iCs w:val="1"/>
          <w:color w:val="auto"/>
        </w:rPr>
        <w:t>Changes Requiring Majority Approval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Any other change to the Indenture and the debt securities would require the following approval:</w:t>
      </w:r>
    </w:p>
    <w:p>
      <w:pPr>
        <w:spacing w:after="0" w:line="233" w:lineRule="exact"/>
        <w:rPr>
          <w:sz w:val="20"/>
          <w:szCs w:val="20"/>
          <w:color w:val="auto"/>
        </w:rPr>
      </w:pPr>
    </w:p>
    <w:p>
      <w:pPr>
        <w:ind w:left="880" w:hanging="319"/>
        <w:spacing w:after="0" w:line="250" w:lineRule="auto"/>
        <w:tabs>
          <w:tab w:leader="none" w:pos="8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the change affects only one series of debt securities, it must be approved by the holders of a majority in principal amount of that series; and</w:t>
      </w:r>
    </w:p>
    <w:p>
      <w:pPr>
        <w:spacing w:after="0" w:line="201" w:lineRule="exact"/>
        <w:rPr>
          <w:rFonts w:ascii="Arial" w:cs="Arial" w:eastAsia="Arial" w:hAnsi="Arial"/>
          <w:sz w:val="22"/>
          <w:szCs w:val="22"/>
          <w:color w:val="auto"/>
        </w:rPr>
      </w:pPr>
    </w:p>
    <w:p>
      <w:pPr>
        <w:jc w:val="both"/>
        <w:ind w:left="880" w:hanging="319"/>
        <w:spacing w:after="0"/>
        <w:tabs>
          <w:tab w:leader="none" w:pos="8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In each case, the required approval must be given by written consent.</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Further Details Concerning Voting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When taking a vote, we will use the following rules to decide how much principal to attribute to a debt security:</w:t>
      </w:r>
    </w:p>
    <w:p>
      <w:pPr>
        <w:spacing w:after="0" w:line="233" w:lineRule="exact"/>
        <w:rPr>
          <w:sz w:val="20"/>
          <w:szCs w:val="20"/>
          <w:color w:val="auto"/>
        </w:rPr>
      </w:pPr>
    </w:p>
    <w:p>
      <w:pPr>
        <w:ind w:left="880" w:hanging="319"/>
        <w:spacing w:after="0" w:line="250" w:lineRule="auto"/>
        <w:tabs>
          <w:tab w:leader="none" w:pos="8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for OID securities, we will use the principal amount that would be due and payable on the voting date if the maturity of these debt securities were accelerated to that date because of a default;</w:t>
      </w:r>
    </w:p>
    <w:p>
      <w:pPr>
        <w:spacing w:after="0" w:line="201" w:lineRule="exact"/>
        <w:rPr>
          <w:rFonts w:ascii="Arial" w:cs="Arial" w:eastAsia="Arial" w:hAnsi="Arial"/>
          <w:sz w:val="22"/>
          <w:szCs w:val="22"/>
          <w:color w:val="auto"/>
        </w:rPr>
      </w:pPr>
    </w:p>
    <w:p>
      <w:pPr>
        <w:ind w:left="880" w:hanging="319"/>
        <w:spacing w:after="0" w:line="250" w:lineRule="auto"/>
        <w:tabs>
          <w:tab w:leader="none" w:pos="8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for debt securities whose principal amount is not known (for example, because it is based on an index), we will use a special rule for that debt security described in this description; and</w:t>
      </w:r>
    </w:p>
    <w:p>
      <w:pPr>
        <w:spacing w:after="0" w:line="201" w:lineRule="exact"/>
        <w:rPr>
          <w:rFonts w:ascii="Arial" w:cs="Arial" w:eastAsia="Arial" w:hAnsi="Arial"/>
          <w:sz w:val="22"/>
          <w:szCs w:val="22"/>
          <w:color w:val="auto"/>
        </w:rPr>
      </w:pPr>
    </w:p>
    <w:p>
      <w:pPr>
        <w:ind w:left="880" w:hanging="319"/>
        <w:spacing w:after="0"/>
        <w:tabs>
          <w:tab w:leader="none" w:pos="8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for debt securities denominated in one or more foreign currencies, we will use the U.S. dollar equivalent.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Defeasance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provisions will be applicable to the 2024 Notes.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Covenant Defeasance</w:t>
      </w:r>
    </w:p>
    <w:p>
      <w:pPr>
        <w:spacing w:after="0" w:line="22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215" w:lineRule="exact"/>
        <w:rPr>
          <w:sz w:val="20"/>
          <w:szCs w:val="20"/>
          <w:color w:val="auto"/>
        </w:rPr>
      </w:pPr>
    </w:p>
    <w:p>
      <w:pPr>
        <w:jc w:val="both"/>
        <w:ind w:left="880" w:hanging="319"/>
        <w:spacing w:after="0" w:line="238" w:lineRule="auto"/>
        <w:tabs>
          <w:tab w:leader="none" w:pos="8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211" w:lineRule="exact"/>
        <w:rPr>
          <w:rFonts w:ascii="Arial" w:cs="Arial" w:eastAsia="Arial" w:hAnsi="Arial"/>
          <w:sz w:val="22"/>
          <w:szCs w:val="22"/>
          <w:color w:val="auto"/>
        </w:rPr>
      </w:pPr>
    </w:p>
    <w:p>
      <w:pPr>
        <w:jc w:val="both"/>
        <w:ind w:left="880" w:hanging="319"/>
        <w:spacing w:after="0" w:line="257" w:lineRule="auto"/>
        <w:tabs>
          <w:tab w:leader="none" w:pos="88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Full Defeasance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213" w:lineRule="exact"/>
        <w:rPr>
          <w:sz w:val="20"/>
          <w:szCs w:val="20"/>
          <w:color w:val="auto"/>
        </w:rPr>
      </w:pPr>
    </w:p>
    <w:p>
      <w:pPr>
        <w:jc w:val="both"/>
        <w:ind w:left="880" w:hanging="319"/>
        <w:spacing w:after="0" w:line="238" w:lineRule="auto"/>
        <w:tabs>
          <w:tab w:leader="none" w:pos="8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5" w:name="page106"/>
    <w:bookmarkEnd w:id="105"/>
    <w:p>
      <w:pPr>
        <w:jc w:val="both"/>
        <w:ind w:left="880" w:hanging="319"/>
        <w:spacing w:after="0" w:line="246" w:lineRule="auto"/>
        <w:tabs>
          <w:tab w:leader="none" w:pos="88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11" w:lineRule="exact"/>
        <w:rPr>
          <w:rFonts w:ascii="Arial" w:cs="Arial" w:eastAsia="Arial" w:hAnsi="Arial"/>
          <w:sz w:val="21"/>
          <w:szCs w:val="21"/>
          <w:color w:val="auto"/>
        </w:rPr>
      </w:pPr>
    </w:p>
    <w:p>
      <w:pPr>
        <w:jc w:val="both"/>
        <w:ind w:left="880" w:hanging="319"/>
        <w:spacing w:after="0"/>
        <w:tabs>
          <w:tab w:leader="none" w:pos="8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 Subordination.”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Exchange and Transfer of Certificated Registered Securities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2024 Notes are represented by global securities that were deposited and registered in the name of DTC or its nominee. Beneficial interests in the 2024 Notes are represented through book-entry accounts of financial institutions acting on behalf of beneficial owners as direct and indirect participants in DTC. Investors may elect to hold interests in the 2024 Notes through either DTC, if they are a participant, or indirectly through organizations that are participants in DTC.</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Resignation of Trustee</w:t>
      </w:r>
    </w:p>
    <w:p>
      <w:pPr>
        <w:spacing w:after="0" w:line="22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Indenture Provisions—Subordination</w:t>
      </w:r>
    </w:p>
    <w:p>
      <w:pPr>
        <w:spacing w:after="0" w:line="22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6" w:name="page107"/>
    <w:bookmarkEnd w:id="106"/>
    <w:p>
      <w:pPr>
        <w:jc w:val="both"/>
        <w:spacing w:after="0" w:line="246" w:lineRule="auto"/>
        <w:rPr>
          <w:sz w:val="20"/>
          <w:szCs w:val="20"/>
          <w:color w:val="auto"/>
        </w:rPr>
      </w:pPr>
      <w:r>
        <w:rPr>
          <w:rFonts w:ascii="Arial" w:cs="Arial" w:eastAsia="Arial" w:hAnsi="Arial"/>
          <w:sz w:val="21"/>
          <w:szCs w:val="21"/>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Senior indebtedness is defined in the Indenture as the principal of (and premium, if any) and unpaid interest on:</w:t>
      </w:r>
    </w:p>
    <w:p>
      <w:pPr>
        <w:spacing w:after="0" w:line="233" w:lineRule="exact"/>
        <w:rPr>
          <w:sz w:val="20"/>
          <w:szCs w:val="20"/>
          <w:color w:val="auto"/>
        </w:rPr>
      </w:pPr>
    </w:p>
    <w:p>
      <w:pPr>
        <w:jc w:val="both"/>
        <w:ind w:left="880" w:hanging="319"/>
        <w:spacing w:after="0" w:line="236" w:lineRule="auto"/>
        <w:tabs>
          <w:tab w:leader="none" w:pos="8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214" w:lineRule="exact"/>
        <w:rPr>
          <w:rFonts w:ascii="Arial" w:cs="Arial" w:eastAsia="Arial" w:hAnsi="Arial"/>
          <w:sz w:val="22"/>
          <w:szCs w:val="22"/>
          <w:color w:val="auto"/>
        </w:rPr>
      </w:pPr>
    </w:p>
    <w:p>
      <w:pPr>
        <w:ind w:left="880" w:hanging="319"/>
        <w:spacing w:after="0"/>
        <w:tabs>
          <w:tab w:leader="none" w:pos="8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renewals, extensions, modifications and refinancings of any of this indebtedness.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Trustee under the Indenture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American Stock Transfer &amp; Trust Company, LLC is the trustee under the Indenture.</w:t>
      </w:r>
    </w:p>
    <w:p>
      <w:pPr>
        <w:sectPr>
          <w:pgSz w:w="11900" w:h="16838" w:orient="portrait"/>
          <w:cols w:equalWidth="0" w:num="1">
            <w:col w:w="11240"/>
          </w:cols>
          <w:pgMar w:left="320" w:top="577" w:right="339" w:bottom="1440" w:gutter="0" w:footer="0" w:header="0"/>
        </w:sectPr>
      </w:pPr>
    </w:p>
    <w:bookmarkStart w:id="107" w:name="page108"/>
    <w:bookmarkEnd w:id="107"/>
    <w:p>
      <w:pPr>
        <w:ind w:left="906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49465" cy="7295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49465" cy="7295515"/>
                    </a:xfrm>
                    <a:prstGeom prst="rect">
                      <a:avLst/>
                    </a:prstGeom>
                    <a:noFill/>
                  </pic:spPr>
                </pic:pic>
              </a:graphicData>
            </a:graphic>
          </wp:anchor>
        </w:drawing>
      </w:r>
    </w:p>
    <w:p>
      <w:pPr>
        <w:sectPr>
          <w:pgSz w:w="11900" w:h="16838" w:orient="portrait"/>
          <w:cols w:equalWidth="0" w:num="1">
            <w:col w:w="10120"/>
          </w:cols>
          <w:pgMar w:left="1440" w:top="120" w:right="339" w:bottom="1440" w:gutter="0" w:footer="0" w:header="0"/>
        </w:sectPr>
      </w:pPr>
    </w:p>
    <w:bookmarkStart w:id="108" w:name="page109"/>
    <w:bookmarkEnd w:id="108"/>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RAM ENERGY HOLDINGS LLC</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39370</wp:posOffset>
            </wp:positionV>
            <wp:extent cx="71323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of and for the Year Ended</w:t>
      </w:r>
    </w:p>
    <w:p>
      <w:pPr>
        <w:jc w:val="center"/>
        <w:ind w:right="19"/>
        <w:spacing w:after="0"/>
        <w:rPr>
          <w:sz w:val="20"/>
          <w:szCs w:val="20"/>
          <w:color w:val="auto"/>
        </w:rPr>
      </w:pPr>
      <w:r>
        <w:rPr>
          <w:rFonts w:ascii="Arial" w:cs="Arial" w:eastAsia="Arial" w:hAnsi="Arial"/>
          <w:sz w:val="22"/>
          <w:szCs w:val="22"/>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4052570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800" w:type="dxa"/>
            <w:vAlign w:val="bottom"/>
          </w:tcPr>
          <w:p>
            <w:pPr>
              <w:spacing w:after="0"/>
              <w:rPr>
                <w:sz w:val="21"/>
                <w:szCs w:val="21"/>
                <w:color w:val="auto"/>
              </w:rPr>
            </w:pPr>
          </w:p>
        </w:tc>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9"/>
                <w:szCs w:val="19"/>
                <w:b w:val="1"/>
                <w:bCs w:val="1"/>
                <w:color w:val="auto"/>
              </w:rPr>
              <w:t>Independent Auditor’s Report</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9"/>
                <w:szCs w:val="19"/>
                <w:b w:val="1"/>
                <w:bCs w:val="1"/>
                <w:color w:val="auto"/>
              </w:rPr>
              <w:t>Consolidated Financial Statements</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800" w:type="dxa"/>
            <w:vAlign w:val="bottom"/>
            <w:vMerge w:val="restart"/>
          </w:tcPr>
          <w:p>
            <w:pPr>
              <w:ind w:left="220"/>
              <w:spacing w:after="0"/>
              <w:rPr>
                <w:sz w:val="20"/>
                <w:szCs w:val="20"/>
                <w:color w:val="auto"/>
              </w:rPr>
            </w:pPr>
            <w:r>
              <w:rPr>
                <w:rFonts w:ascii="Arial" w:cs="Arial" w:eastAsia="Arial" w:hAnsi="Arial"/>
                <w:sz w:val="19"/>
                <w:szCs w:val="19"/>
                <w:color w:val="auto"/>
              </w:rPr>
              <w:t>Consolidated Balance Sheet as of September 30, 2019</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8"/>
        </w:trPr>
        <w:tc>
          <w:tcPr>
            <w:tcW w:w="780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7800" w:type="dxa"/>
            <w:vAlign w:val="bottom"/>
          </w:tcPr>
          <w:p>
            <w:pPr>
              <w:ind w:left="220"/>
              <w:spacing w:after="0"/>
              <w:rPr>
                <w:sz w:val="20"/>
                <w:szCs w:val="20"/>
                <w:color w:val="auto"/>
              </w:rPr>
            </w:pPr>
            <w:r>
              <w:rPr>
                <w:rFonts w:ascii="Arial" w:cs="Arial" w:eastAsia="Arial" w:hAnsi="Arial"/>
                <w:sz w:val="19"/>
                <w:szCs w:val="19"/>
                <w:color w:val="auto"/>
              </w:rPr>
              <w:t>Consolidated Statement of Operations</w:t>
            </w:r>
          </w:p>
        </w:tc>
        <w:tc>
          <w:tcPr>
            <w:tcW w:w="3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27"/>
        </w:trPr>
        <w:tc>
          <w:tcPr>
            <w:tcW w:w="7800" w:type="dxa"/>
            <w:vAlign w:val="bottom"/>
          </w:tcPr>
          <w:p>
            <w:pPr>
              <w:ind w:left="380"/>
              <w:spacing w:after="0"/>
              <w:rPr>
                <w:sz w:val="20"/>
                <w:szCs w:val="20"/>
                <w:color w:val="auto"/>
              </w:rPr>
            </w:pPr>
            <w:r>
              <w:rPr>
                <w:rFonts w:ascii="Arial" w:cs="Arial" w:eastAsia="Arial" w:hAnsi="Arial"/>
                <w:sz w:val="19"/>
                <w:szCs w:val="19"/>
                <w:color w:val="auto"/>
              </w:rPr>
              <w:t>for the Year Ended September 30, 2019</w:t>
            </w: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7800" w:type="dxa"/>
            <w:vAlign w:val="bottom"/>
          </w:tcPr>
          <w:p>
            <w:pPr>
              <w:ind w:left="220"/>
              <w:spacing w:after="0"/>
              <w:rPr>
                <w:sz w:val="20"/>
                <w:szCs w:val="20"/>
                <w:color w:val="auto"/>
              </w:rPr>
            </w:pPr>
            <w:r>
              <w:rPr>
                <w:rFonts w:ascii="Arial" w:cs="Arial" w:eastAsia="Arial" w:hAnsi="Arial"/>
                <w:sz w:val="19"/>
                <w:szCs w:val="19"/>
                <w:color w:val="auto"/>
              </w:rPr>
              <w:t>Consolidated Statement of Member’s Deficit</w:t>
            </w:r>
          </w:p>
        </w:tc>
        <w:tc>
          <w:tcPr>
            <w:tcW w:w="3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27"/>
        </w:trPr>
        <w:tc>
          <w:tcPr>
            <w:tcW w:w="7800" w:type="dxa"/>
            <w:vAlign w:val="bottom"/>
          </w:tcPr>
          <w:p>
            <w:pPr>
              <w:ind w:left="380"/>
              <w:spacing w:after="0"/>
              <w:rPr>
                <w:sz w:val="20"/>
                <w:szCs w:val="20"/>
                <w:color w:val="auto"/>
              </w:rPr>
            </w:pPr>
            <w:r>
              <w:rPr>
                <w:rFonts w:ascii="Arial" w:cs="Arial" w:eastAsia="Arial" w:hAnsi="Arial"/>
                <w:sz w:val="19"/>
                <w:szCs w:val="19"/>
                <w:color w:val="auto"/>
              </w:rPr>
              <w:t>for the Year Ended September 30, 2019</w:t>
            </w: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7800" w:type="dxa"/>
            <w:vAlign w:val="bottom"/>
          </w:tcPr>
          <w:p>
            <w:pPr>
              <w:ind w:left="220"/>
              <w:spacing w:after="0"/>
              <w:rPr>
                <w:sz w:val="20"/>
                <w:szCs w:val="20"/>
                <w:color w:val="auto"/>
              </w:rPr>
            </w:pPr>
            <w:r>
              <w:rPr>
                <w:rFonts w:ascii="Arial" w:cs="Arial" w:eastAsia="Arial" w:hAnsi="Arial"/>
                <w:sz w:val="19"/>
                <w:szCs w:val="19"/>
                <w:color w:val="auto"/>
              </w:rPr>
              <w:t>Consolidated Statement of Cash Flows</w:t>
            </w:r>
          </w:p>
        </w:tc>
        <w:tc>
          <w:tcPr>
            <w:tcW w:w="3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7"/>
        </w:trPr>
        <w:tc>
          <w:tcPr>
            <w:tcW w:w="7800" w:type="dxa"/>
            <w:vAlign w:val="bottom"/>
          </w:tcPr>
          <w:p>
            <w:pPr>
              <w:ind w:left="380"/>
              <w:spacing w:after="0"/>
              <w:rPr>
                <w:sz w:val="20"/>
                <w:szCs w:val="20"/>
                <w:color w:val="auto"/>
              </w:rPr>
            </w:pPr>
            <w:r>
              <w:rPr>
                <w:rFonts w:ascii="Arial" w:cs="Arial" w:eastAsia="Arial" w:hAnsi="Arial"/>
                <w:sz w:val="19"/>
                <w:szCs w:val="19"/>
                <w:color w:val="auto"/>
              </w:rPr>
              <w:t>for the Year Ended September 30, 2019</w:t>
            </w: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00" w:type="dxa"/>
            <w:vAlign w:val="bottom"/>
          </w:tcPr>
          <w:p>
            <w:pPr>
              <w:ind w:left="220"/>
              <w:spacing w:after="0"/>
              <w:rPr>
                <w:sz w:val="20"/>
                <w:szCs w:val="20"/>
                <w:color w:val="auto"/>
              </w:rPr>
            </w:pPr>
            <w:r>
              <w:rPr>
                <w:rFonts w:ascii="Arial" w:cs="Arial" w:eastAsia="Arial" w:hAnsi="Arial"/>
                <w:sz w:val="19"/>
                <w:szCs w:val="19"/>
                <w:color w:val="auto"/>
              </w:rPr>
              <w:t>Notes to Consolidated Financial Statements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0" w:name="page111"/>
    <w:bookmarkEnd w:id="110"/>
    <w:p>
      <w:pPr>
        <w:ind w:left="4060"/>
        <w:spacing w:after="0"/>
        <w:tabs>
          <w:tab w:leader="none" w:pos="4380" w:val="left"/>
        </w:tabs>
        <w:rPr>
          <w:sz w:val="20"/>
          <w:szCs w:val="20"/>
          <w:color w:val="auto"/>
        </w:rPr>
      </w:pPr>
      <w:r>
        <w:rPr>
          <w:rFonts w:ascii="Arial" w:cs="Arial" w:eastAsia="Arial" w:hAnsi="Arial"/>
          <w:sz w:val="14"/>
          <w:szCs w:val="14"/>
          <w:color w:val="685040"/>
        </w:rPr>
        <w:t>Tel:</w:t>
      </w:r>
      <w:r>
        <w:rPr>
          <w:sz w:val="20"/>
          <w:szCs w:val="20"/>
          <w:color w:val="auto"/>
        </w:rPr>
        <w:tab/>
      </w:r>
      <w:r>
        <w:rPr>
          <w:rFonts w:ascii="Arial" w:cs="Arial" w:eastAsia="Arial" w:hAnsi="Arial"/>
          <w:sz w:val="13"/>
          <w:szCs w:val="13"/>
          <w:color w:val="685040"/>
        </w:rPr>
        <w:t>713-960-1706</w:t>
      </w:r>
    </w:p>
    <w:p>
      <w:pPr>
        <w:spacing w:after="0" w:line="1" w:lineRule="exact"/>
        <w:rPr>
          <w:sz w:val="20"/>
          <w:szCs w:val="20"/>
          <w:color w:val="auto"/>
        </w:rPr>
      </w:pPr>
    </w:p>
    <w:p>
      <w:pPr>
        <w:ind w:left="4060"/>
        <w:spacing w:after="0"/>
        <w:tabs>
          <w:tab w:leader="none" w:pos="4440" w:val="left"/>
        </w:tabs>
        <w:rPr>
          <w:sz w:val="20"/>
          <w:szCs w:val="20"/>
          <w:color w:val="auto"/>
        </w:rPr>
      </w:pPr>
      <w:r>
        <w:rPr>
          <w:rFonts w:ascii="Arial" w:cs="Arial" w:eastAsia="Arial" w:hAnsi="Arial"/>
          <w:sz w:val="14"/>
          <w:szCs w:val="14"/>
          <w:color w:val="685040"/>
        </w:rPr>
        <w:t>Fax:</w:t>
      </w:r>
      <w:r>
        <w:rPr>
          <w:sz w:val="20"/>
          <w:szCs w:val="20"/>
          <w:color w:val="auto"/>
        </w:rPr>
        <w:tab/>
      </w:r>
      <w:r>
        <w:rPr>
          <w:rFonts w:ascii="Arial" w:cs="Arial" w:eastAsia="Arial" w:hAnsi="Arial"/>
          <w:sz w:val="13"/>
          <w:szCs w:val="13"/>
          <w:color w:val="685040"/>
        </w:rPr>
        <w:t>713-960-9549</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685040"/>
        </w:rPr>
        <w:t>www.bdo.com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85040"/>
        </w:rPr>
        <w:t>2929 Allen Parkway, 20th Floor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685040"/>
        </w:rPr>
        <w:t>Houston, TX 77019</w:t>
      </w:r>
    </w:p>
    <w:p>
      <w:pPr>
        <w:spacing w:after="0" w:line="362" w:lineRule="exact"/>
        <w:rPr>
          <w:sz w:val="20"/>
          <w:szCs w:val="20"/>
          <w:color w:val="auto"/>
        </w:rPr>
      </w:pPr>
    </w:p>
    <w:p>
      <w:pPr>
        <w:sectPr>
          <w:pgSz w:w="11900" w:h="16838" w:orient="portrait"/>
          <w:cols w:equalWidth="0" w:num="2">
            <w:col w:w="6480" w:space="720"/>
            <w:col w:w="4040"/>
          </w:cols>
          <w:pgMar w:left="320" w:top="617" w:right="339" w:bottom="1440" w:gutter="0" w:footer="0" w:header="0"/>
        </w:sectPr>
      </w:pP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Independent Auditor’s Report</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RAM Energy Holdings LLC</w:t>
      </w:r>
    </w:p>
    <w:p>
      <w:pPr>
        <w:spacing w:after="0"/>
        <w:rPr>
          <w:sz w:val="20"/>
          <w:szCs w:val="20"/>
          <w:color w:val="auto"/>
        </w:rPr>
      </w:pPr>
      <w:r>
        <w:rPr>
          <w:rFonts w:ascii="Arial" w:cs="Arial" w:eastAsia="Arial" w:hAnsi="Arial"/>
          <w:sz w:val="19"/>
          <w:szCs w:val="19"/>
          <w:color w:val="auto"/>
        </w:rPr>
        <w:t>Tulsa, Oklahoma</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We have audited the accompanying consolidated financial statements of RAM Energy Holdings LLC and its subsidiaries (the “Company”), which comprise the consolidated balance sheet as of September 30, 2019, and the related consolidated statements of operations, member’s deficit, and cash flows for the year then ended, and the related notes to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Management’s Responsibility for the Consolidated Financial Statements</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9"/>
          <w:szCs w:val="19"/>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Auditor’s Responsibility</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9"/>
          <w:szCs w:val="19"/>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70" w:lineRule="exact"/>
        <w:rPr>
          <w:sz w:val="20"/>
          <w:szCs w:val="20"/>
          <w:color w:val="auto"/>
        </w:rPr>
      </w:pPr>
    </w:p>
    <w:p>
      <w:pPr>
        <w:ind w:right="1340"/>
        <w:spacing w:after="0" w:line="437" w:lineRule="auto"/>
        <w:rPr>
          <w:sz w:val="20"/>
          <w:szCs w:val="20"/>
          <w:color w:val="auto"/>
        </w:rPr>
      </w:pPr>
      <w:r>
        <w:rPr>
          <w:rFonts w:ascii="Arial" w:cs="Arial" w:eastAsia="Arial" w:hAnsi="Arial"/>
          <w:sz w:val="19"/>
          <w:szCs w:val="19"/>
          <w:color w:val="auto"/>
        </w:rPr>
        <w:t xml:space="preserve">We believe that the audit evidence we have obtained is sufficient and appropriate to provide a basis for our audit opinion. </w:t>
      </w:r>
      <w:r>
        <w:rPr>
          <w:rFonts w:ascii="Arial" w:cs="Arial" w:eastAsia="Arial" w:hAnsi="Arial"/>
          <w:sz w:val="19"/>
          <w:szCs w:val="19"/>
          <w:b w:val="1"/>
          <w:bCs w:val="1"/>
          <w:i w:val="1"/>
          <w:iCs w:val="1"/>
          <w:color w:val="auto"/>
        </w:rPr>
        <w:t>Opinion</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our opinion, the consolidated financial statements referred to above present fairly, in all material respects, the financial position of RAM Energy Holdings LLC and its subsidiaries as of September 30, 2019, and the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31290" cy="291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14312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November 15, 2019</w:t>
      </w:r>
    </w:p>
    <w:p>
      <w:pPr>
        <w:spacing w:after="0" w:line="111" w:lineRule="exact"/>
        <w:rPr>
          <w:sz w:val="20"/>
          <w:szCs w:val="20"/>
          <w:color w:val="auto"/>
        </w:rPr>
      </w:pPr>
    </w:p>
    <w:p>
      <w:pPr>
        <w:ind w:right="1440"/>
        <w:spacing w:after="0" w:line="238" w:lineRule="auto"/>
        <w:rPr>
          <w:sz w:val="20"/>
          <w:szCs w:val="20"/>
          <w:color w:val="auto"/>
        </w:rPr>
      </w:pPr>
      <w:r>
        <w:rPr>
          <w:rFonts w:ascii="Arial" w:cs="Arial" w:eastAsia="Arial" w:hAnsi="Arial"/>
          <w:sz w:val="11"/>
          <w:szCs w:val="11"/>
          <w:color w:val="685040"/>
        </w:rPr>
        <w:t>BDO USA, LLP, a Delaware limited liability partnership, is the U.S. member of BDO International Limited, a UK company limited by guarantee, and forms part of the international BDO network of independent member firms.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type w:val="continuous"/>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69850</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64135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336"/>
        </w:trPr>
        <w:tc>
          <w:tcPr>
            <w:tcW w:w="8740" w:type="dxa"/>
            <w:vAlign w:val="bottom"/>
          </w:tcPr>
          <w:p>
            <w:pPr>
              <w:ind w:left="3000"/>
              <w:spacing w:after="0"/>
              <w:rPr>
                <w:sz w:val="20"/>
                <w:szCs w:val="20"/>
                <w:color w:val="auto"/>
              </w:rPr>
            </w:pPr>
            <w:r>
              <w:rPr>
                <w:rFonts w:ascii="Arial" w:cs="Arial" w:eastAsia="Arial" w:hAnsi="Arial"/>
                <w:sz w:val="25"/>
                <w:szCs w:val="25"/>
                <w:b w:val="1"/>
                <w:bCs w:val="1"/>
                <w:color w:val="auto"/>
              </w:rPr>
              <w:t>RAM Energy Holdings LLC and Subsidiaries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61"/>
        </w:trPr>
        <w:tc>
          <w:tcPr>
            <w:tcW w:w="8740" w:type="dxa"/>
            <w:vAlign w:val="bottom"/>
          </w:tcPr>
          <w:p>
            <w:pPr>
              <w:ind w:left="4180"/>
              <w:spacing w:after="0"/>
              <w:rPr>
                <w:sz w:val="20"/>
                <w:szCs w:val="20"/>
                <w:color w:val="auto"/>
              </w:rPr>
            </w:pPr>
            <w:r>
              <w:rPr>
                <w:rFonts w:ascii="Arial" w:cs="Arial" w:eastAsia="Arial" w:hAnsi="Arial"/>
                <w:sz w:val="22"/>
                <w:szCs w:val="22"/>
                <w:b w:val="1"/>
                <w:bCs w:val="1"/>
                <w:color w:val="auto"/>
              </w:rPr>
              <w:t>Consolidated Balance Sheet</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8"/>
        </w:trPr>
        <w:tc>
          <w:tcPr>
            <w:tcW w:w="87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682"/>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46"/>
              <w:spacing w:after="0"/>
              <w:rPr>
                <w:sz w:val="20"/>
                <w:szCs w:val="20"/>
                <w:color w:val="auto"/>
              </w:rPr>
            </w:pPr>
            <w:r>
              <w:rPr>
                <w:rFonts w:ascii="Arial" w:cs="Arial" w:eastAsia="Arial" w:hAnsi="Arial"/>
                <w:sz w:val="19"/>
                <w:szCs w:val="19"/>
                <w:b w:val="1"/>
                <w:bCs w:val="1"/>
                <w:color w:val="auto"/>
              </w:rPr>
              <w:t>2019</w:t>
            </w:r>
          </w:p>
        </w:tc>
      </w:tr>
      <w:tr>
        <w:trPr>
          <w:trHeight w:val="704"/>
        </w:trPr>
        <w:tc>
          <w:tcPr>
            <w:tcW w:w="8740" w:type="dxa"/>
            <w:vAlign w:val="bottom"/>
          </w:tcPr>
          <w:p>
            <w:pPr>
              <w:spacing w:after="0"/>
              <w:rPr>
                <w:sz w:val="20"/>
                <w:szCs w:val="20"/>
                <w:color w:val="auto"/>
              </w:rPr>
            </w:pPr>
            <w:r>
              <w:rPr>
                <w:rFonts w:ascii="Arial" w:cs="Arial" w:eastAsia="Arial" w:hAnsi="Arial"/>
                <w:sz w:val="19"/>
                <w:szCs w:val="19"/>
                <w:b w:val="1"/>
                <w:bCs w:val="1"/>
                <w:color w:val="auto"/>
              </w:rPr>
              <w:t>Assets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89"/>
        </w:trPr>
        <w:tc>
          <w:tcPr>
            <w:tcW w:w="8740" w:type="dxa"/>
            <w:vAlign w:val="bottom"/>
          </w:tcPr>
          <w:p>
            <w:pPr>
              <w:spacing w:after="0"/>
              <w:rPr>
                <w:sz w:val="20"/>
                <w:szCs w:val="20"/>
                <w:color w:val="auto"/>
              </w:rPr>
            </w:pPr>
            <w:r>
              <w:rPr>
                <w:rFonts w:ascii="Arial" w:cs="Arial" w:eastAsia="Arial" w:hAnsi="Arial"/>
                <w:sz w:val="19"/>
                <w:szCs w:val="19"/>
                <w:b w:val="1"/>
                <w:bCs w:val="1"/>
                <w:color w:val="auto"/>
              </w:rPr>
              <w:t>Current Assets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Cash and cash equivalents</w:t>
            </w:r>
          </w:p>
        </w:tc>
        <w:tc>
          <w:tcPr>
            <w:tcW w:w="9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3,192,507</w:t>
            </w: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Accounts receivable, net</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7,826,569</w:t>
            </w:r>
          </w:p>
        </w:tc>
      </w:tr>
      <w:tr>
        <w:trPr>
          <w:trHeight w:val="221"/>
        </w:trPr>
        <w:tc>
          <w:tcPr>
            <w:tcW w:w="8740" w:type="dxa"/>
            <w:vAlign w:val="bottom"/>
            <w:tcBorders>
              <w:bottom w:val="single" w:sz="8" w:color="auto"/>
            </w:tcBorders>
          </w:tcPr>
          <w:p>
            <w:pPr>
              <w:ind w:left="260"/>
              <w:spacing w:after="0" w:line="214" w:lineRule="exact"/>
              <w:rPr>
                <w:sz w:val="20"/>
                <w:szCs w:val="20"/>
                <w:color w:val="auto"/>
              </w:rPr>
            </w:pPr>
            <w:r>
              <w:rPr>
                <w:rFonts w:ascii="Arial" w:cs="Arial" w:eastAsia="Arial" w:hAnsi="Arial"/>
                <w:sz w:val="19"/>
                <w:szCs w:val="19"/>
                <w:color w:val="auto"/>
              </w:rPr>
              <w:t>Prepaid expenses</w:t>
            </w: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
              <w:spacing w:after="0" w:line="214" w:lineRule="exact"/>
              <w:rPr>
                <w:sz w:val="20"/>
                <w:szCs w:val="20"/>
                <w:color w:val="auto"/>
              </w:rPr>
            </w:pPr>
            <w:r>
              <w:rPr>
                <w:rFonts w:ascii="Arial" w:cs="Arial" w:eastAsia="Arial" w:hAnsi="Arial"/>
                <w:sz w:val="19"/>
                <w:szCs w:val="19"/>
                <w:color w:val="auto"/>
              </w:rPr>
              <w:t>225,395</w:t>
            </w:r>
          </w:p>
        </w:tc>
      </w:tr>
      <w:tr>
        <w:trPr>
          <w:trHeight w:val="474"/>
        </w:trPr>
        <w:tc>
          <w:tcPr>
            <w:tcW w:w="8740" w:type="dxa"/>
            <w:vAlign w:val="bottom"/>
          </w:tcPr>
          <w:p>
            <w:pPr>
              <w:spacing w:after="0"/>
              <w:rPr>
                <w:sz w:val="20"/>
                <w:szCs w:val="20"/>
                <w:color w:val="auto"/>
              </w:rPr>
            </w:pPr>
            <w:r>
              <w:rPr>
                <w:rFonts w:ascii="Arial" w:cs="Arial" w:eastAsia="Arial" w:hAnsi="Arial"/>
                <w:sz w:val="19"/>
                <w:szCs w:val="19"/>
                <w:b w:val="1"/>
                <w:bCs w:val="1"/>
                <w:color w:val="auto"/>
              </w:rPr>
              <w:t>Total Current Assets</w:t>
            </w:r>
          </w:p>
        </w:tc>
        <w:tc>
          <w:tcPr>
            <w:tcW w:w="920" w:type="dxa"/>
            <w:vAlign w:val="bottom"/>
          </w:tcPr>
          <w:p>
            <w:pPr>
              <w:spacing w:after="0"/>
              <w:rPr>
                <w:sz w:val="24"/>
                <w:szCs w:val="24"/>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11,244,471</w:t>
            </w:r>
          </w:p>
        </w:tc>
      </w:tr>
      <w:tr>
        <w:trPr>
          <w:trHeight w:val="459"/>
        </w:trPr>
        <w:tc>
          <w:tcPr>
            <w:tcW w:w="8740" w:type="dxa"/>
            <w:vAlign w:val="bottom"/>
          </w:tcPr>
          <w:p>
            <w:pPr>
              <w:spacing w:after="0"/>
              <w:rPr>
                <w:sz w:val="20"/>
                <w:szCs w:val="20"/>
                <w:color w:val="auto"/>
              </w:rPr>
            </w:pPr>
            <w:r>
              <w:rPr>
                <w:rFonts w:ascii="Arial" w:cs="Arial" w:eastAsia="Arial" w:hAnsi="Arial"/>
                <w:sz w:val="19"/>
                <w:szCs w:val="19"/>
                <w:b w:val="1"/>
                <w:bCs w:val="1"/>
                <w:color w:val="auto"/>
              </w:rPr>
              <w:t>Property and Equipment, at Cost</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8"/>
        </w:trPr>
        <w:tc>
          <w:tcPr>
            <w:tcW w:w="8740" w:type="dxa"/>
            <w:vAlign w:val="bottom"/>
          </w:tcPr>
          <w:p>
            <w:pPr>
              <w:ind w:left="260"/>
              <w:spacing w:after="0"/>
              <w:rPr>
                <w:sz w:val="20"/>
                <w:szCs w:val="20"/>
                <w:color w:val="auto"/>
              </w:rPr>
            </w:pPr>
            <w:r>
              <w:rPr>
                <w:rFonts w:ascii="Arial" w:cs="Arial" w:eastAsia="Arial" w:hAnsi="Arial"/>
                <w:sz w:val="19"/>
                <w:szCs w:val="19"/>
                <w:color w:val="auto"/>
              </w:rPr>
              <w:t>Proved oil and natural gas properties and equipment,</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7"/>
        </w:trPr>
        <w:tc>
          <w:tcPr>
            <w:tcW w:w="8740" w:type="dxa"/>
            <w:vAlign w:val="bottom"/>
          </w:tcPr>
          <w:p>
            <w:pPr>
              <w:ind w:left="420"/>
              <w:spacing w:after="0"/>
              <w:rPr>
                <w:sz w:val="20"/>
                <w:szCs w:val="20"/>
                <w:color w:val="auto"/>
              </w:rPr>
            </w:pPr>
            <w:r>
              <w:rPr>
                <w:rFonts w:ascii="Arial" w:cs="Arial" w:eastAsia="Arial" w:hAnsi="Arial"/>
                <w:sz w:val="19"/>
                <w:szCs w:val="19"/>
                <w:color w:val="auto"/>
              </w:rPr>
              <w:t>using full cost accounting</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91,207,852</w:t>
            </w: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Unproved oil and natural gas properties</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7,351,669</w:t>
            </w: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Gas gathering and processing equipment</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10,253,833</w:t>
            </w:r>
          </w:p>
        </w:tc>
      </w:tr>
      <w:tr>
        <w:trPr>
          <w:trHeight w:val="221"/>
        </w:trPr>
        <w:tc>
          <w:tcPr>
            <w:tcW w:w="8740" w:type="dxa"/>
            <w:vAlign w:val="bottom"/>
            <w:tcBorders>
              <w:bottom w:val="single" w:sz="8" w:color="auto"/>
            </w:tcBorders>
          </w:tcPr>
          <w:p>
            <w:pPr>
              <w:ind w:left="260"/>
              <w:spacing w:after="0" w:line="214" w:lineRule="exact"/>
              <w:rPr>
                <w:sz w:val="20"/>
                <w:szCs w:val="20"/>
                <w:color w:val="auto"/>
              </w:rPr>
            </w:pPr>
            <w:r>
              <w:rPr>
                <w:rFonts w:ascii="Arial" w:cs="Arial" w:eastAsia="Arial" w:hAnsi="Arial"/>
                <w:sz w:val="19"/>
                <w:szCs w:val="19"/>
                <w:color w:val="auto"/>
              </w:rPr>
              <w:t>Other property and equipment</w:t>
            </w: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
              <w:spacing w:after="0" w:line="214" w:lineRule="exact"/>
              <w:rPr>
                <w:sz w:val="20"/>
                <w:szCs w:val="20"/>
                <w:color w:val="auto"/>
              </w:rPr>
            </w:pPr>
            <w:r>
              <w:rPr>
                <w:rFonts w:ascii="Arial" w:cs="Arial" w:eastAsia="Arial" w:hAnsi="Arial"/>
                <w:sz w:val="19"/>
                <w:szCs w:val="19"/>
                <w:color w:val="auto"/>
              </w:rPr>
              <w:t>527,606</w:t>
            </w:r>
          </w:p>
        </w:tc>
      </w:tr>
      <w:tr>
        <w:trPr>
          <w:trHeight w:val="245"/>
        </w:trPr>
        <w:tc>
          <w:tcPr>
            <w:tcW w:w="8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109,340,960</w:t>
            </w:r>
          </w:p>
        </w:tc>
      </w:tr>
      <w:tr>
        <w:trPr>
          <w:trHeight w:val="218"/>
        </w:trPr>
        <w:tc>
          <w:tcPr>
            <w:tcW w:w="8740" w:type="dxa"/>
            <w:vAlign w:val="bottom"/>
          </w:tcPr>
          <w:p>
            <w:pPr>
              <w:ind w:left="260"/>
              <w:spacing w:after="0"/>
              <w:rPr>
                <w:sz w:val="20"/>
                <w:szCs w:val="20"/>
                <w:color w:val="auto"/>
              </w:rPr>
            </w:pPr>
            <w:r>
              <w:rPr>
                <w:rFonts w:ascii="Arial" w:cs="Arial" w:eastAsia="Arial" w:hAnsi="Arial"/>
                <w:sz w:val="19"/>
                <w:szCs w:val="19"/>
                <w:color w:val="auto"/>
              </w:rPr>
              <w:t>Less: accumulated depreciation, depletion,</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8740" w:type="dxa"/>
            <w:vAlign w:val="bottom"/>
            <w:tcBorders>
              <w:bottom w:val="single" w:sz="8" w:color="auto"/>
            </w:tcBorders>
          </w:tcPr>
          <w:p>
            <w:pPr>
              <w:ind w:left="420"/>
              <w:spacing w:after="0" w:line="212" w:lineRule="exact"/>
              <w:rPr>
                <w:sz w:val="20"/>
                <w:szCs w:val="20"/>
                <w:color w:val="auto"/>
              </w:rPr>
            </w:pPr>
            <w:r>
              <w:rPr>
                <w:rFonts w:ascii="Arial" w:cs="Arial" w:eastAsia="Arial" w:hAnsi="Arial"/>
                <w:sz w:val="19"/>
                <w:szCs w:val="19"/>
                <w:color w:val="auto"/>
              </w:rPr>
              <w:t>amortization and impairment</w:t>
            </w: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12" w:lineRule="exact"/>
              <w:rPr>
                <w:sz w:val="20"/>
                <w:szCs w:val="20"/>
                <w:color w:val="auto"/>
              </w:rPr>
            </w:pPr>
            <w:r>
              <w:rPr>
                <w:rFonts w:ascii="Arial" w:cs="Arial" w:eastAsia="Arial" w:hAnsi="Arial"/>
                <w:sz w:val="19"/>
                <w:szCs w:val="19"/>
                <w:color w:val="auto"/>
              </w:rPr>
              <w:t>(43,455,219)</w:t>
            </w:r>
          </w:p>
        </w:tc>
      </w:tr>
      <w:tr>
        <w:trPr>
          <w:trHeight w:val="475"/>
        </w:trPr>
        <w:tc>
          <w:tcPr>
            <w:tcW w:w="8740" w:type="dxa"/>
            <w:vAlign w:val="bottom"/>
          </w:tcPr>
          <w:p>
            <w:pPr>
              <w:spacing w:after="0"/>
              <w:rPr>
                <w:sz w:val="20"/>
                <w:szCs w:val="20"/>
                <w:color w:val="auto"/>
              </w:rPr>
            </w:pPr>
            <w:r>
              <w:rPr>
                <w:rFonts w:ascii="Arial" w:cs="Arial" w:eastAsia="Arial" w:hAnsi="Arial"/>
                <w:sz w:val="19"/>
                <w:szCs w:val="19"/>
                <w:b w:val="1"/>
                <w:bCs w:val="1"/>
                <w:color w:val="auto"/>
              </w:rPr>
              <w:t>Net Property and Equipment</w:t>
            </w:r>
          </w:p>
        </w:tc>
        <w:tc>
          <w:tcPr>
            <w:tcW w:w="920" w:type="dxa"/>
            <w:vAlign w:val="bottom"/>
          </w:tcPr>
          <w:p>
            <w:pPr>
              <w:spacing w:after="0"/>
              <w:rPr>
                <w:sz w:val="24"/>
                <w:szCs w:val="24"/>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65,885,741</w:t>
            </w:r>
          </w:p>
        </w:tc>
      </w:tr>
      <w:tr>
        <w:trPr>
          <w:trHeight w:val="459"/>
        </w:trPr>
        <w:tc>
          <w:tcPr>
            <w:tcW w:w="8740" w:type="dxa"/>
            <w:vAlign w:val="bottom"/>
          </w:tcPr>
          <w:p>
            <w:pPr>
              <w:spacing w:after="0"/>
              <w:rPr>
                <w:sz w:val="20"/>
                <w:szCs w:val="20"/>
                <w:color w:val="auto"/>
              </w:rPr>
            </w:pPr>
            <w:r>
              <w:rPr>
                <w:rFonts w:ascii="Arial" w:cs="Arial" w:eastAsia="Arial" w:hAnsi="Arial"/>
                <w:sz w:val="19"/>
                <w:szCs w:val="19"/>
                <w:b w:val="1"/>
                <w:bCs w:val="1"/>
                <w:color w:val="auto"/>
              </w:rPr>
              <w:t>Other Assets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Restricted cash</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732,682</w:t>
            </w:r>
          </w:p>
        </w:tc>
      </w:tr>
      <w:tr>
        <w:trPr>
          <w:trHeight w:val="221"/>
        </w:trPr>
        <w:tc>
          <w:tcPr>
            <w:tcW w:w="8740" w:type="dxa"/>
            <w:vAlign w:val="bottom"/>
            <w:tcBorders>
              <w:bottom w:val="single" w:sz="8" w:color="auto"/>
            </w:tcBorders>
          </w:tcPr>
          <w:p>
            <w:pPr>
              <w:ind w:left="260"/>
              <w:spacing w:after="0" w:line="214" w:lineRule="exact"/>
              <w:rPr>
                <w:sz w:val="20"/>
                <w:szCs w:val="20"/>
                <w:color w:val="auto"/>
              </w:rPr>
            </w:pPr>
            <w:r>
              <w:rPr>
                <w:rFonts w:ascii="Arial" w:cs="Arial" w:eastAsia="Arial" w:hAnsi="Arial"/>
                <w:sz w:val="19"/>
                <w:szCs w:val="19"/>
                <w:color w:val="auto"/>
              </w:rPr>
              <w:t>Other</w:t>
            </w: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
              <w:spacing w:after="0" w:line="214" w:lineRule="exact"/>
              <w:rPr>
                <w:sz w:val="20"/>
                <w:szCs w:val="20"/>
                <w:color w:val="auto"/>
              </w:rPr>
            </w:pPr>
            <w:r>
              <w:rPr>
                <w:rFonts w:ascii="Arial" w:cs="Arial" w:eastAsia="Arial" w:hAnsi="Arial"/>
                <w:sz w:val="19"/>
                <w:szCs w:val="19"/>
                <w:color w:val="auto"/>
              </w:rPr>
              <w:t>65,334</w:t>
            </w:r>
          </w:p>
        </w:tc>
      </w:tr>
      <w:tr>
        <w:trPr>
          <w:trHeight w:val="695"/>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Other Assets</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798,016</w:t>
            </w:r>
          </w:p>
        </w:tc>
      </w:tr>
      <w:tr>
        <w:trPr>
          <w:trHeight w:val="466"/>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Assets</w:t>
            </w:r>
          </w:p>
        </w:tc>
        <w:tc>
          <w:tcPr>
            <w:tcW w:w="92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77,928,228</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336"/>
        </w:trPr>
        <w:tc>
          <w:tcPr>
            <w:tcW w:w="8740" w:type="dxa"/>
            <w:vAlign w:val="bottom"/>
          </w:tcPr>
          <w:p>
            <w:pPr>
              <w:jc w:val="center"/>
              <w:ind w:left="2403"/>
              <w:spacing w:after="0"/>
              <w:rPr>
                <w:sz w:val="20"/>
                <w:szCs w:val="20"/>
                <w:color w:val="auto"/>
              </w:rPr>
            </w:pPr>
            <w:r>
              <w:rPr>
                <w:rFonts w:ascii="Arial" w:cs="Arial" w:eastAsia="Arial" w:hAnsi="Arial"/>
                <w:sz w:val="25"/>
                <w:szCs w:val="25"/>
                <w:b w:val="1"/>
                <w:bCs w:val="1"/>
                <w:color w:val="auto"/>
                <w:w w:val="99"/>
              </w:rPr>
              <w:t>RAM Energy Holdings LLC and Subsidiaries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1"/>
        </w:trPr>
        <w:tc>
          <w:tcPr>
            <w:tcW w:w="8740" w:type="dxa"/>
            <w:vAlign w:val="bottom"/>
          </w:tcPr>
          <w:p>
            <w:pPr>
              <w:jc w:val="center"/>
              <w:ind w:left="2423"/>
              <w:spacing w:after="0"/>
              <w:rPr>
                <w:sz w:val="20"/>
                <w:szCs w:val="20"/>
                <w:color w:val="auto"/>
              </w:rPr>
            </w:pPr>
            <w:r>
              <w:rPr>
                <w:rFonts w:ascii="Arial" w:cs="Arial" w:eastAsia="Arial" w:hAnsi="Arial"/>
                <w:sz w:val="22"/>
                <w:szCs w:val="22"/>
                <w:b w:val="1"/>
                <w:bCs w:val="1"/>
                <w:color w:val="auto"/>
                <w:w w:val="98"/>
              </w:rPr>
              <w:t>Consolidated Balance Sheet</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87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466"/>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46"/>
              <w:spacing w:after="0"/>
              <w:rPr>
                <w:sz w:val="20"/>
                <w:szCs w:val="20"/>
                <w:color w:val="auto"/>
              </w:rPr>
            </w:pPr>
            <w:r>
              <w:rPr>
                <w:rFonts w:ascii="Arial" w:cs="Arial" w:eastAsia="Arial" w:hAnsi="Arial"/>
                <w:sz w:val="19"/>
                <w:szCs w:val="19"/>
                <w:b w:val="1"/>
                <w:bCs w:val="1"/>
                <w:color w:val="auto"/>
              </w:rPr>
              <w:t>2019</w:t>
            </w:r>
          </w:p>
        </w:tc>
        <w:tc>
          <w:tcPr>
            <w:tcW w:w="20" w:type="dxa"/>
            <w:vAlign w:val="bottom"/>
          </w:tcPr>
          <w:p>
            <w:pPr>
              <w:spacing w:after="0"/>
              <w:rPr>
                <w:sz w:val="24"/>
                <w:szCs w:val="24"/>
                <w:color w:val="auto"/>
              </w:rPr>
            </w:pPr>
          </w:p>
        </w:tc>
      </w:tr>
      <w:tr>
        <w:trPr>
          <w:trHeight w:val="474"/>
        </w:trPr>
        <w:tc>
          <w:tcPr>
            <w:tcW w:w="8740" w:type="dxa"/>
            <w:vAlign w:val="bottom"/>
          </w:tcPr>
          <w:p>
            <w:pPr>
              <w:spacing w:after="0"/>
              <w:rPr>
                <w:sz w:val="20"/>
                <w:szCs w:val="20"/>
                <w:color w:val="auto"/>
              </w:rPr>
            </w:pPr>
            <w:r>
              <w:rPr>
                <w:rFonts w:ascii="Arial" w:cs="Arial" w:eastAsia="Arial" w:hAnsi="Arial"/>
                <w:sz w:val="19"/>
                <w:szCs w:val="19"/>
                <w:b w:val="1"/>
                <w:bCs w:val="1"/>
                <w:color w:val="auto"/>
              </w:rPr>
              <w:t>Liabilities and Member's Deficit</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8740" w:type="dxa"/>
            <w:vAlign w:val="bottom"/>
          </w:tcPr>
          <w:p>
            <w:pPr>
              <w:spacing w:after="0"/>
              <w:rPr>
                <w:sz w:val="20"/>
                <w:szCs w:val="20"/>
                <w:color w:val="auto"/>
              </w:rPr>
            </w:pPr>
            <w:r>
              <w:rPr>
                <w:rFonts w:ascii="Arial" w:cs="Arial" w:eastAsia="Arial" w:hAnsi="Arial"/>
                <w:sz w:val="19"/>
                <w:szCs w:val="19"/>
                <w:b w:val="1"/>
                <w:bCs w:val="1"/>
                <w:color w:val="auto"/>
              </w:rPr>
              <w:t>Current Liabilities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Trade accounts payable</w:t>
            </w:r>
          </w:p>
        </w:tc>
        <w:tc>
          <w:tcPr>
            <w:tcW w:w="9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26,150,721</w:t>
            </w:r>
          </w:p>
        </w:tc>
        <w:tc>
          <w:tcPr>
            <w:tcW w:w="20" w:type="dxa"/>
            <w:vAlign w:val="bottom"/>
          </w:tcPr>
          <w:p>
            <w:pPr>
              <w:spacing w:after="0"/>
              <w:rPr>
                <w:sz w:val="19"/>
                <w:szCs w:val="19"/>
                <w:color w:val="auto"/>
              </w:rPr>
            </w:pP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Revenue payable</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4,722,982</w:t>
            </w:r>
          </w:p>
        </w:tc>
        <w:tc>
          <w:tcPr>
            <w:tcW w:w="20" w:type="dxa"/>
            <w:vAlign w:val="bottom"/>
          </w:tcPr>
          <w:p>
            <w:pPr>
              <w:spacing w:after="0"/>
              <w:rPr>
                <w:sz w:val="19"/>
                <w:szCs w:val="19"/>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Accrued liabilities</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1,521,400</w:t>
            </w:r>
          </w:p>
        </w:tc>
        <w:tc>
          <w:tcPr>
            <w:tcW w:w="20" w:type="dxa"/>
            <w:vAlign w:val="bottom"/>
          </w:tcPr>
          <w:p>
            <w:pPr>
              <w:spacing w:after="0"/>
              <w:rPr>
                <w:sz w:val="19"/>
                <w:szCs w:val="19"/>
                <w:color w:val="auto"/>
              </w:rPr>
            </w:pP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Drilling advances</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2,226,283</w:t>
            </w:r>
          </w:p>
        </w:tc>
        <w:tc>
          <w:tcPr>
            <w:tcW w:w="20" w:type="dxa"/>
            <w:vAlign w:val="bottom"/>
          </w:tcPr>
          <w:p>
            <w:pPr>
              <w:spacing w:after="0"/>
              <w:rPr>
                <w:sz w:val="19"/>
                <w:szCs w:val="19"/>
                <w:color w:val="auto"/>
              </w:rPr>
            </w:pPr>
          </w:p>
        </w:tc>
      </w:tr>
      <w:tr>
        <w:trPr>
          <w:trHeight w:val="221"/>
        </w:trPr>
        <w:tc>
          <w:tcPr>
            <w:tcW w:w="8740" w:type="dxa"/>
            <w:vAlign w:val="bottom"/>
            <w:tcBorders>
              <w:bottom w:val="single" w:sz="8" w:color="auto"/>
            </w:tcBorders>
          </w:tcPr>
          <w:p>
            <w:pPr>
              <w:ind w:left="260"/>
              <w:spacing w:after="0" w:line="214" w:lineRule="exact"/>
              <w:rPr>
                <w:sz w:val="20"/>
                <w:szCs w:val="20"/>
                <w:color w:val="auto"/>
              </w:rPr>
            </w:pPr>
            <w:r>
              <w:rPr>
                <w:rFonts w:ascii="Arial" w:cs="Arial" w:eastAsia="Arial" w:hAnsi="Arial"/>
                <w:sz w:val="19"/>
                <w:szCs w:val="19"/>
                <w:color w:val="auto"/>
              </w:rPr>
              <w:t>Current portion of asset retirement obligations</w:t>
            </w: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6"/>
              <w:spacing w:after="0" w:line="214" w:lineRule="exact"/>
              <w:rPr>
                <w:sz w:val="20"/>
                <w:szCs w:val="20"/>
                <w:color w:val="auto"/>
              </w:rPr>
            </w:pPr>
            <w:r>
              <w:rPr>
                <w:rFonts w:ascii="Arial" w:cs="Arial" w:eastAsia="Arial" w:hAnsi="Arial"/>
                <w:sz w:val="19"/>
                <w:szCs w:val="19"/>
                <w:color w:val="auto"/>
              </w:rPr>
              <w:t>492,957</w:t>
            </w:r>
          </w:p>
        </w:tc>
        <w:tc>
          <w:tcPr>
            <w:tcW w:w="20" w:type="dxa"/>
            <w:vAlign w:val="bottom"/>
          </w:tcPr>
          <w:p>
            <w:pPr>
              <w:spacing w:after="0"/>
              <w:rPr>
                <w:sz w:val="19"/>
                <w:szCs w:val="19"/>
                <w:color w:val="auto"/>
              </w:rPr>
            </w:pPr>
          </w:p>
        </w:tc>
      </w:tr>
      <w:tr>
        <w:trPr>
          <w:trHeight w:val="475"/>
        </w:trPr>
        <w:tc>
          <w:tcPr>
            <w:tcW w:w="8740" w:type="dxa"/>
            <w:vAlign w:val="bottom"/>
          </w:tcPr>
          <w:p>
            <w:pPr>
              <w:spacing w:after="0"/>
              <w:rPr>
                <w:sz w:val="20"/>
                <w:szCs w:val="20"/>
                <w:color w:val="auto"/>
              </w:rPr>
            </w:pPr>
            <w:r>
              <w:rPr>
                <w:rFonts w:ascii="Arial" w:cs="Arial" w:eastAsia="Arial" w:hAnsi="Arial"/>
                <w:sz w:val="19"/>
                <w:szCs w:val="19"/>
                <w:b w:val="1"/>
                <w:bCs w:val="1"/>
                <w:color w:val="auto"/>
              </w:rPr>
              <w:t>Total Current Liabilities</w:t>
            </w:r>
          </w:p>
        </w:tc>
        <w:tc>
          <w:tcPr>
            <w:tcW w:w="920" w:type="dxa"/>
            <w:vAlign w:val="bottom"/>
          </w:tcPr>
          <w:p>
            <w:pPr>
              <w:spacing w:after="0"/>
              <w:rPr>
                <w:sz w:val="24"/>
                <w:szCs w:val="24"/>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35,114,343</w:t>
            </w:r>
          </w:p>
        </w:tc>
        <w:tc>
          <w:tcPr>
            <w:tcW w:w="20" w:type="dxa"/>
            <w:vAlign w:val="bottom"/>
          </w:tcPr>
          <w:p>
            <w:pPr>
              <w:spacing w:after="0"/>
              <w:rPr>
                <w:sz w:val="24"/>
                <w:szCs w:val="24"/>
                <w:color w:val="auto"/>
              </w:rPr>
            </w:pPr>
          </w:p>
        </w:tc>
      </w:tr>
      <w:tr>
        <w:trPr>
          <w:trHeight w:val="459"/>
        </w:trPr>
        <w:tc>
          <w:tcPr>
            <w:tcW w:w="8740" w:type="dxa"/>
            <w:vAlign w:val="bottom"/>
          </w:tcPr>
          <w:p>
            <w:pPr>
              <w:spacing w:after="0"/>
              <w:rPr>
                <w:sz w:val="20"/>
                <w:szCs w:val="20"/>
                <w:color w:val="auto"/>
              </w:rPr>
            </w:pPr>
            <w:r>
              <w:rPr>
                <w:rFonts w:ascii="Arial" w:cs="Arial" w:eastAsia="Arial" w:hAnsi="Arial"/>
                <w:sz w:val="19"/>
                <w:szCs w:val="19"/>
                <w:b w:val="1"/>
                <w:bCs w:val="1"/>
                <w:color w:val="auto"/>
              </w:rPr>
              <w:t>Asset Retirement Obligations, net of current portion</w:t>
            </w:r>
          </w:p>
        </w:tc>
        <w:tc>
          <w:tcPr>
            <w:tcW w:w="920" w:type="dxa"/>
            <w:vAlign w:val="bottom"/>
          </w:tcPr>
          <w:p>
            <w:pPr>
              <w:spacing w:after="0"/>
              <w:rPr>
                <w:sz w:val="24"/>
                <w:szCs w:val="24"/>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4,990,953</w:t>
            </w:r>
          </w:p>
        </w:tc>
        <w:tc>
          <w:tcPr>
            <w:tcW w:w="20" w:type="dxa"/>
            <w:vAlign w:val="bottom"/>
          </w:tcPr>
          <w:p>
            <w:pPr>
              <w:spacing w:after="0"/>
              <w:rPr>
                <w:sz w:val="24"/>
                <w:szCs w:val="24"/>
                <w:color w:val="auto"/>
              </w:rPr>
            </w:pPr>
          </w:p>
        </w:tc>
      </w:tr>
      <w:tr>
        <w:trPr>
          <w:trHeight w:val="451"/>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Long-Term Debt - Affiliate</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75,000,000</w:t>
            </w:r>
          </w:p>
        </w:tc>
        <w:tc>
          <w:tcPr>
            <w:tcW w:w="20" w:type="dxa"/>
            <w:vAlign w:val="bottom"/>
          </w:tcPr>
          <w:p>
            <w:pPr>
              <w:spacing w:after="0"/>
              <w:rPr>
                <w:sz w:val="24"/>
                <w:szCs w:val="24"/>
                <w:color w:val="auto"/>
              </w:rPr>
            </w:pPr>
          </w:p>
        </w:tc>
      </w:tr>
      <w:tr>
        <w:trPr>
          <w:trHeight w:val="466"/>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Liabilities</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115,105,296</w:t>
            </w:r>
          </w:p>
        </w:tc>
        <w:tc>
          <w:tcPr>
            <w:tcW w:w="20" w:type="dxa"/>
            <w:vAlign w:val="bottom"/>
          </w:tcPr>
          <w:p>
            <w:pPr>
              <w:spacing w:after="0"/>
              <w:rPr>
                <w:sz w:val="24"/>
                <w:szCs w:val="24"/>
                <w:color w:val="auto"/>
              </w:rPr>
            </w:pPr>
          </w:p>
        </w:tc>
      </w:tr>
      <w:tr>
        <w:trPr>
          <w:trHeight w:val="474"/>
        </w:trPr>
        <w:tc>
          <w:tcPr>
            <w:tcW w:w="8740" w:type="dxa"/>
            <w:vAlign w:val="bottom"/>
          </w:tcPr>
          <w:p>
            <w:pPr>
              <w:spacing w:after="0"/>
              <w:rPr>
                <w:sz w:val="20"/>
                <w:szCs w:val="20"/>
                <w:color w:val="auto"/>
              </w:rPr>
            </w:pPr>
            <w:r>
              <w:rPr>
                <w:rFonts w:ascii="Arial" w:cs="Arial" w:eastAsia="Arial" w:hAnsi="Arial"/>
                <w:sz w:val="19"/>
                <w:szCs w:val="19"/>
                <w:b w:val="1"/>
                <w:bCs w:val="1"/>
                <w:color w:val="auto"/>
              </w:rPr>
              <w:t>Commitments and Contingencies (Note 7)</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1"/>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Member's Deficit</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(37,177,068)</w:t>
            </w:r>
          </w:p>
        </w:tc>
        <w:tc>
          <w:tcPr>
            <w:tcW w:w="20" w:type="dxa"/>
            <w:vAlign w:val="bottom"/>
          </w:tcPr>
          <w:p>
            <w:pPr>
              <w:spacing w:after="0"/>
              <w:rPr>
                <w:sz w:val="24"/>
                <w:szCs w:val="24"/>
                <w:color w:val="auto"/>
              </w:rPr>
            </w:pPr>
          </w:p>
        </w:tc>
      </w:tr>
      <w:tr>
        <w:trPr>
          <w:trHeight w:val="466"/>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Liabilities and Member's Deficit</w:t>
            </w:r>
          </w:p>
        </w:tc>
        <w:tc>
          <w:tcPr>
            <w:tcW w:w="92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77,928,228</w:t>
            </w:r>
          </w:p>
        </w:tc>
        <w:tc>
          <w:tcPr>
            <w:tcW w:w="20" w:type="dxa"/>
            <w:vAlign w:val="bottom"/>
          </w:tcPr>
          <w:p>
            <w:pPr>
              <w:spacing w:after="0"/>
              <w:rPr>
                <w:sz w:val="24"/>
                <w:szCs w:val="24"/>
                <w:color w:val="auto"/>
              </w:rPr>
            </w:pPr>
          </w:p>
        </w:tc>
      </w:tr>
      <w:tr>
        <w:trPr>
          <w:trHeight w:val="448"/>
        </w:trPr>
        <w:tc>
          <w:tcPr>
            <w:tcW w:w="9660" w:type="dxa"/>
            <w:vAlign w:val="bottom"/>
            <w:gridSpan w:val="2"/>
          </w:tcPr>
          <w:p>
            <w:pPr>
              <w:jc w:val="center"/>
              <w:ind w:left="1483"/>
              <w:spacing w:after="0"/>
              <w:rPr>
                <w:sz w:val="20"/>
                <w:szCs w:val="20"/>
                <w:color w:val="auto"/>
              </w:rPr>
            </w:pPr>
            <w:r>
              <w:rPr>
                <w:rFonts w:ascii="Arial" w:cs="Arial" w:eastAsia="Arial" w:hAnsi="Arial"/>
                <w:sz w:val="19"/>
                <w:szCs w:val="19"/>
                <w:i w:val="1"/>
                <w:iCs w:val="1"/>
                <w:color w:val="auto"/>
                <w:w w:val="99"/>
              </w:rPr>
              <w:t>The accompanying notes are an integral part of these consolidated financial statements.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8740" w:type="dxa"/>
            <w:vAlign w:val="bottom"/>
          </w:tcPr>
          <w:p>
            <w:pPr>
              <w:jc w:val="center"/>
              <w:ind w:left="2423"/>
              <w:spacing w:after="0"/>
              <w:rPr>
                <w:sz w:val="20"/>
                <w:szCs w:val="20"/>
                <w:color w:val="auto"/>
              </w:rPr>
            </w:pPr>
            <w:r>
              <w:rPr>
                <w:rFonts w:ascii="Arial" w:cs="Arial" w:eastAsia="Arial" w:hAnsi="Arial"/>
                <w:sz w:val="19"/>
                <w:szCs w:val="19"/>
                <w:color w:val="auto"/>
                <w:w w:val="94"/>
              </w:rPr>
              <w:t>6</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87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336"/>
        </w:trPr>
        <w:tc>
          <w:tcPr>
            <w:tcW w:w="8740" w:type="dxa"/>
            <w:vAlign w:val="bottom"/>
          </w:tcPr>
          <w:p>
            <w:pPr>
              <w:ind w:left="3000"/>
              <w:spacing w:after="0"/>
              <w:rPr>
                <w:sz w:val="20"/>
                <w:szCs w:val="20"/>
                <w:color w:val="auto"/>
              </w:rPr>
            </w:pPr>
            <w:r>
              <w:rPr>
                <w:rFonts w:ascii="Arial" w:cs="Arial" w:eastAsia="Arial" w:hAnsi="Arial"/>
                <w:sz w:val="25"/>
                <w:szCs w:val="25"/>
                <w:b w:val="1"/>
                <w:bCs w:val="1"/>
                <w:color w:val="auto"/>
              </w:rPr>
              <w:t>RAM Energy Holdings LLC and Subsidiaries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61"/>
        </w:trPr>
        <w:tc>
          <w:tcPr>
            <w:tcW w:w="8740" w:type="dxa"/>
            <w:vAlign w:val="bottom"/>
          </w:tcPr>
          <w:p>
            <w:pPr>
              <w:ind w:left="3660"/>
              <w:spacing w:after="0"/>
              <w:rPr>
                <w:sz w:val="20"/>
                <w:szCs w:val="20"/>
                <w:color w:val="auto"/>
              </w:rPr>
            </w:pPr>
            <w:r>
              <w:rPr>
                <w:rFonts w:ascii="Arial" w:cs="Arial" w:eastAsia="Arial" w:hAnsi="Arial"/>
                <w:sz w:val="22"/>
                <w:szCs w:val="22"/>
                <w:b w:val="1"/>
                <w:bCs w:val="1"/>
                <w:color w:val="auto"/>
              </w:rPr>
              <w:t>Consolidated Statement of Operations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8"/>
        </w:trPr>
        <w:tc>
          <w:tcPr>
            <w:tcW w:w="87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466"/>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46"/>
              <w:spacing w:after="0"/>
              <w:rPr>
                <w:sz w:val="20"/>
                <w:szCs w:val="20"/>
                <w:color w:val="auto"/>
              </w:rPr>
            </w:pPr>
            <w:r>
              <w:rPr>
                <w:rFonts w:ascii="Arial" w:cs="Arial" w:eastAsia="Arial" w:hAnsi="Arial"/>
                <w:sz w:val="19"/>
                <w:szCs w:val="19"/>
                <w:b w:val="1"/>
                <w:bCs w:val="1"/>
                <w:color w:val="auto"/>
              </w:rPr>
              <w:t>2019</w:t>
            </w:r>
          </w:p>
        </w:tc>
      </w:tr>
      <w:tr>
        <w:trPr>
          <w:trHeight w:val="474"/>
        </w:trPr>
        <w:tc>
          <w:tcPr>
            <w:tcW w:w="8740" w:type="dxa"/>
            <w:vAlign w:val="bottom"/>
          </w:tcPr>
          <w:p>
            <w:pPr>
              <w:spacing w:after="0"/>
              <w:rPr>
                <w:sz w:val="20"/>
                <w:szCs w:val="20"/>
                <w:color w:val="auto"/>
              </w:rPr>
            </w:pPr>
            <w:r>
              <w:rPr>
                <w:rFonts w:ascii="Arial" w:cs="Arial" w:eastAsia="Arial" w:hAnsi="Arial"/>
                <w:sz w:val="19"/>
                <w:szCs w:val="19"/>
                <w:b w:val="1"/>
                <w:bCs w:val="1"/>
                <w:color w:val="auto"/>
              </w:rPr>
              <w:t>Operating Revenues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Crude oil sales</w:t>
            </w:r>
          </w:p>
        </w:tc>
        <w:tc>
          <w:tcPr>
            <w:tcW w:w="9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13,614,137</w:t>
            </w: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Natural gas sales</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6,357,124</w:t>
            </w: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Natural gas liquids sales</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4,358,603</w:t>
            </w: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Water supply services</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800,322</w:t>
            </w:r>
          </w:p>
        </w:tc>
      </w:tr>
      <w:tr>
        <w:trPr>
          <w:trHeight w:val="221"/>
        </w:trPr>
        <w:tc>
          <w:tcPr>
            <w:tcW w:w="8740" w:type="dxa"/>
            <w:vAlign w:val="bottom"/>
            <w:tcBorders>
              <w:bottom w:val="single" w:sz="8" w:color="auto"/>
            </w:tcBorders>
          </w:tcPr>
          <w:p>
            <w:pPr>
              <w:ind w:left="260"/>
              <w:spacing w:after="0" w:line="214" w:lineRule="exact"/>
              <w:rPr>
                <w:sz w:val="20"/>
                <w:szCs w:val="20"/>
                <w:color w:val="auto"/>
              </w:rPr>
            </w:pPr>
            <w:r>
              <w:rPr>
                <w:rFonts w:ascii="Arial" w:cs="Arial" w:eastAsia="Arial" w:hAnsi="Arial"/>
                <w:sz w:val="19"/>
                <w:szCs w:val="19"/>
                <w:color w:val="auto"/>
              </w:rPr>
              <w:t>Gathering fees</w:t>
            </w: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6"/>
              <w:spacing w:after="0" w:line="214" w:lineRule="exact"/>
              <w:rPr>
                <w:sz w:val="20"/>
                <w:szCs w:val="20"/>
                <w:color w:val="auto"/>
              </w:rPr>
            </w:pPr>
            <w:r>
              <w:rPr>
                <w:rFonts w:ascii="Arial" w:cs="Arial" w:eastAsia="Arial" w:hAnsi="Arial"/>
                <w:sz w:val="19"/>
                <w:szCs w:val="19"/>
                <w:color w:val="auto"/>
              </w:rPr>
              <w:t>2,811,356</w:t>
            </w:r>
          </w:p>
        </w:tc>
      </w:tr>
      <w:tr>
        <w:trPr>
          <w:trHeight w:val="474"/>
        </w:trPr>
        <w:tc>
          <w:tcPr>
            <w:tcW w:w="8740" w:type="dxa"/>
            <w:vAlign w:val="bottom"/>
          </w:tcPr>
          <w:p>
            <w:pPr>
              <w:spacing w:after="0"/>
              <w:rPr>
                <w:sz w:val="20"/>
                <w:szCs w:val="20"/>
                <w:color w:val="auto"/>
              </w:rPr>
            </w:pPr>
            <w:r>
              <w:rPr>
                <w:rFonts w:ascii="Arial" w:cs="Arial" w:eastAsia="Arial" w:hAnsi="Arial"/>
                <w:sz w:val="19"/>
                <w:szCs w:val="19"/>
                <w:b w:val="1"/>
                <w:bCs w:val="1"/>
                <w:color w:val="auto"/>
              </w:rPr>
              <w:t>Total Revenues</w:t>
            </w:r>
          </w:p>
        </w:tc>
        <w:tc>
          <w:tcPr>
            <w:tcW w:w="920" w:type="dxa"/>
            <w:vAlign w:val="bottom"/>
          </w:tcPr>
          <w:p>
            <w:pPr>
              <w:spacing w:after="0"/>
              <w:rPr>
                <w:sz w:val="24"/>
                <w:szCs w:val="24"/>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27,941,542</w:t>
            </w:r>
          </w:p>
        </w:tc>
      </w:tr>
      <w:tr>
        <w:trPr>
          <w:trHeight w:val="459"/>
        </w:trPr>
        <w:tc>
          <w:tcPr>
            <w:tcW w:w="8740" w:type="dxa"/>
            <w:vAlign w:val="bottom"/>
          </w:tcPr>
          <w:p>
            <w:pPr>
              <w:spacing w:after="0"/>
              <w:rPr>
                <w:sz w:val="20"/>
                <w:szCs w:val="20"/>
                <w:color w:val="auto"/>
              </w:rPr>
            </w:pPr>
            <w:r>
              <w:rPr>
                <w:rFonts w:ascii="Arial" w:cs="Arial" w:eastAsia="Arial" w:hAnsi="Arial"/>
                <w:sz w:val="19"/>
                <w:szCs w:val="19"/>
                <w:b w:val="1"/>
                <w:bCs w:val="1"/>
                <w:color w:val="auto"/>
              </w:rPr>
              <w:t>Operating Expenses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Oil and natural gas operating expenses</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13,974,739</w:t>
            </w: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Oil and natural gas production taxes</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683,131</w:t>
            </w: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Water usage</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115,908</w:t>
            </w: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Depreciation, depletion and amortization</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9,581,200</w:t>
            </w: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Accretion of asset retirement obligations</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642,791</w:t>
            </w: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Bad debt expense</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29,840</w:t>
            </w:r>
          </w:p>
        </w:tc>
      </w:tr>
      <w:tr>
        <w:trPr>
          <w:trHeight w:val="218"/>
        </w:trPr>
        <w:tc>
          <w:tcPr>
            <w:tcW w:w="8740" w:type="dxa"/>
            <w:vAlign w:val="bottom"/>
          </w:tcPr>
          <w:p>
            <w:pPr>
              <w:ind w:left="260"/>
              <w:spacing w:after="0"/>
              <w:rPr>
                <w:sz w:val="20"/>
                <w:szCs w:val="20"/>
                <w:color w:val="auto"/>
              </w:rPr>
            </w:pPr>
            <w:r>
              <w:rPr>
                <w:rFonts w:ascii="Arial" w:cs="Arial" w:eastAsia="Arial" w:hAnsi="Arial"/>
                <w:sz w:val="19"/>
                <w:szCs w:val="19"/>
                <w:color w:val="auto"/>
              </w:rPr>
              <w:t>General and administrative, overhead and other</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8740" w:type="dxa"/>
            <w:vAlign w:val="bottom"/>
            <w:tcBorders>
              <w:bottom w:val="single" w:sz="8" w:color="auto"/>
            </w:tcBorders>
          </w:tcPr>
          <w:p>
            <w:pPr>
              <w:ind w:left="420"/>
              <w:spacing w:after="0" w:line="212" w:lineRule="exact"/>
              <w:rPr>
                <w:sz w:val="20"/>
                <w:szCs w:val="20"/>
                <w:color w:val="auto"/>
              </w:rPr>
            </w:pPr>
            <w:r>
              <w:rPr>
                <w:rFonts w:ascii="Arial" w:cs="Arial" w:eastAsia="Arial" w:hAnsi="Arial"/>
                <w:sz w:val="19"/>
                <w:szCs w:val="19"/>
                <w:color w:val="auto"/>
              </w:rPr>
              <w:t>expenses, net of operator's overhead fees</w:t>
            </w: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6"/>
              <w:spacing w:after="0" w:line="212" w:lineRule="exact"/>
              <w:rPr>
                <w:sz w:val="20"/>
                <w:szCs w:val="20"/>
                <w:color w:val="auto"/>
              </w:rPr>
            </w:pPr>
            <w:r>
              <w:rPr>
                <w:rFonts w:ascii="Arial" w:cs="Arial" w:eastAsia="Arial" w:hAnsi="Arial"/>
                <w:sz w:val="19"/>
                <w:szCs w:val="19"/>
                <w:color w:val="auto"/>
              </w:rPr>
              <w:t>4,828,700</w:t>
            </w:r>
          </w:p>
        </w:tc>
      </w:tr>
      <w:tr>
        <w:trPr>
          <w:trHeight w:val="466"/>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Operating Expenses</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29,856,309</w:t>
            </w:r>
          </w:p>
        </w:tc>
      </w:tr>
      <w:tr>
        <w:trPr>
          <w:trHeight w:val="475"/>
        </w:trPr>
        <w:tc>
          <w:tcPr>
            <w:tcW w:w="8740" w:type="dxa"/>
            <w:vAlign w:val="bottom"/>
          </w:tcPr>
          <w:p>
            <w:pPr>
              <w:spacing w:after="0"/>
              <w:rPr>
                <w:sz w:val="20"/>
                <w:szCs w:val="20"/>
                <w:color w:val="auto"/>
              </w:rPr>
            </w:pPr>
            <w:r>
              <w:rPr>
                <w:rFonts w:ascii="Arial" w:cs="Arial" w:eastAsia="Arial" w:hAnsi="Arial"/>
                <w:sz w:val="19"/>
                <w:szCs w:val="19"/>
                <w:b w:val="1"/>
                <w:bCs w:val="1"/>
                <w:color w:val="auto"/>
              </w:rPr>
              <w:t>Loss from Operations</w:t>
            </w:r>
          </w:p>
        </w:tc>
        <w:tc>
          <w:tcPr>
            <w:tcW w:w="9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(1,914,767)</w:t>
            </w:r>
          </w:p>
        </w:tc>
      </w:tr>
      <w:tr>
        <w:trPr>
          <w:trHeight w:val="459"/>
        </w:trPr>
        <w:tc>
          <w:tcPr>
            <w:tcW w:w="8740" w:type="dxa"/>
            <w:vAlign w:val="bottom"/>
          </w:tcPr>
          <w:p>
            <w:pPr>
              <w:spacing w:after="0"/>
              <w:rPr>
                <w:sz w:val="20"/>
                <w:szCs w:val="20"/>
                <w:color w:val="auto"/>
              </w:rPr>
            </w:pPr>
            <w:r>
              <w:rPr>
                <w:rFonts w:ascii="Arial" w:cs="Arial" w:eastAsia="Arial" w:hAnsi="Arial"/>
                <w:sz w:val="19"/>
                <w:szCs w:val="19"/>
                <w:b w:val="1"/>
                <w:bCs w:val="1"/>
                <w:color w:val="auto"/>
              </w:rPr>
              <w:t>Other Income (Expense)</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Interest expense</w:t>
            </w:r>
          </w:p>
        </w:tc>
        <w:tc>
          <w:tcPr>
            <w:tcW w:w="9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(5,212,222)</w:t>
            </w: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Interest income</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133,544</w:t>
            </w: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Gains on sales of assets</w:t>
            </w:r>
          </w:p>
        </w:tc>
        <w:tc>
          <w:tcPr>
            <w:tcW w:w="92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14,796</w:t>
            </w:r>
          </w:p>
        </w:tc>
      </w:tr>
      <w:tr>
        <w:trPr>
          <w:trHeight w:val="221"/>
        </w:trPr>
        <w:tc>
          <w:tcPr>
            <w:tcW w:w="8740" w:type="dxa"/>
            <w:vAlign w:val="bottom"/>
            <w:tcBorders>
              <w:bottom w:val="single" w:sz="8" w:color="auto"/>
            </w:tcBorders>
          </w:tcPr>
          <w:p>
            <w:pPr>
              <w:ind w:left="260"/>
              <w:spacing w:after="0" w:line="214" w:lineRule="exact"/>
              <w:rPr>
                <w:sz w:val="20"/>
                <w:szCs w:val="20"/>
                <w:color w:val="auto"/>
              </w:rPr>
            </w:pPr>
            <w:r>
              <w:rPr>
                <w:rFonts w:ascii="Arial" w:cs="Arial" w:eastAsia="Arial" w:hAnsi="Arial"/>
                <w:sz w:val="19"/>
                <w:szCs w:val="19"/>
                <w:color w:val="auto"/>
              </w:rPr>
              <w:t>Other income, net</w:t>
            </w: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6"/>
              <w:spacing w:after="0" w:line="214" w:lineRule="exact"/>
              <w:rPr>
                <w:sz w:val="20"/>
                <w:szCs w:val="20"/>
                <w:color w:val="auto"/>
              </w:rPr>
            </w:pPr>
            <w:r>
              <w:rPr>
                <w:rFonts w:ascii="Arial" w:cs="Arial" w:eastAsia="Arial" w:hAnsi="Arial"/>
                <w:sz w:val="19"/>
                <w:szCs w:val="19"/>
                <w:color w:val="auto"/>
              </w:rPr>
              <w:t>637,562</w:t>
            </w:r>
          </w:p>
        </w:tc>
      </w:tr>
      <w:tr>
        <w:trPr>
          <w:trHeight w:val="466"/>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Other Expense</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(4,426,320)</w:t>
            </w:r>
          </w:p>
        </w:tc>
      </w:tr>
      <w:tr>
        <w:trPr>
          <w:trHeight w:val="480"/>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Loss</w:t>
            </w:r>
          </w:p>
        </w:tc>
        <w:tc>
          <w:tcPr>
            <w:tcW w:w="92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(6,341,087)</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Statement of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475"/>
              <w:spacing w:after="0"/>
              <w:rPr>
                <w:sz w:val="20"/>
                <w:szCs w:val="20"/>
                <w:color w:val="auto"/>
              </w:rPr>
            </w:pPr>
            <w:r>
              <w:rPr>
                <w:rFonts w:ascii="Arial" w:cs="Arial" w:eastAsia="Arial" w:hAnsi="Arial"/>
                <w:sz w:val="14"/>
                <w:szCs w:val="14"/>
                <w:b w:val="1"/>
                <w:bCs w:val="1"/>
                <w:color w:val="auto"/>
              </w:rPr>
              <w:t>Member's</w:t>
            </w:r>
          </w:p>
        </w:tc>
        <w:tc>
          <w:tcPr>
            <w:tcW w:w="20" w:type="dxa"/>
            <w:vAlign w:val="bottom"/>
          </w:tcPr>
          <w:p>
            <w:pPr>
              <w:spacing w:after="0"/>
              <w:rPr>
                <w:sz w:val="14"/>
                <w:szCs w:val="14"/>
                <w:color w:val="auto"/>
              </w:rPr>
            </w:pPr>
          </w:p>
        </w:tc>
      </w:tr>
      <w:tr>
        <w:trPr>
          <w:trHeight w:val="196"/>
        </w:trPr>
        <w:tc>
          <w:tcPr>
            <w:tcW w:w="408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Units</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7"/>
                <w:szCs w:val="17"/>
                <w:color w:val="auto"/>
              </w:rPr>
            </w:pPr>
          </w:p>
        </w:tc>
      </w:tr>
      <w:tr>
        <w:trPr>
          <w:trHeight w:val="421"/>
        </w:trPr>
        <w:tc>
          <w:tcPr>
            <w:tcW w:w="4080" w:type="dxa"/>
            <w:vAlign w:val="bottom"/>
          </w:tcPr>
          <w:p>
            <w:pPr>
              <w:spacing w:after="0"/>
              <w:rPr>
                <w:sz w:val="20"/>
                <w:szCs w:val="20"/>
                <w:color w:val="auto"/>
              </w:rPr>
            </w:pPr>
            <w:r>
              <w:rPr>
                <w:rFonts w:ascii="Arial" w:cs="Arial" w:eastAsia="Arial" w:hAnsi="Arial"/>
                <w:sz w:val="19"/>
                <w:szCs w:val="19"/>
                <w:b w:val="1"/>
                <w:bCs w:val="1"/>
                <w:color w:val="auto"/>
              </w:rPr>
              <w:t>Balance, October 1, 2018</w:t>
            </w:r>
          </w:p>
        </w:tc>
        <w:tc>
          <w:tcPr>
            <w:tcW w:w="5360" w:type="dxa"/>
            <w:vAlign w:val="bottom"/>
          </w:tcPr>
          <w:p>
            <w:pPr>
              <w:jc w:val="right"/>
              <w:ind w:right="70"/>
              <w:spacing w:after="0"/>
              <w:rPr>
                <w:sz w:val="20"/>
                <w:szCs w:val="20"/>
                <w:color w:val="auto"/>
              </w:rPr>
            </w:pPr>
            <w:r>
              <w:rPr>
                <w:rFonts w:ascii="Arial" w:cs="Arial" w:eastAsia="Arial" w:hAnsi="Arial"/>
                <w:sz w:val="19"/>
                <w:szCs w:val="19"/>
                <w:color w:val="auto"/>
              </w:rPr>
              <w:t>84,747</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(30,835,981)</w:t>
            </w:r>
          </w:p>
        </w:tc>
        <w:tc>
          <w:tcPr>
            <w:tcW w:w="20" w:type="dxa"/>
            <w:vAlign w:val="bottom"/>
          </w:tcPr>
          <w:p>
            <w:pPr>
              <w:spacing w:after="0"/>
              <w:rPr>
                <w:sz w:val="24"/>
                <w:szCs w:val="24"/>
                <w:color w:val="auto"/>
              </w:rPr>
            </w:pPr>
          </w:p>
        </w:tc>
      </w:tr>
      <w:tr>
        <w:trPr>
          <w:trHeight w:val="450"/>
        </w:trPr>
        <w:tc>
          <w:tcPr>
            <w:tcW w:w="40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Net loss</w:t>
            </w:r>
          </w:p>
        </w:tc>
        <w:tc>
          <w:tcPr>
            <w:tcW w:w="5360" w:type="dxa"/>
            <w:vAlign w:val="bottom"/>
            <w:tcBorders>
              <w:bottom w:val="single" w:sz="8" w:color="auto"/>
            </w:tcBorders>
          </w:tcPr>
          <w:p>
            <w:pPr>
              <w:jc w:val="right"/>
              <w:ind w:right="70"/>
              <w:spacing w:after="0"/>
              <w:rPr>
                <w:sz w:val="20"/>
                <w:szCs w:val="20"/>
                <w:color w:val="auto"/>
              </w:rPr>
            </w:pPr>
            <w:r>
              <w:rPr>
                <w:rFonts w:ascii="Arial" w:cs="Arial" w:eastAsia="Arial" w:hAnsi="Arial"/>
                <w:sz w:val="19"/>
                <w:szCs w:val="19"/>
                <w:color w:val="auto"/>
              </w:rPr>
              <w:t>-</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(6,341,087)</w:t>
            </w:r>
          </w:p>
        </w:tc>
        <w:tc>
          <w:tcPr>
            <w:tcW w:w="20" w:type="dxa"/>
            <w:vAlign w:val="bottom"/>
          </w:tcPr>
          <w:p>
            <w:pPr>
              <w:spacing w:after="0"/>
              <w:rPr>
                <w:sz w:val="24"/>
                <w:szCs w:val="24"/>
                <w:color w:val="auto"/>
              </w:rPr>
            </w:pPr>
          </w:p>
        </w:tc>
      </w:tr>
      <w:tr>
        <w:trPr>
          <w:trHeight w:val="480"/>
        </w:trPr>
        <w:tc>
          <w:tcPr>
            <w:tcW w:w="40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Balance, September 30, 2019</w:t>
            </w:r>
          </w:p>
        </w:tc>
        <w:tc>
          <w:tcPr>
            <w:tcW w:w="5360" w:type="dxa"/>
            <w:vAlign w:val="bottom"/>
            <w:tcBorders>
              <w:bottom w:val="single" w:sz="8" w:color="auto"/>
            </w:tcBorders>
          </w:tcPr>
          <w:p>
            <w:pPr>
              <w:jc w:val="right"/>
              <w:ind w:right="70"/>
              <w:spacing w:after="0"/>
              <w:rPr>
                <w:sz w:val="20"/>
                <w:szCs w:val="20"/>
                <w:color w:val="auto"/>
              </w:rPr>
            </w:pPr>
            <w:r>
              <w:rPr>
                <w:rFonts w:ascii="Arial" w:cs="Arial" w:eastAsia="Arial" w:hAnsi="Arial"/>
                <w:sz w:val="19"/>
                <w:szCs w:val="19"/>
                <w:color w:val="auto"/>
              </w:rPr>
              <w:t>84,747</w:t>
            </w: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w:t>
            </w: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9"/>
                <w:szCs w:val="19"/>
                <w:color w:val="auto"/>
              </w:rPr>
              <w:t>37,177,068</w:t>
            </w:r>
          </w:p>
        </w:tc>
        <w:tc>
          <w:tcPr>
            <w:tcW w:w="20" w:type="dxa"/>
            <w:vAlign w:val="bottom"/>
          </w:tcPr>
          <w:p>
            <w:pPr>
              <w:spacing w:after="0"/>
              <w:rPr>
                <w:sz w:val="24"/>
                <w:szCs w:val="24"/>
                <w:color w:val="auto"/>
              </w:rPr>
            </w:pPr>
          </w:p>
        </w:tc>
      </w:tr>
      <w:tr>
        <w:trPr>
          <w:trHeight w:val="448"/>
        </w:trPr>
        <w:tc>
          <w:tcPr>
            <w:tcW w:w="9440" w:type="dxa"/>
            <w:vAlign w:val="bottom"/>
            <w:gridSpan w:val="2"/>
          </w:tcPr>
          <w:p>
            <w:pPr>
              <w:jc w:val="right"/>
              <w:ind w:right="5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4080" w:type="dxa"/>
            <w:vAlign w:val="bottom"/>
          </w:tcPr>
          <w:p>
            <w:pPr>
              <w:spacing w:after="0"/>
              <w:rPr>
                <w:sz w:val="24"/>
                <w:szCs w:val="24"/>
                <w:color w:val="auto"/>
              </w:rPr>
            </w:pPr>
          </w:p>
        </w:tc>
        <w:tc>
          <w:tcPr>
            <w:tcW w:w="5360" w:type="dxa"/>
            <w:vAlign w:val="bottom"/>
          </w:tcPr>
          <w:p>
            <w:pPr>
              <w:jc w:val="right"/>
              <w:ind w:right="3670"/>
              <w:spacing w:after="0"/>
              <w:rPr>
                <w:sz w:val="20"/>
                <w:szCs w:val="20"/>
                <w:color w:val="auto"/>
              </w:rPr>
            </w:pPr>
            <w:r>
              <w:rPr>
                <w:rFonts w:ascii="Arial" w:cs="Arial" w:eastAsia="Arial" w:hAnsi="Arial"/>
                <w:sz w:val="19"/>
                <w:szCs w:val="19"/>
                <w:color w:val="auto"/>
              </w:rPr>
              <w:t>8</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080" w:type="dxa"/>
            <w:vAlign w:val="bottom"/>
            <w:tcBorders>
              <w:bottom w:val="single" w:sz="8" w:color="9A9A9A"/>
            </w:tcBorders>
          </w:tcPr>
          <w:p>
            <w:pPr>
              <w:spacing w:after="0"/>
              <w:rPr>
                <w:sz w:val="8"/>
                <w:szCs w:val="8"/>
                <w:color w:val="auto"/>
              </w:rPr>
            </w:pPr>
          </w:p>
        </w:tc>
        <w:tc>
          <w:tcPr>
            <w:tcW w:w="5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336"/>
        </w:trPr>
        <w:tc>
          <w:tcPr>
            <w:tcW w:w="8740" w:type="dxa"/>
            <w:vAlign w:val="bottom"/>
          </w:tcPr>
          <w:p>
            <w:pPr>
              <w:ind w:left="3000"/>
              <w:spacing w:after="0"/>
              <w:rPr>
                <w:sz w:val="20"/>
                <w:szCs w:val="20"/>
                <w:color w:val="auto"/>
              </w:rPr>
            </w:pPr>
            <w:r>
              <w:rPr>
                <w:rFonts w:ascii="Arial" w:cs="Arial" w:eastAsia="Arial" w:hAnsi="Arial"/>
                <w:sz w:val="25"/>
                <w:szCs w:val="25"/>
                <w:b w:val="1"/>
                <w:bCs w:val="1"/>
                <w:color w:val="auto"/>
              </w:rPr>
              <w:t>RAM Energy Holdings LLC and Subsidiaries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60"/>
        </w:trPr>
        <w:tc>
          <w:tcPr>
            <w:tcW w:w="8740" w:type="dxa"/>
            <w:vAlign w:val="bottom"/>
          </w:tcPr>
          <w:p>
            <w:pPr>
              <w:ind w:left="3620"/>
              <w:spacing w:after="0"/>
              <w:rPr>
                <w:sz w:val="20"/>
                <w:szCs w:val="20"/>
                <w:color w:val="auto"/>
              </w:rPr>
            </w:pPr>
            <w:r>
              <w:rPr>
                <w:rFonts w:ascii="Arial" w:cs="Arial" w:eastAsia="Arial" w:hAnsi="Arial"/>
                <w:sz w:val="22"/>
                <w:szCs w:val="22"/>
                <w:b w:val="1"/>
                <w:bCs w:val="1"/>
                <w:color w:val="auto"/>
              </w:rPr>
              <w:t>Consolidated Statement of Cash Flows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92"/>
        </w:trPr>
        <w:tc>
          <w:tcPr>
            <w:tcW w:w="87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r>
      <w:tr>
        <w:trPr>
          <w:trHeight w:val="479"/>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46"/>
              <w:spacing w:after="0"/>
              <w:rPr>
                <w:sz w:val="20"/>
                <w:szCs w:val="20"/>
                <w:color w:val="auto"/>
              </w:rPr>
            </w:pPr>
            <w:r>
              <w:rPr>
                <w:rFonts w:ascii="Arial" w:cs="Arial" w:eastAsia="Arial" w:hAnsi="Arial"/>
                <w:sz w:val="19"/>
                <w:szCs w:val="19"/>
                <w:b w:val="1"/>
                <w:bCs w:val="1"/>
                <w:color w:val="auto"/>
              </w:rPr>
              <w:t>2019</w:t>
            </w:r>
          </w:p>
        </w:tc>
      </w:tr>
      <w:tr>
        <w:trPr>
          <w:trHeight w:val="475"/>
        </w:trPr>
        <w:tc>
          <w:tcPr>
            <w:tcW w:w="8740" w:type="dxa"/>
            <w:vAlign w:val="bottom"/>
          </w:tcPr>
          <w:p>
            <w:pPr>
              <w:spacing w:after="0"/>
              <w:rPr>
                <w:sz w:val="20"/>
                <w:szCs w:val="20"/>
                <w:color w:val="auto"/>
              </w:rPr>
            </w:pPr>
            <w:r>
              <w:rPr>
                <w:rFonts w:ascii="Arial" w:cs="Arial" w:eastAsia="Arial" w:hAnsi="Arial"/>
                <w:sz w:val="19"/>
                <w:szCs w:val="19"/>
                <w:b w:val="1"/>
                <w:bCs w:val="1"/>
                <w:i w:val="1"/>
                <w:iCs w:val="1"/>
                <w:color w:val="auto"/>
              </w:rPr>
              <w:t>Cash Flows from Operating Activities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Net loss</w:t>
            </w:r>
          </w:p>
        </w:tc>
        <w:tc>
          <w:tcPr>
            <w:tcW w:w="9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Pr>
          <w:p>
            <w:pPr>
              <w:jc w:val="right"/>
              <w:spacing w:after="0"/>
              <w:rPr>
                <w:sz w:val="20"/>
                <w:szCs w:val="20"/>
                <w:color w:val="auto"/>
              </w:rPr>
            </w:pPr>
            <w:r>
              <w:rPr>
                <w:rFonts w:ascii="Arial" w:cs="Arial" w:eastAsia="Arial" w:hAnsi="Arial"/>
                <w:sz w:val="19"/>
                <w:szCs w:val="19"/>
                <w:color w:val="auto"/>
              </w:rPr>
              <w:t>(6,341,087)</w:t>
            </w:r>
          </w:p>
        </w:tc>
      </w:tr>
      <w:tr>
        <w:trPr>
          <w:trHeight w:val="218"/>
        </w:trPr>
        <w:tc>
          <w:tcPr>
            <w:tcW w:w="8740" w:type="dxa"/>
            <w:vAlign w:val="bottom"/>
          </w:tcPr>
          <w:p>
            <w:pPr>
              <w:ind w:left="260"/>
              <w:spacing w:after="0"/>
              <w:rPr>
                <w:sz w:val="20"/>
                <w:szCs w:val="20"/>
                <w:color w:val="auto"/>
              </w:rPr>
            </w:pPr>
            <w:r>
              <w:rPr>
                <w:rFonts w:ascii="Arial" w:cs="Arial" w:eastAsia="Arial" w:hAnsi="Arial"/>
                <w:sz w:val="19"/>
                <w:szCs w:val="19"/>
                <w:color w:val="auto"/>
              </w:rPr>
              <w:t>Adjustments to reconcile net loss to net cash</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7"/>
        </w:trPr>
        <w:tc>
          <w:tcPr>
            <w:tcW w:w="8740" w:type="dxa"/>
            <w:vAlign w:val="bottom"/>
          </w:tcPr>
          <w:p>
            <w:pPr>
              <w:ind w:left="260"/>
              <w:spacing w:after="0"/>
              <w:rPr>
                <w:sz w:val="20"/>
                <w:szCs w:val="20"/>
                <w:color w:val="auto"/>
              </w:rPr>
            </w:pPr>
            <w:r>
              <w:rPr>
                <w:rFonts w:ascii="Arial" w:cs="Arial" w:eastAsia="Arial" w:hAnsi="Arial"/>
                <w:sz w:val="19"/>
                <w:szCs w:val="19"/>
                <w:color w:val="auto"/>
              </w:rPr>
              <w:t>provided by operating activities:</w:t>
            </w:r>
          </w:p>
        </w:tc>
        <w:tc>
          <w:tcPr>
            <w:tcW w:w="9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8740" w:type="dxa"/>
            <w:vAlign w:val="bottom"/>
          </w:tcPr>
          <w:p>
            <w:pPr>
              <w:ind w:left="500"/>
              <w:spacing w:after="0"/>
              <w:rPr>
                <w:sz w:val="20"/>
                <w:szCs w:val="20"/>
                <w:color w:val="auto"/>
              </w:rPr>
            </w:pPr>
            <w:r>
              <w:rPr>
                <w:rFonts w:ascii="Arial" w:cs="Arial" w:eastAsia="Arial" w:hAnsi="Arial"/>
                <w:sz w:val="19"/>
                <w:szCs w:val="19"/>
                <w:color w:val="auto"/>
              </w:rPr>
              <w:t>Depreciation, depletion and amortization</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9,581,200</w:t>
            </w:r>
          </w:p>
        </w:tc>
      </w:tr>
      <w:tr>
        <w:trPr>
          <w:trHeight w:val="229"/>
        </w:trPr>
        <w:tc>
          <w:tcPr>
            <w:tcW w:w="8740" w:type="dxa"/>
            <w:vAlign w:val="bottom"/>
          </w:tcPr>
          <w:p>
            <w:pPr>
              <w:ind w:left="500"/>
              <w:spacing w:after="0"/>
              <w:rPr>
                <w:sz w:val="20"/>
                <w:szCs w:val="20"/>
                <w:color w:val="auto"/>
              </w:rPr>
            </w:pPr>
            <w:r>
              <w:rPr>
                <w:rFonts w:ascii="Arial" w:cs="Arial" w:eastAsia="Arial" w:hAnsi="Arial"/>
                <w:sz w:val="19"/>
                <w:szCs w:val="19"/>
                <w:color w:val="auto"/>
              </w:rPr>
              <w:t>Accretion of asset retirement obligations</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642,791</w:t>
            </w:r>
          </w:p>
        </w:tc>
      </w:tr>
      <w:tr>
        <w:trPr>
          <w:trHeight w:val="230"/>
        </w:trPr>
        <w:tc>
          <w:tcPr>
            <w:tcW w:w="8740" w:type="dxa"/>
            <w:vAlign w:val="bottom"/>
          </w:tcPr>
          <w:p>
            <w:pPr>
              <w:ind w:left="500"/>
              <w:spacing w:after="0"/>
              <w:rPr>
                <w:sz w:val="20"/>
                <w:szCs w:val="20"/>
                <w:color w:val="auto"/>
              </w:rPr>
            </w:pPr>
            <w:r>
              <w:rPr>
                <w:rFonts w:ascii="Arial" w:cs="Arial" w:eastAsia="Arial" w:hAnsi="Arial"/>
                <w:sz w:val="19"/>
                <w:szCs w:val="19"/>
                <w:color w:val="auto"/>
              </w:rPr>
              <w:t>Bad debt expense</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29,840</w:t>
            </w:r>
          </w:p>
        </w:tc>
      </w:tr>
      <w:tr>
        <w:trPr>
          <w:trHeight w:val="229"/>
        </w:trPr>
        <w:tc>
          <w:tcPr>
            <w:tcW w:w="8740" w:type="dxa"/>
            <w:vAlign w:val="bottom"/>
          </w:tcPr>
          <w:p>
            <w:pPr>
              <w:ind w:left="500"/>
              <w:spacing w:after="0"/>
              <w:rPr>
                <w:sz w:val="20"/>
                <w:szCs w:val="20"/>
                <w:color w:val="auto"/>
              </w:rPr>
            </w:pPr>
            <w:r>
              <w:rPr>
                <w:rFonts w:ascii="Arial" w:cs="Arial" w:eastAsia="Arial" w:hAnsi="Arial"/>
                <w:sz w:val="19"/>
                <w:szCs w:val="19"/>
                <w:color w:val="auto"/>
              </w:rPr>
              <w:t>Gains on sales of assets</w:t>
            </w:r>
          </w:p>
        </w:tc>
        <w:tc>
          <w:tcPr>
            <w:tcW w:w="9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(14,796)</w:t>
            </w: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Changes in operating assets and liabilities:</w:t>
            </w:r>
          </w:p>
        </w:tc>
        <w:tc>
          <w:tcPr>
            <w:tcW w:w="9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8740" w:type="dxa"/>
            <w:vAlign w:val="bottom"/>
          </w:tcPr>
          <w:p>
            <w:pPr>
              <w:ind w:left="500"/>
              <w:spacing w:after="0"/>
              <w:rPr>
                <w:sz w:val="20"/>
                <w:szCs w:val="20"/>
                <w:color w:val="auto"/>
              </w:rPr>
            </w:pPr>
            <w:r>
              <w:rPr>
                <w:rFonts w:ascii="Arial" w:cs="Arial" w:eastAsia="Arial" w:hAnsi="Arial"/>
                <w:sz w:val="19"/>
                <w:szCs w:val="19"/>
                <w:color w:val="auto"/>
              </w:rPr>
              <w:t>Accounts receivable</w:t>
            </w:r>
          </w:p>
        </w:tc>
        <w:tc>
          <w:tcPr>
            <w:tcW w:w="9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(4,786,246)</w:t>
            </w:r>
          </w:p>
        </w:tc>
      </w:tr>
      <w:tr>
        <w:trPr>
          <w:trHeight w:val="229"/>
        </w:trPr>
        <w:tc>
          <w:tcPr>
            <w:tcW w:w="8740" w:type="dxa"/>
            <w:vAlign w:val="bottom"/>
          </w:tcPr>
          <w:p>
            <w:pPr>
              <w:ind w:left="500"/>
              <w:spacing w:after="0"/>
              <w:rPr>
                <w:sz w:val="20"/>
                <w:szCs w:val="20"/>
                <w:color w:val="auto"/>
              </w:rPr>
            </w:pPr>
            <w:r>
              <w:rPr>
                <w:rFonts w:ascii="Arial" w:cs="Arial" w:eastAsia="Arial" w:hAnsi="Arial"/>
                <w:sz w:val="19"/>
                <w:szCs w:val="19"/>
                <w:color w:val="auto"/>
              </w:rPr>
              <w:t>Prepaid expenses and other assets</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13,484</w:t>
            </w:r>
          </w:p>
        </w:tc>
      </w:tr>
      <w:tr>
        <w:trPr>
          <w:trHeight w:val="230"/>
        </w:trPr>
        <w:tc>
          <w:tcPr>
            <w:tcW w:w="8740" w:type="dxa"/>
            <w:vAlign w:val="bottom"/>
          </w:tcPr>
          <w:p>
            <w:pPr>
              <w:ind w:left="500"/>
              <w:spacing w:after="0"/>
              <w:rPr>
                <w:sz w:val="20"/>
                <w:szCs w:val="20"/>
                <w:color w:val="auto"/>
              </w:rPr>
            </w:pPr>
            <w:r>
              <w:rPr>
                <w:rFonts w:ascii="Arial" w:cs="Arial" w:eastAsia="Arial" w:hAnsi="Arial"/>
                <w:sz w:val="19"/>
                <w:szCs w:val="19"/>
                <w:color w:val="auto"/>
              </w:rPr>
              <w:t>Accounts payable and revenue payable</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20,944,181</w:t>
            </w:r>
          </w:p>
        </w:tc>
      </w:tr>
      <w:tr>
        <w:trPr>
          <w:trHeight w:val="229"/>
        </w:trPr>
        <w:tc>
          <w:tcPr>
            <w:tcW w:w="8740" w:type="dxa"/>
            <w:vAlign w:val="bottom"/>
          </w:tcPr>
          <w:p>
            <w:pPr>
              <w:ind w:left="500"/>
              <w:spacing w:after="0"/>
              <w:rPr>
                <w:sz w:val="20"/>
                <w:szCs w:val="20"/>
                <w:color w:val="auto"/>
              </w:rPr>
            </w:pPr>
            <w:r>
              <w:rPr>
                <w:rFonts w:ascii="Arial" w:cs="Arial" w:eastAsia="Arial" w:hAnsi="Arial"/>
                <w:sz w:val="19"/>
                <w:szCs w:val="19"/>
                <w:color w:val="auto"/>
              </w:rPr>
              <w:t>Drilling advances</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3,441,260</w:t>
            </w:r>
          </w:p>
        </w:tc>
      </w:tr>
      <w:tr>
        <w:trPr>
          <w:trHeight w:val="229"/>
        </w:trPr>
        <w:tc>
          <w:tcPr>
            <w:tcW w:w="8740" w:type="dxa"/>
            <w:vAlign w:val="bottom"/>
          </w:tcPr>
          <w:p>
            <w:pPr>
              <w:ind w:left="500"/>
              <w:spacing w:after="0"/>
              <w:rPr>
                <w:sz w:val="20"/>
                <w:szCs w:val="20"/>
                <w:color w:val="auto"/>
              </w:rPr>
            </w:pPr>
            <w:r>
              <w:rPr>
                <w:rFonts w:ascii="Arial" w:cs="Arial" w:eastAsia="Arial" w:hAnsi="Arial"/>
                <w:sz w:val="19"/>
                <w:szCs w:val="19"/>
                <w:color w:val="auto"/>
              </w:rPr>
              <w:t>Settlements of asset retirement obligations</w:t>
            </w:r>
          </w:p>
        </w:tc>
        <w:tc>
          <w:tcPr>
            <w:tcW w:w="9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(400,446)</w:t>
            </w:r>
          </w:p>
        </w:tc>
      </w:tr>
      <w:tr>
        <w:trPr>
          <w:trHeight w:val="221"/>
        </w:trPr>
        <w:tc>
          <w:tcPr>
            <w:tcW w:w="8740" w:type="dxa"/>
            <w:vAlign w:val="bottom"/>
            <w:tcBorders>
              <w:bottom w:val="single" w:sz="8" w:color="auto"/>
            </w:tcBorders>
          </w:tcPr>
          <w:p>
            <w:pPr>
              <w:ind w:left="500"/>
              <w:spacing w:after="0" w:line="214" w:lineRule="exact"/>
              <w:rPr>
                <w:sz w:val="20"/>
                <w:szCs w:val="20"/>
                <w:color w:val="auto"/>
              </w:rPr>
            </w:pPr>
            <w:r>
              <w:rPr>
                <w:rFonts w:ascii="Arial" w:cs="Arial" w:eastAsia="Arial" w:hAnsi="Arial"/>
                <w:sz w:val="19"/>
                <w:szCs w:val="19"/>
                <w:color w:val="auto"/>
              </w:rPr>
              <w:t>Accrued liabilities</w:t>
            </w: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
              <w:spacing w:after="0" w:line="214" w:lineRule="exact"/>
              <w:rPr>
                <w:sz w:val="20"/>
                <w:szCs w:val="20"/>
                <w:color w:val="auto"/>
              </w:rPr>
            </w:pPr>
            <w:r>
              <w:rPr>
                <w:rFonts w:ascii="Arial" w:cs="Arial" w:eastAsia="Arial" w:hAnsi="Arial"/>
                <w:sz w:val="19"/>
                <w:szCs w:val="19"/>
                <w:color w:val="auto"/>
              </w:rPr>
              <w:t>707,942</w:t>
            </w:r>
          </w:p>
        </w:tc>
      </w:tr>
      <w:tr>
        <w:trPr>
          <w:trHeight w:val="466"/>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Provided by Operating Activities</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23,818,123</w:t>
            </w:r>
          </w:p>
        </w:tc>
      </w:tr>
      <w:tr>
        <w:trPr>
          <w:trHeight w:val="474"/>
        </w:trPr>
        <w:tc>
          <w:tcPr>
            <w:tcW w:w="8740" w:type="dxa"/>
            <w:vAlign w:val="bottom"/>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8"/>
        </w:trPr>
        <w:tc>
          <w:tcPr>
            <w:tcW w:w="8740" w:type="dxa"/>
            <w:vAlign w:val="bottom"/>
          </w:tcPr>
          <w:p>
            <w:pPr>
              <w:ind w:left="260"/>
              <w:spacing w:after="0"/>
              <w:rPr>
                <w:sz w:val="20"/>
                <w:szCs w:val="20"/>
                <w:color w:val="auto"/>
              </w:rPr>
            </w:pPr>
            <w:r>
              <w:rPr>
                <w:rFonts w:ascii="Arial" w:cs="Arial" w:eastAsia="Arial" w:hAnsi="Arial"/>
                <w:sz w:val="19"/>
                <w:szCs w:val="19"/>
                <w:color w:val="auto"/>
              </w:rPr>
              <w:t>Payments for oil and natural gas properties and</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7"/>
        </w:trPr>
        <w:tc>
          <w:tcPr>
            <w:tcW w:w="8740" w:type="dxa"/>
            <w:vAlign w:val="bottom"/>
          </w:tcPr>
          <w:p>
            <w:pPr>
              <w:ind w:left="420"/>
              <w:spacing w:after="0"/>
              <w:rPr>
                <w:sz w:val="20"/>
                <w:szCs w:val="20"/>
                <w:color w:val="auto"/>
              </w:rPr>
            </w:pPr>
            <w:r>
              <w:rPr>
                <w:rFonts w:ascii="Arial" w:cs="Arial" w:eastAsia="Arial" w:hAnsi="Arial"/>
                <w:sz w:val="19"/>
                <w:szCs w:val="19"/>
                <w:color w:val="auto"/>
              </w:rPr>
              <w:t>equipment</w:t>
            </w:r>
          </w:p>
        </w:tc>
        <w:tc>
          <w:tcPr>
            <w:tcW w:w="9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(53,780,398)</w:t>
            </w: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Proceeds from sales of oil and natural gas properties</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588,000</w:t>
            </w:r>
          </w:p>
        </w:tc>
      </w:tr>
      <w:tr>
        <w:trPr>
          <w:trHeight w:val="230"/>
        </w:trPr>
        <w:tc>
          <w:tcPr>
            <w:tcW w:w="8740" w:type="dxa"/>
            <w:vAlign w:val="bottom"/>
          </w:tcPr>
          <w:p>
            <w:pPr>
              <w:ind w:left="260"/>
              <w:spacing w:after="0"/>
              <w:rPr>
                <w:sz w:val="20"/>
                <w:szCs w:val="20"/>
                <w:color w:val="auto"/>
              </w:rPr>
            </w:pPr>
            <w:r>
              <w:rPr>
                <w:rFonts w:ascii="Arial" w:cs="Arial" w:eastAsia="Arial" w:hAnsi="Arial"/>
                <w:sz w:val="19"/>
                <w:szCs w:val="19"/>
                <w:color w:val="auto"/>
              </w:rPr>
              <w:t>Proceeds from sales of other property and equipment</w:t>
            </w:r>
          </w:p>
        </w:tc>
        <w:tc>
          <w:tcPr>
            <w:tcW w:w="920" w:type="dxa"/>
            <w:vAlign w:val="bottom"/>
          </w:tcPr>
          <w:p>
            <w:pPr>
              <w:spacing w:after="0"/>
              <w:rPr>
                <w:sz w:val="19"/>
                <w:szCs w:val="19"/>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26,000</w:t>
            </w:r>
          </w:p>
        </w:tc>
      </w:tr>
      <w:tr>
        <w:trPr>
          <w:trHeight w:val="221"/>
        </w:trPr>
        <w:tc>
          <w:tcPr>
            <w:tcW w:w="8740" w:type="dxa"/>
            <w:vAlign w:val="bottom"/>
            <w:tcBorders>
              <w:bottom w:val="single" w:sz="8" w:color="auto"/>
            </w:tcBorders>
          </w:tcPr>
          <w:p>
            <w:pPr>
              <w:ind w:left="260"/>
              <w:spacing w:after="0" w:line="214" w:lineRule="exact"/>
              <w:rPr>
                <w:sz w:val="20"/>
                <w:szCs w:val="20"/>
                <w:color w:val="auto"/>
              </w:rPr>
            </w:pPr>
            <w:r>
              <w:rPr>
                <w:rFonts w:ascii="Arial" w:cs="Arial" w:eastAsia="Arial" w:hAnsi="Arial"/>
                <w:sz w:val="19"/>
                <w:szCs w:val="19"/>
                <w:color w:val="auto"/>
              </w:rPr>
              <w:t>Deposit and other assets</w:t>
            </w: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19"/>
                <w:szCs w:val="19"/>
                <w:color w:val="auto"/>
              </w:rPr>
              <w:t>(41,500)</w:t>
            </w:r>
          </w:p>
        </w:tc>
      </w:tr>
      <w:tr>
        <w:trPr>
          <w:trHeight w:val="466"/>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Used in Investing Activities</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(53,207,898)</w:t>
            </w:r>
          </w:p>
        </w:tc>
      </w:tr>
      <w:tr>
        <w:trPr>
          <w:trHeight w:val="474"/>
        </w:trPr>
        <w:tc>
          <w:tcPr>
            <w:tcW w:w="8740" w:type="dxa"/>
            <w:vAlign w:val="bottom"/>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1"/>
        </w:trPr>
        <w:tc>
          <w:tcPr>
            <w:tcW w:w="8740" w:type="dxa"/>
            <w:vAlign w:val="bottom"/>
            <w:tcBorders>
              <w:bottom w:val="single" w:sz="8" w:color="auto"/>
            </w:tcBorders>
          </w:tcPr>
          <w:p>
            <w:pPr>
              <w:ind w:left="260"/>
              <w:spacing w:after="0" w:line="214" w:lineRule="exact"/>
              <w:rPr>
                <w:sz w:val="20"/>
                <w:szCs w:val="20"/>
                <w:color w:val="auto"/>
              </w:rPr>
            </w:pPr>
            <w:r>
              <w:rPr>
                <w:rFonts w:ascii="Arial" w:cs="Arial" w:eastAsia="Arial" w:hAnsi="Arial"/>
                <w:sz w:val="19"/>
                <w:szCs w:val="19"/>
                <w:color w:val="auto"/>
              </w:rPr>
              <w:t>Proceeds from borrowings on long-term debt</w:t>
            </w: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
              <w:spacing w:after="0" w:line="214" w:lineRule="exact"/>
              <w:rPr>
                <w:sz w:val="20"/>
                <w:szCs w:val="20"/>
                <w:color w:val="auto"/>
              </w:rPr>
            </w:pPr>
            <w:r>
              <w:rPr>
                <w:rFonts w:ascii="Arial" w:cs="Arial" w:eastAsia="Arial" w:hAnsi="Arial"/>
                <w:sz w:val="19"/>
                <w:szCs w:val="19"/>
                <w:color w:val="auto"/>
              </w:rPr>
              <w:t>30,000,000</w:t>
            </w:r>
          </w:p>
        </w:tc>
      </w:tr>
      <w:tr>
        <w:trPr>
          <w:trHeight w:val="466"/>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Provided by Financing Activities</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30,000,000</w:t>
            </w:r>
          </w:p>
        </w:tc>
      </w:tr>
      <w:tr>
        <w:trPr>
          <w:trHeight w:val="474"/>
        </w:trPr>
        <w:tc>
          <w:tcPr>
            <w:tcW w:w="8740" w:type="dxa"/>
            <w:vAlign w:val="bottom"/>
          </w:tcPr>
          <w:p>
            <w:pPr>
              <w:spacing w:after="0"/>
              <w:rPr>
                <w:sz w:val="20"/>
                <w:szCs w:val="20"/>
                <w:color w:val="auto"/>
              </w:rPr>
            </w:pPr>
            <w:r>
              <w:rPr>
                <w:rFonts w:ascii="Arial" w:cs="Arial" w:eastAsia="Arial" w:hAnsi="Arial"/>
                <w:sz w:val="19"/>
                <w:szCs w:val="19"/>
                <w:b w:val="1"/>
                <w:bCs w:val="1"/>
                <w:color w:val="auto"/>
              </w:rPr>
              <w:t>Net Increase in Cash, Cash Equivalents and Restricted Cash</w:t>
            </w:r>
          </w:p>
        </w:tc>
        <w:tc>
          <w:tcPr>
            <w:tcW w:w="920" w:type="dxa"/>
            <w:vAlign w:val="bottom"/>
          </w:tcPr>
          <w:p>
            <w:pPr>
              <w:spacing w:after="0"/>
              <w:rPr>
                <w:sz w:val="24"/>
                <w:szCs w:val="24"/>
                <w:color w:val="auto"/>
              </w:rPr>
            </w:pP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610,225</w:t>
            </w:r>
          </w:p>
        </w:tc>
      </w:tr>
      <w:tr>
        <w:trPr>
          <w:trHeight w:val="451"/>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Cash, Cash Equivalents and Restricted Cash - Beginning of Year</w:t>
            </w: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3,314,964</w:t>
            </w:r>
          </w:p>
        </w:tc>
      </w:tr>
      <w:tr>
        <w:trPr>
          <w:trHeight w:val="466"/>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Cash, Cash Equivalents and Restricted Cash - End of Year</w:t>
            </w:r>
          </w:p>
        </w:tc>
        <w:tc>
          <w:tcPr>
            <w:tcW w:w="92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3,925,189</w:t>
            </w:r>
          </w:p>
        </w:tc>
      </w:tr>
      <w:tr>
        <w:trPr>
          <w:trHeight w:val="475"/>
        </w:trPr>
        <w:tc>
          <w:tcPr>
            <w:tcW w:w="8740" w:type="dxa"/>
            <w:vAlign w:val="bottom"/>
          </w:tcPr>
          <w:p>
            <w:pPr>
              <w:spacing w:after="0"/>
              <w:rPr>
                <w:sz w:val="20"/>
                <w:szCs w:val="20"/>
                <w:color w:val="auto"/>
              </w:rPr>
            </w:pPr>
            <w:r>
              <w:rPr>
                <w:rFonts w:ascii="Arial" w:cs="Arial" w:eastAsia="Arial" w:hAnsi="Arial"/>
                <w:sz w:val="19"/>
                <w:szCs w:val="19"/>
                <w:b w:val="1"/>
                <w:bCs w:val="1"/>
                <w:color w:val="auto"/>
              </w:rPr>
              <w:t>Supplemental Cash Flow Information</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Cash paid for interest</w:t>
            </w:r>
          </w:p>
        </w:tc>
        <w:tc>
          <w:tcPr>
            <w:tcW w:w="9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5,217,778</w:t>
            </w:r>
          </w:p>
        </w:tc>
      </w:tr>
      <w:tr>
        <w:trPr>
          <w:trHeight w:val="459"/>
        </w:trPr>
        <w:tc>
          <w:tcPr>
            <w:tcW w:w="8740" w:type="dxa"/>
            <w:vAlign w:val="bottom"/>
          </w:tcPr>
          <w:p>
            <w:pPr>
              <w:spacing w:after="0"/>
              <w:rPr>
                <w:sz w:val="20"/>
                <w:szCs w:val="20"/>
                <w:color w:val="auto"/>
              </w:rPr>
            </w:pPr>
            <w:r>
              <w:rPr>
                <w:rFonts w:ascii="Arial" w:cs="Arial" w:eastAsia="Arial" w:hAnsi="Arial"/>
                <w:sz w:val="19"/>
                <w:szCs w:val="19"/>
                <w:b w:val="1"/>
                <w:bCs w:val="1"/>
                <w:color w:val="auto"/>
              </w:rPr>
              <w:t>Non-Cash Investing and Financing Activities</w:t>
            </w: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8740" w:type="dxa"/>
            <w:vAlign w:val="bottom"/>
          </w:tcPr>
          <w:p>
            <w:pPr>
              <w:ind w:left="260"/>
              <w:spacing w:after="0"/>
              <w:rPr>
                <w:sz w:val="20"/>
                <w:szCs w:val="20"/>
                <w:color w:val="auto"/>
              </w:rPr>
            </w:pPr>
            <w:r>
              <w:rPr>
                <w:rFonts w:ascii="Arial" w:cs="Arial" w:eastAsia="Arial" w:hAnsi="Arial"/>
                <w:sz w:val="19"/>
                <w:szCs w:val="19"/>
                <w:color w:val="auto"/>
              </w:rPr>
              <w:t>Oil and natural gas properties accrued</w:t>
            </w:r>
          </w:p>
        </w:tc>
        <w:tc>
          <w:tcPr>
            <w:tcW w:w="9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Pr>
          <w:p>
            <w:pPr>
              <w:jc w:val="right"/>
              <w:ind w:right="6"/>
              <w:spacing w:after="0"/>
              <w:rPr>
                <w:sz w:val="20"/>
                <w:szCs w:val="20"/>
                <w:color w:val="auto"/>
              </w:rPr>
            </w:pPr>
            <w:r>
              <w:rPr>
                <w:rFonts w:ascii="Arial" w:cs="Arial" w:eastAsia="Arial" w:hAnsi="Arial"/>
                <w:sz w:val="19"/>
                <w:szCs w:val="19"/>
                <w:color w:val="auto"/>
              </w:rPr>
              <w:t>2,102,034</w:t>
            </w:r>
          </w:p>
        </w:tc>
      </w:tr>
      <w:tr>
        <w:trPr>
          <w:trHeight w:val="234"/>
        </w:trPr>
        <w:tc>
          <w:tcPr>
            <w:tcW w:w="8740" w:type="dxa"/>
            <w:vAlign w:val="bottom"/>
            <w:tcBorders>
              <w:bottom w:val="single" w:sz="8" w:color="auto"/>
            </w:tcBorders>
          </w:tcPr>
          <w:p>
            <w:pPr>
              <w:ind w:left="260"/>
              <w:spacing w:after="0" w:line="214" w:lineRule="exact"/>
              <w:rPr>
                <w:sz w:val="20"/>
                <w:szCs w:val="20"/>
                <w:color w:val="auto"/>
              </w:rPr>
            </w:pPr>
            <w:r>
              <w:rPr>
                <w:rFonts w:ascii="Arial" w:cs="Arial" w:eastAsia="Arial" w:hAnsi="Arial"/>
                <w:sz w:val="19"/>
                <w:szCs w:val="19"/>
                <w:color w:val="auto"/>
              </w:rPr>
              <w:t>Asset retirement obligations</w:t>
            </w:r>
          </w:p>
        </w:tc>
        <w:tc>
          <w:tcPr>
            <w:tcW w:w="920" w:type="dxa"/>
            <w:vAlign w:val="bottom"/>
            <w:tcBorders>
              <w:bottom w:val="single" w:sz="8" w:color="auto"/>
            </w:tcBorders>
          </w:tcPr>
          <w:p>
            <w:pPr>
              <w:jc w:val="right"/>
              <w:ind w:right="226"/>
              <w:spacing w:after="0" w:line="214" w:lineRule="exact"/>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19"/>
                <w:szCs w:val="19"/>
                <w:color w:val="auto"/>
              </w:rPr>
              <w:t>(483,851)</w:t>
            </w:r>
          </w:p>
        </w:tc>
      </w:tr>
    </w:tbl>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0" w:lineRule="exact"/>
        <w:rPr>
          <w:sz w:val="20"/>
          <w:szCs w:val="20"/>
          <w:color w:val="auto"/>
        </w:rPr>
      </w:pPr>
    </w:p>
    <w:p>
      <w:pPr>
        <w:ind w:left="800" w:hanging="792"/>
        <w:spacing w:after="0"/>
        <w:tabs>
          <w:tab w:leader="none" w:pos="800" w:val="left"/>
        </w:tabs>
        <w:numPr>
          <w:ilvl w:val="0"/>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Nature of Operations and Organization</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RAM Energy Holdings LLC (“Holdings”), formerly named PNNT RAM Energy LLC, is a Delaware limited liability company, wholly-owned by PennantPark Investment Corporation (“PennantPark”), and was formed in July 2014 as a holding company for interest ownership in RAM Energy LLC (“RAM”). RAM Fayette LLC (“Fayette”) was formed in September 2017 and Fayette Service Company LLC (“Service”) was formed in June 2018. As of September 30, 2019, both subsidiaries were wholly- owned by RAM. Holdings, RAM and its subsidiaries are herein referred to as the “Company.”</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RAM was formed in April 2012 as a privately held, independent oil and natural gas company engaged in the acquisition, exploration, exploitation, development and production of oil and natural gas.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In August 2015, RAM became a wholly-owned and consolidated subsidiary of Holdings.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September 2017, Holdings issued PennantPark 61,606 common units in satisfaction of the $88 million of outstanding debt that RAM owed to PennantPark. Holdings then entered into a new $35 million term loan. In June 2018, the credit agreement was amended to add a $15 million revolving loan. The credit agreement was amended in January 2019 and May 2019 to increase the revolving loan to $40 million, and further amended in October 2019 to increase the revolving loan to $50 million. See Notes 6 and 9.</w:t>
      </w:r>
    </w:p>
    <w:p>
      <w:pPr>
        <w:spacing w:after="0" w:line="206"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In July 2018, the Company began a drilling program in the Austin Chalk formation. Fayette was formed to be an owner in the new wells drilled, and Service was formed to invest in gathering and facilities infrastructure.</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RAM operates exclusively in the upstream segment of the oil and gas industry with activities including the drilling, completion, and operation of oil and natural gas wells. RAM conducts the majority of its operations in the state of Texas, with minor operations in the states of Arkansas, New Mexico and Oklahoma.</w:t>
      </w:r>
    </w:p>
    <w:p>
      <w:pPr>
        <w:spacing w:after="0" w:line="182" w:lineRule="exact"/>
        <w:rPr>
          <w:sz w:val="20"/>
          <w:szCs w:val="20"/>
          <w:color w:val="auto"/>
        </w:rPr>
      </w:pPr>
    </w:p>
    <w:p>
      <w:pPr>
        <w:ind w:left="780" w:hanging="772"/>
        <w:spacing w:after="0"/>
        <w:tabs>
          <w:tab w:leader="none" w:pos="780" w:val="left"/>
        </w:tabs>
        <w:numPr>
          <w:ilvl w:val="0"/>
          <w:numId w:val="128"/>
        </w:numPr>
        <w:rPr>
          <w:rFonts w:ascii="Arial" w:cs="Arial" w:eastAsia="Arial" w:hAnsi="Arial"/>
          <w:sz w:val="19"/>
          <w:szCs w:val="19"/>
          <w:b w:val="1"/>
          <w:bCs w:val="1"/>
          <w:color w:val="auto"/>
        </w:rPr>
      </w:pPr>
      <w:r>
        <w:rPr>
          <w:rFonts w:ascii="Arial" w:cs="Arial" w:eastAsia="Arial" w:hAnsi="Arial"/>
          <w:sz w:val="19"/>
          <w:szCs w:val="19"/>
          <w:b w:val="1"/>
          <w:bCs w:val="1"/>
          <w:color w:val="auto"/>
        </w:rPr>
        <w:t>Liquidity</w:t>
      </w:r>
    </w:p>
    <w:p>
      <w:pPr>
        <w:spacing w:after="0" w:line="238"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The Company had a member’s deficit of $37.2 million and a working capital deficit of $23.9 million at September 30, 2019. The working capital deficit is largely due to the new drilling program.</w:t>
      </w:r>
    </w:p>
    <w:p>
      <w:pPr>
        <w:spacing w:after="0" w:line="227" w:lineRule="exact"/>
        <w:rPr>
          <w:sz w:val="20"/>
          <w:szCs w:val="20"/>
          <w:color w:val="auto"/>
        </w:rPr>
      </w:pPr>
    </w:p>
    <w:p>
      <w:pPr>
        <w:jc w:val="both"/>
        <w:spacing w:after="0"/>
        <w:rPr>
          <w:sz w:val="20"/>
          <w:szCs w:val="20"/>
          <w:color w:val="auto"/>
        </w:rPr>
      </w:pPr>
      <w:r>
        <w:rPr>
          <w:rFonts w:ascii="Arial" w:cs="Arial" w:eastAsia="Arial" w:hAnsi="Arial"/>
          <w:sz w:val="19"/>
          <w:szCs w:val="19"/>
          <w:color w:val="auto"/>
        </w:rPr>
        <w:t>On October 16, 2019, RAM, in conjunction with Fayette and Service as co-borrowers, secured and closed a first-lien multi-draw $70 million term loan facility with Macquarie Investments US Inc. (“Macquarie”). At closing, RAM borrowed $30.5 million from Macquarie (“Tranche A”). The Tranche A use of proceeds was for working capital, for the completion of the four wells mentioned above and for fees and expenses of the facility.</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At closing, Pennant Park invested an additional $10 million of equity, funded as an additional revolving advance to Holdings, for additional working capital support. Tranche B availability of $16 million, if utilized, along with cash flow from operations, is expected to be applied towards the drilling and completion costs of the Ranger Pad. Tranche B will become available when certain production targets are met by existing assets and the four wells currently being completed. The Company fully expects to meet Tranche B production targets. Tranche C is documented as $23.5 million and conditions of its draw and use of proceeds is to be determined at a later date.</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Macquarie term loan has a LIBOR plus 8% interest rate, payable monthly. Further, there is a variable amortization schedule with the first amortization payment due at the end of November 2019 with additional amortization payments after the Tranche B draw, to the extent it becomes available and is drawn. This debt facility has typical affirmative and negative covenant for a first- lien oil and gas credit facility. Management believes that each of the agreed covenants will be met through November 2020.</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0" w:lineRule="exact"/>
        <w:rPr>
          <w:sz w:val="20"/>
          <w:szCs w:val="20"/>
          <w:color w:val="auto"/>
        </w:rPr>
      </w:pPr>
    </w:p>
    <w:p>
      <w:pPr>
        <w:ind w:left="780" w:hanging="772"/>
        <w:spacing w:after="0"/>
        <w:tabs>
          <w:tab w:leader="none" w:pos="780" w:val="left"/>
        </w:tabs>
        <w:numPr>
          <w:ilvl w:val="0"/>
          <w:numId w:val="129"/>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26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accompanying consolidated financial statements include the accounts of Holdings, its wholly- owned subsidiary, RAM, and RAM’s wholly-owned subsidiaries, Fayette and Service. All significant intercompany accounts and transactions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and Equipment</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unevaluated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9"/>
          <w:szCs w:val="19"/>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At September 30, 2019, the net book value of the Company’s oil and natural gas properties did not exceed the Ceiling Limitation.</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unevaluated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unevaluated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 The Company did not have any impairment of its unproved oil and gas properties for the year ended September 30, 2019.</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 Depreciation expense of other property and equipment for the year ended September 30, 2019 was approximately $34 thousand.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Depreciation, Depletion and Amortization</w:t>
      </w:r>
    </w:p>
    <w:p>
      <w:pPr>
        <w:spacing w:after="0" w:line="23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All capitalized costs of oil and natural gas properties and equipment, including the estimated future costs to develop proved reserves, are amortized using the unit-of-production method based on total proved reserves. Depreciation of gathering assets and related facilities, and other equipment is computed on the straight-line method over the estimated useful lives of the assets, generally ranging from 3 to 30 years. Amortization of leasehold improvements is computed based on the straight-line method over the term of the associated lease or estimated useful life, whichever is shorter.</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All highly liquid unrestricted investments with a maturity of three months or less when purchased are considered to be cash equivalents.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2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At September 30, 2019, the Company had approximately $733 thousand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following table provides a reconciliation of cash, cash equivalents, and restricted cash reported within the statement of financial position that sum to the total of the same such amounts shown in the statement of cash flows (</w:t>
      </w:r>
      <w:r>
        <w:rPr>
          <w:rFonts w:ascii="Arial" w:cs="Arial" w:eastAsia="Arial" w:hAnsi="Arial"/>
          <w:sz w:val="19"/>
          <w:szCs w:val="19"/>
          <w:i w:val="1"/>
          <w:iCs w:val="1"/>
          <w:color w:val="auto"/>
        </w:rPr>
        <w:t>in thousands</w:t>
      </w:r>
      <w:r>
        <w:rPr>
          <w:rFonts w:ascii="Arial" w:cs="Arial" w:eastAsia="Arial" w:hAnsi="Arial"/>
          <w:sz w:val="19"/>
          <w:szCs w:val="19"/>
          <w:color w:val="auto"/>
        </w:rPr>
        <w: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29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746"/>
              <w:spacing w:after="0"/>
              <w:rPr>
                <w:sz w:val="20"/>
                <w:szCs w:val="20"/>
                <w:color w:val="auto"/>
              </w:rPr>
            </w:pPr>
            <w:r>
              <w:rPr>
                <w:rFonts w:ascii="Arial" w:cs="Arial" w:eastAsia="Arial" w:hAnsi="Arial"/>
                <w:sz w:val="19"/>
                <w:szCs w:val="19"/>
                <w:b w:val="1"/>
                <w:bCs w:val="1"/>
                <w:color w:val="auto"/>
              </w:rPr>
              <w:t>2019</w:t>
            </w:r>
          </w:p>
        </w:tc>
      </w:tr>
      <w:tr>
        <w:trPr>
          <w:trHeight w:val="245"/>
        </w:trPr>
        <w:tc>
          <w:tcPr>
            <w:tcW w:w="672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294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3,192</w:t>
            </w:r>
          </w:p>
        </w:tc>
      </w:tr>
      <w:tr>
        <w:trPr>
          <w:trHeight w:val="221"/>
        </w:trPr>
        <w:tc>
          <w:tcPr>
            <w:tcW w:w="6720" w:type="dxa"/>
            <w:vAlign w:val="bottom"/>
            <w:tcBorders>
              <w:bottom w:val="single" w:sz="8" w:color="auto"/>
            </w:tcBorders>
          </w:tcPr>
          <w:p>
            <w:pPr>
              <w:spacing w:after="0" w:line="214" w:lineRule="exact"/>
              <w:rPr>
                <w:sz w:val="20"/>
                <w:szCs w:val="20"/>
                <w:color w:val="auto"/>
              </w:rPr>
            </w:pPr>
            <w:r>
              <w:rPr>
                <w:rFonts w:ascii="Arial" w:cs="Arial" w:eastAsia="Arial" w:hAnsi="Arial"/>
                <w:sz w:val="19"/>
                <w:szCs w:val="19"/>
                <w:color w:val="auto"/>
              </w:rPr>
              <w:t>Restricted cash included in other long-term assets</w:t>
            </w:r>
          </w:p>
        </w:tc>
        <w:tc>
          <w:tcPr>
            <w:tcW w:w="2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6"/>
              <w:spacing w:after="0" w:line="214" w:lineRule="exact"/>
              <w:rPr>
                <w:sz w:val="20"/>
                <w:szCs w:val="20"/>
                <w:color w:val="auto"/>
              </w:rPr>
            </w:pPr>
            <w:r>
              <w:rPr>
                <w:rFonts w:ascii="Arial" w:cs="Arial" w:eastAsia="Arial" w:hAnsi="Arial"/>
                <w:sz w:val="19"/>
                <w:szCs w:val="19"/>
                <w:color w:val="auto"/>
              </w:rPr>
              <w:t>733</w:t>
            </w:r>
          </w:p>
        </w:tc>
      </w:tr>
      <w:tr>
        <w:trPr>
          <w:trHeight w:val="234"/>
        </w:trPr>
        <w:tc>
          <w:tcPr>
            <w:tcW w:w="6720" w:type="dxa"/>
            <w:vAlign w:val="bottom"/>
          </w:tcPr>
          <w:p>
            <w:pPr>
              <w:spacing w:after="0"/>
              <w:rPr>
                <w:sz w:val="20"/>
                <w:szCs w:val="20"/>
                <w:color w:val="auto"/>
              </w:rPr>
            </w:pPr>
            <w:r>
              <w:rPr>
                <w:rFonts w:ascii="Arial" w:cs="Arial" w:eastAsia="Arial" w:hAnsi="Arial"/>
                <w:sz w:val="19"/>
                <w:szCs w:val="19"/>
                <w:color w:val="auto"/>
              </w:rPr>
              <w:t>Total cash, cash equivalents, and restricted cash</w:t>
            </w:r>
          </w:p>
        </w:tc>
        <w:tc>
          <w:tcPr>
            <w:tcW w:w="29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2"/>
        </w:trPr>
        <w:tc>
          <w:tcPr>
            <w:tcW w:w="6720" w:type="dxa"/>
            <w:vAlign w:val="bottom"/>
            <w:tcBorders>
              <w:bottom w:val="single" w:sz="8" w:color="auto"/>
            </w:tcBorders>
          </w:tcPr>
          <w:p>
            <w:pPr>
              <w:spacing w:after="0" w:line="212" w:lineRule="exact"/>
              <w:rPr>
                <w:sz w:val="20"/>
                <w:szCs w:val="20"/>
                <w:color w:val="auto"/>
              </w:rPr>
            </w:pPr>
            <w:r>
              <w:rPr>
                <w:rFonts w:ascii="Arial" w:cs="Arial" w:eastAsia="Arial" w:hAnsi="Arial"/>
                <w:sz w:val="19"/>
                <w:szCs w:val="19"/>
                <w:color w:val="auto"/>
              </w:rPr>
              <w:t>shown in the statement of cash flows</w:t>
            </w:r>
          </w:p>
        </w:tc>
        <w:tc>
          <w:tcPr>
            <w:tcW w:w="2940" w:type="dxa"/>
            <w:vAlign w:val="bottom"/>
            <w:tcBorders>
              <w:bottom w:val="single" w:sz="8" w:color="auto"/>
            </w:tcBorders>
          </w:tcPr>
          <w:p>
            <w:pPr>
              <w:jc w:val="right"/>
              <w:ind w:right="226"/>
              <w:spacing w:after="0" w:line="212" w:lineRule="exact"/>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ind w:right="26"/>
              <w:spacing w:after="0" w:line="212" w:lineRule="exact"/>
              <w:rPr>
                <w:sz w:val="20"/>
                <w:szCs w:val="20"/>
                <w:color w:val="auto"/>
              </w:rPr>
            </w:pPr>
            <w:r>
              <w:rPr>
                <w:rFonts w:ascii="Arial" w:cs="Arial" w:eastAsia="Arial" w:hAnsi="Arial"/>
                <w:sz w:val="19"/>
                <w:szCs w:val="19"/>
                <w:color w:val="auto"/>
              </w:rPr>
              <w:t>3,925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Concentrations of Credit Risk</w:t>
      </w:r>
    </w:p>
    <w:p>
      <w:pPr>
        <w:spacing w:after="0" w:line="23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September 30, 2019, over 83% of total revenues and total receivables were from two customers.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September 30, 2019, the allowance for doubtful accounts was $8 thousand.</w:t>
      </w:r>
    </w:p>
    <w:p>
      <w:pPr>
        <w:spacing w:after="0" w:line="207"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In 2019,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236"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The Company receives fees for the operation of jointly owned oil and natural gas properties and records such reimbursements as reductions of general and administrative expenses. Such fees totaled approximately $0.7 million for the year ended September 30, 2019.</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23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and Natural Gas Reserves Estimates</w:t>
      </w:r>
    </w:p>
    <w:p>
      <w:pPr>
        <w:spacing w:after="0" w:line="23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of the Codification, at September 30, 2019, the Company calculated its estimate of proved reserves using a twelve month average price, calculated as the unweighted arithmetic average of the first-day-of- 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 valuation of proved oil and natural gas reserves which, as described herein, may affect the amount at which oil and natural gas properties are recorded. Actual results could differ materially from these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23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fair value of a liability for an asset retirement obligation is recognized in the period in which it is incurred if a reasonable estimate of fair value can be made, and the associated asset retirement costs are capitalized as part of the carrying amount of the long-lived asset. The Company determines its asset retirement obligations on its oil and natural gas properties by calculating the present value of the estimated cash flows related to the estimated liability. Periodic accretion of the discount of the estimated liability associated with the Company’s oil and natural gas properties is recorded in the consolidated statement of operations.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The Company recorded the following activity related to the asset retirement obligations (</w:t>
      </w:r>
      <w:r>
        <w:rPr>
          <w:rFonts w:ascii="Arial" w:cs="Arial" w:eastAsia="Arial" w:hAnsi="Arial"/>
          <w:sz w:val="19"/>
          <w:szCs w:val="19"/>
          <w:i w:val="1"/>
          <w:iCs w:val="1"/>
          <w:color w:val="auto"/>
        </w:rPr>
        <w:t>in thousands</w:t>
      </w:r>
      <w:r>
        <w:rPr>
          <w:rFonts w:ascii="Arial" w:cs="Arial" w:eastAsia="Arial" w:hAnsi="Arial"/>
          <w:sz w:val="19"/>
          <w:szCs w:val="19"/>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5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3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46"/>
              <w:spacing w:after="0"/>
              <w:rPr>
                <w:sz w:val="20"/>
                <w:szCs w:val="20"/>
                <w:color w:val="auto"/>
              </w:rPr>
            </w:pPr>
            <w:r>
              <w:rPr>
                <w:rFonts w:ascii="Arial" w:cs="Arial" w:eastAsia="Arial" w:hAnsi="Arial"/>
                <w:sz w:val="19"/>
                <w:szCs w:val="19"/>
                <w:b w:val="1"/>
                <w:bCs w:val="1"/>
                <w:color w:val="auto"/>
              </w:rPr>
              <w:t>2019</w:t>
            </w:r>
          </w:p>
        </w:tc>
      </w:tr>
      <w:tr>
        <w:trPr>
          <w:trHeight w:val="439"/>
        </w:trPr>
        <w:tc>
          <w:tcPr>
            <w:tcW w:w="6520" w:type="dxa"/>
            <w:vAlign w:val="bottom"/>
          </w:tcPr>
          <w:p>
            <w:pPr>
              <w:spacing w:after="0"/>
              <w:rPr>
                <w:sz w:val="20"/>
                <w:szCs w:val="20"/>
                <w:color w:val="auto"/>
              </w:rPr>
            </w:pPr>
            <w:r>
              <w:rPr>
                <w:rFonts w:ascii="Arial" w:cs="Arial" w:eastAsia="Arial" w:hAnsi="Arial"/>
                <w:sz w:val="19"/>
                <w:szCs w:val="19"/>
                <w:b w:val="1"/>
                <w:bCs w:val="1"/>
                <w:color w:val="auto"/>
              </w:rPr>
              <w:t>Liability for Asset Retirement Obligations,</w:t>
            </w:r>
          </w:p>
        </w:tc>
        <w:tc>
          <w:tcPr>
            <w:tcW w:w="3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1"/>
        </w:trPr>
        <w:tc>
          <w:tcPr>
            <w:tcW w:w="6520" w:type="dxa"/>
            <w:vAlign w:val="bottom"/>
          </w:tcPr>
          <w:p>
            <w:pPr>
              <w:ind w:left="160"/>
              <w:spacing w:after="0"/>
              <w:rPr>
                <w:sz w:val="20"/>
                <w:szCs w:val="20"/>
                <w:color w:val="auto"/>
              </w:rPr>
            </w:pPr>
            <w:r>
              <w:rPr>
                <w:rFonts w:ascii="Arial" w:cs="Arial" w:eastAsia="Arial" w:hAnsi="Arial"/>
                <w:sz w:val="19"/>
                <w:szCs w:val="19"/>
                <w:b w:val="1"/>
                <w:bCs w:val="1"/>
                <w:color w:val="auto"/>
              </w:rPr>
              <w:t>Beginning of Year</w:t>
            </w:r>
          </w:p>
        </w:tc>
        <w:tc>
          <w:tcPr>
            <w:tcW w:w="314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5,325</w:t>
            </w:r>
          </w:p>
        </w:tc>
      </w:tr>
      <w:tr>
        <w:trPr>
          <w:trHeight w:val="230"/>
        </w:trPr>
        <w:tc>
          <w:tcPr>
            <w:tcW w:w="6520" w:type="dxa"/>
            <w:vAlign w:val="bottom"/>
          </w:tcPr>
          <w:p>
            <w:pPr>
              <w:ind w:left="260"/>
              <w:spacing w:after="0"/>
              <w:rPr>
                <w:sz w:val="20"/>
                <w:szCs w:val="20"/>
                <w:color w:val="auto"/>
              </w:rPr>
            </w:pPr>
            <w:r>
              <w:rPr>
                <w:rFonts w:ascii="Arial" w:cs="Arial" w:eastAsia="Arial" w:hAnsi="Arial"/>
                <w:sz w:val="19"/>
                <w:szCs w:val="19"/>
                <w:color w:val="auto"/>
              </w:rPr>
              <w:t>Accretion expense</w:t>
            </w:r>
          </w:p>
        </w:tc>
        <w:tc>
          <w:tcPr>
            <w:tcW w:w="314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643</w:t>
            </w:r>
          </w:p>
        </w:tc>
      </w:tr>
      <w:tr>
        <w:trPr>
          <w:trHeight w:val="229"/>
        </w:trPr>
        <w:tc>
          <w:tcPr>
            <w:tcW w:w="6520" w:type="dxa"/>
            <w:vAlign w:val="bottom"/>
          </w:tcPr>
          <w:p>
            <w:pPr>
              <w:ind w:left="260"/>
              <w:spacing w:after="0"/>
              <w:rPr>
                <w:sz w:val="20"/>
                <w:szCs w:val="20"/>
                <w:color w:val="auto"/>
              </w:rPr>
            </w:pPr>
            <w:r>
              <w:rPr>
                <w:rFonts w:ascii="Arial" w:cs="Arial" w:eastAsia="Arial" w:hAnsi="Arial"/>
                <w:sz w:val="19"/>
                <w:szCs w:val="19"/>
                <w:color w:val="auto"/>
              </w:rPr>
              <w:t>Additions</w:t>
            </w:r>
          </w:p>
        </w:tc>
        <w:tc>
          <w:tcPr>
            <w:tcW w:w="314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173</w:t>
            </w:r>
          </w:p>
        </w:tc>
      </w:tr>
      <w:tr>
        <w:trPr>
          <w:trHeight w:val="230"/>
        </w:trPr>
        <w:tc>
          <w:tcPr>
            <w:tcW w:w="6520" w:type="dxa"/>
            <w:vAlign w:val="bottom"/>
          </w:tcPr>
          <w:p>
            <w:pPr>
              <w:ind w:left="260"/>
              <w:spacing w:after="0"/>
              <w:rPr>
                <w:sz w:val="20"/>
                <w:szCs w:val="20"/>
                <w:color w:val="auto"/>
              </w:rPr>
            </w:pPr>
            <w:r>
              <w:rPr>
                <w:rFonts w:ascii="Arial" w:cs="Arial" w:eastAsia="Arial" w:hAnsi="Arial"/>
                <w:sz w:val="19"/>
                <w:szCs w:val="19"/>
                <w:color w:val="auto"/>
              </w:rPr>
              <w:t>Obligations for wells sold</w:t>
            </w:r>
          </w:p>
        </w:tc>
        <w:tc>
          <w:tcPr>
            <w:tcW w:w="3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(257)</w:t>
            </w:r>
          </w:p>
        </w:tc>
      </w:tr>
      <w:tr>
        <w:trPr>
          <w:trHeight w:val="229"/>
        </w:trPr>
        <w:tc>
          <w:tcPr>
            <w:tcW w:w="6520" w:type="dxa"/>
            <w:vAlign w:val="bottom"/>
          </w:tcPr>
          <w:p>
            <w:pPr>
              <w:ind w:left="260"/>
              <w:spacing w:after="0"/>
              <w:rPr>
                <w:sz w:val="20"/>
                <w:szCs w:val="20"/>
                <w:color w:val="auto"/>
              </w:rPr>
            </w:pPr>
            <w:r>
              <w:rPr>
                <w:rFonts w:ascii="Arial" w:cs="Arial" w:eastAsia="Arial" w:hAnsi="Arial"/>
                <w:sz w:val="19"/>
                <w:szCs w:val="19"/>
                <w:color w:val="auto"/>
              </w:rPr>
              <w:t>Settlements</w:t>
            </w:r>
          </w:p>
        </w:tc>
        <w:tc>
          <w:tcPr>
            <w:tcW w:w="3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(400)</w:t>
            </w:r>
          </w:p>
        </w:tc>
      </w:tr>
      <w:tr>
        <w:trPr>
          <w:trHeight w:val="221"/>
        </w:trPr>
        <w:tc>
          <w:tcPr>
            <w:tcW w:w="6520" w:type="dxa"/>
            <w:vAlign w:val="bottom"/>
            <w:tcBorders>
              <w:bottom w:val="single" w:sz="8" w:color="auto"/>
            </w:tcBorders>
          </w:tcPr>
          <w:p>
            <w:pPr>
              <w:ind w:left="260"/>
              <w:spacing w:after="0" w:line="214" w:lineRule="exact"/>
              <w:rPr>
                <w:sz w:val="20"/>
                <w:szCs w:val="20"/>
                <w:color w:val="auto"/>
              </w:rPr>
            </w:pPr>
            <w:r>
              <w:rPr>
                <w:rFonts w:ascii="Arial" w:cs="Arial" w:eastAsia="Arial" w:hAnsi="Arial"/>
                <w:sz w:val="19"/>
                <w:szCs w:val="19"/>
                <w:color w:val="auto"/>
              </w:rPr>
              <w:t>Changes in estimates</w:t>
            </w:r>
          </w:p>
        </w:tc>
        <w:tc>
          <w:tcPr>
            <w:tcW w:w="3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6"/>
              <w:spacing w:after="0" w:line="214" w:lineRule="exact"/>
              <w:rPr>
                <w:sz w:val="20"/>
                <w:szCs w:val="20"/>
                <w:color w:val="auto"/>
              </w:rPr>
            </w:pPr>
            <w:r>
              <w:rPr>
                <w:rFonts w:ascii="Arial" w:cs="Arial" w:eastAsia="Arial" w:hAnsi="Arial"/>
                <w:sz w:val="19"/>
                <w:szCs w:val="19"/>
                <w:color w:val="auto"/>
              </w:rPr>
              <w:t>-</w:t>
            </w:r>
          </w:p>
        </w:tc>
      </w:tr>
      <w:tr>
        <w:trPr>
          <w:trHeight w:val="439"/>
        </w:trPr>
        <w:tc>
          <w:tcPr>
            <w:tcW w:w="6520" w:type="dxa"/>
            <w:vAlign w:val="bottom"/>
          </w:tcPr>
          <w:p>
            <w:pPr>
              <w:spacing w:after="0"/>
              <w:rPr>
                <w:sz w:val="20"/>
                <w:szCs w:val="20"/>
                <w:color w:val="auto"/>
              </w:rPr>
            </w:pPr>
            <w:r>
              <w:rPr>
                <w:rFonts w:ascii="Arial" w:cs="Arial" w:eastAsia="Arial" w:hAnsi="Arial"/>
                <w:sz w:val="19"/>
                <w:szCs w:val="19"/>
                <w:b w:val="1"/>
                <w:bCs w:val="1"/>
                <w:color w:val="auto"/>
              </w:rPr>
              <w:t>Liability for Asset Retirement Obligations,</w:t>
            </w:r>
          </w:p>
        </w:tc>
        <w:tc>
          <w:tcPr>
            <w:tcW w:w="3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1"/>
        </w:trPr>
        <w:tc>
          <w:tcPr>
            <w:tcW w:w="6520" w:type="dxa"/>
            <w:vAlign w:val="bottom"/>
          </w:tcPr>
          <w:p>
            <w:pPr>
              <w:ind w:left="160"/>
              <w:spacing w:after="0"/>
              <w:rPr>
                <w:sz w:val="20"/>
                <w:szCs w:val="20"/>
                <w:color w:val="auto"/>
              </w:rPr>
            </w:pPr>
            <w:r>
              <w:rPr>
                <w:rFonts w:ascii="Arial" w:cs="Arial" w:eastAsia="Arial" w:hAnsi="Arial"/>
                <w:sz w:val="19"/>
                <w:szCs w:val="19"/>
                <w:b w:val="1"/>
                <w:bCs w:val="1"/>
                <w:color w:val="auto"/>
              </w:rPr>
              <w:t>End of Year</w:t>
            </w:r>
          </w:p>
        </w:tc>
        <w:tc>
          <w:tcPr>
            <w:tcW w:w="3140" w:type="dxa"/>
            <w:vAlign w:val="bottom"/>
          </w:tcPr>
          <w:p>
            <w:pPr>
              <w:spacing w:after="0"/>
              <w:rPr>
                <w:sz w:val="21"/>
                <w:szCs w:val="21"/>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5,484</w:t>
            </w:r>
          </w:p>
        </w:tc>
      </w:tr>
      <w:tr>
        <w:trPr>
          <w:trHeight w:val="450"/>
        </w:trPr>
        <w:tc>
          <w:tcPr>
            <w:tcW w:w="65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Less: current asset retirement obligations</w:t>
            </w:r>
          </w:p>
        </w:tc>
        <w:tc>
          <w:tcPr>
            <w:tcW w:w="3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493</w:t>
            </w:r>
          </w:p>
        </w:tc>
      </w:tr>
      <w:tr>
        <w:trPr>
          <w:trHeight w:val="480"/>
        </w:trPr>
        <w:tc>
          <w:tcPr>
            <w:tcW w:w="65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Long-Term Asset Retirement Obligations</w:t>
            </w:r>
          </w:p>
        </w:tc>
        <w:tc>
          <w:tcPr>
            <w:tcW w:w="314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4,991</w:t>
            </w:r>
          </w:p>
        </w:tc>
      </w:tr>
      <w:tr>
        <w:trPr>
          <w:trHeight w:val="448"/>
        </w:trPr>
        <w:tc>
          <w:tcPr>
            <w:tcW w:w="6520" w:type="dxa"/>
            <w:vAlign w:val="bottom"/>
          </w:tcPr>
          <w:p>
            <w:pPr>
              <w:spacing w:after="0"/>
              <w:rPr>
                <w:sz w:val="20"/>
                <w:szCs w:val="20"/>
                <w:color w:val="auto"/>
              </w:rPr>
            </w:pPr>
            <w:r>
              <w:rPr>
                <w:rFonts w:ascii="Arial" w:cs="Arial" w:eastAsia="Arial" w:hAnsi="Arial"/>
                <w:sz w:val="19"/>
                <w:szCs w:val="19"/>
                <w:b w:val="1"/>
                <w:bCs w:val="1"/>
                <w:i w:val="1"/>
                <w:iCs w:val="1"/>
                <w:color w:val="auto"/>
              </w:rPr>
              <w:t>Revenue Recognition</w:t>
            </w:r>
          </w:p>
        </w:tc>
        <w:tc>
          <w:tcPr>
            <w:tcW w:w="31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Oil and natural gas sales are recognized when production is sold to a purchaser at a fixed or determinable price, delivery has occurred, title has transferred, and collectability of the revenue is probable. Delivery occurs and title is transferred when production has been delivered to a pipeline, railcar or truck. The sales method of accounting is used for oil and natural gas sales such that revenues are recognized based on the Company’s share of actual proceeds from the oil and natural gas sold to purchasers. Oil and natural gas imbalances are generated on properties for which two or more owners have the right to take production “in-kind” and, in doing so take more or less than their respective entitled percentage. As of September 30, 2019, there were no significant oil and natural gas imbalances.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RAM and its subsidiaries are disregarded subsidiaries of Holdings. As Holdings has elected to be classified as a corporation, a tax benefit has been calculated for the year ended September 30, 2019.</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benefit for income taxes differs from the amount computed by applying the statutory federal income tax rate to loss before provision for income taxes. For the year ended September 30, 2019, the Company had a benefit for income taxes of $26 thousand, which was completely offset by a valuation allowance. The significant differences between pre-tax book income and taxable book income relate to non-deductible expenses, state income taxes, change in valuation allowance, and other adjustments to deferred tax balances.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The sources and tax effects of the differences are as follows (</w:t>
      </w:r>
      <w:r>
        <w:rPr>
          <w:rFonts w:ascii="Arial" w:cs="Arial" w:eastAsia="Arial" w:hAnsi="Arial"/>
          <w:sz w:val="19"/>
          <w:szCs w:val="19"/>
          <w:i w:val="1"/>
          <w:iCs w:val="1"/>
          <w:color w:val="auto"/>
        </w:rPr>
        <w:t>in thousands</w:t>
      </w:r>
      <w:r>
        <w:rPr>
          <w:rFonts w:ascii="Arial" w:cs="Arial" w:eastAsia="Arial" w:hAnsi="Arial"/>
          <w:sz w:val="19"/>
          <w:szCs w:val="19"/>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7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b w:val="1"/>
                <w:bCs w:val="1"/>
                <w:color w:val="auto"/>
              </w:rPr>
              <w:t>2019</w:t>
            </w:r>
          </w:p>
        </w:tc>
      </w:tr>
      <w:tr>
        <w:trPr>
          <w:trHeight w:val="474"/>
        </w:trPr>
        <w:tc>
          <w:tcPr>
            <w:tcW w:w="4940" w:type="dxa"/>
            <w:vAlign w:val="bottom"/>
          </w:tcPr>
          <w:p>
            <w:pPr>
              <w:spacing w:after="0"/>
              <w:rPr>
                <w:sz w:val="20"/>
                <w:szCs w:val="20"/>
                <w:color w:val="auto"/>
              </w:rPr>
            </w:pPr>
            <w:r>
              <w:rPr>
                <w:rFonts w:ascii="Arial" w:cs="Arial" w:eastAsia="Arial" w:hAnsi="Arial"/>
                <w:sz w:val="19"/>
                <w:szCs w:val="19"/>
                <w:color w:val="auto"/>
              </w:rPr>
              <w:t>Income tax benefit at the federal statutory rate (21%)</w:t>
            </w:r>
          </w:p>
        </w:tc>
        <w:tc>
          <w:tcPr>
            <w:tcW w:w="76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(1,332)</w:t>
            </w:r>
          </w:p>
        </w:tc>
      </w:tr>
      <w:tr>
        <w:trPr>
          <w:trHeight w:val="230"/>
        </w:trPr>
        <w:tc>
          <w:tcPr>
            <w:tcW w:w="4940" w:type="dxa"/>
            <w:vAlign w:val="bottom"/>
          </w:tcPr>
          <w:p>
            <w:pPr>
              <w:spacing w:after="0"/>
              <w:rPr>
                <w:sz w:val="20"/>
                <w:szCs w:val="20"/>
                <w:color w:val="auto"/>
              </w:rPr>
            </w:pPr>
            <w:r>
              <w:rPr>
                <w:rFonts w:ascii="Arial" w:cs="Arial" w:eastAsia="Arial" w:hAnsi="Arial"/>
                <w:sz w:val="19"/>
                <w:szCs w:val="19"/>
                <w:color w:val="auto"/>
              </w:rPr>
              <w:t>Return to provision adjustments</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1,380</w:t>
            </w:r>
          </w:p>
        </w:tc>
      </w:tr>
      <w:tr>
        <w:trPr>
          <w:trHeight w:val="229"/>
        </w:trPr>
        <w:tc>
          <w:tcPr>
            <w:tcW w:w="4940" w:type="dxa"/>
            <w:vAlign w:val="bottom"/>
          </w:tcPr>
          <w:p>
            <w:pPr>
              <w:spacing w:after="0"/>
              <w:rPr>
                <w:sz w:val="20"/>
                <w:szCs w:val="20"/>
                <w:color w:val="auto"/>
              </w:rPr>
            </w:pPr>
            <w:r>
              <w:rPr>
                <w:rFonts w:ascii="Arial" w:cs="Arial" w:eastAsia="Arial" w:hAnsi="Arial"/>
                <w:sz w:val="19"/>
                <w:szCs w:val="19"/>
                <w:color w:val="auto"/>
              </w:rPr>
              <w:t>State income tax expense, net of federal benefit</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(78)</w:t>
            </w:r>
          </w:p>
        </w:tc>
      </w:tr>
      <w:tr>
        <w:trPr>
          <w:trHeight w:val="229"/>
        </w:trPr>
        <w:tc>
          <w:tcPr>
            <w:tcW w:w="4940" w:type="dxa"/>
            <w:vAlign w:val="bottom"/>
          </w:tcPr>
          <w:p>
            <w:pPr>
              <w:spacing w:after="0"/>
              <w:rPr>
                <w:sz w:val="20"/>
                <w:szCs w:val="20"/>
                <w:color w:val="auto"/>
              </w:rPr>
            </w:pPr>
            <w:r>
              <w:rPr>
                <w:rFonts w:ascii="Arial" w:cs="Arial" w:eastAsia="Arial" w:hAnsi="Arial"/>
                <w:sz w:val="19"/>
                <w:szCs w:val="19"/>
                <w:color w:val="auto"/>
              </w:rPr>
              <w:t>Other</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21"/>
        </w:trPr>
        <w:tc>
          <w:tcPr>
            <w:tcW w:w="4940" w:type="dxa"/>
            <w:vAlign w:val="bottom"/>
            <w:tcBorders>
              <w:bottom w:val="single" w:sz="8" w:color="auto"/>
            </w:tcBorders>
          </w:tcPr>
          <w:p>
            <w:pPr>
              <w:spacing w:after="0" w:line="214" w:lineRule="exact"/>
              <w:rPr>
                <w:sz w:val="20"/>
                <w:szCs w:val="20"/>
                <w:color w:val="auto"/>
              </w:rPr>
            </w:pPr>
            <w:r>
              <w:rPr>
                <w:rFonts w:ascii="Arial" w:cs="Arial" w:eastAsia="Arial" w:hAnsi="Arial"/>
                <w:sz w:val="19"/>
                <w:szCs w:val="19"/>
                <w:color w:val="auto"/>
              </w:rPr>
              <w:t>Change in valuation allowance</w:t>
            </w: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19"/>
                <w:szCs w:val="19"/>
                <w:color w:val="auto"/>
              </w:rPr>
              <w:t>26</w:t>
            </w:r>
          </w:p>
        </w:tc>
      </w:tr>
      <w:tr>
        <w:trPr>
          <w:trHeight w:val="479"/>
        </w:trPr>
        <w:tc>
          <w:tcPr>
            <w:tcW w:w="49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Income tax benefit</w:t>
            </w: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bl>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Company’s income tax benefit was computed based on the federal statutory rate and the average state statutory rates, net of the related federal benefit. Deferred income taxes reflect the net tax effects of temporary differences between the carrying amounts of assets and liabilities for financial reporting purposes and the amounts used for income tax purposes.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Significant components of the company’s deferred tax assets and liabilities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7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b w:val="1"/>
                <w:bCs w:val="1"/>
                <w:color w:val="auto"/>
              </w:rPr>
              <w:t>2019</w:t>
            </w:r>
          </w:p>
        </w:tc>
      </w:tr>
      <w:tr>
        <w:trPr>
          <w:trHeight w:val="475"/>
        </w:trPr>
        <w:tc>
          <w:tcPr>
            <w:tcW w:w="4980" w:type="dxa"/>
            <w:vAlign w:val="bottom"/>
          </w:tcPr>
          <w:p>
            <w:pPr>
              <w:spacing w:after="0"/>
              <w:rPr>
                <w:sz w:val="20"/>
                <w:szCs w:val="20"/>
                <w:color w:val="auto"/>
              </w:rPr>
            </w:pPr>
            <w:r>
              <w:rPr>
                <w:rFonts w:ascii="Arial" w:cs="Arial" w:eastAsia="Arial" w:hAnsi="Arial"/>
                <w:sz w:val="19"/>
                <w:szCs w:val="19"/>
                <w:color w:val="auto"/>
              </w:rPr>
              <w:t>Depreciable/depletable property, plant and equipment</w:t>
            </w:r>
          </w:p>
        </w:tc>
        <w:tc>
          <w:tcPr>
            <w:tcW w:w="74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1020" w:type="dxa"/>
            <w:vAlign w:val="bottom"/>
          </w:tcPr>
          <w:p>
            <w:pPr>
              <w:jc w:val="right"/>
              <w:ind w:right="6"/>
              <w:spacing w:after="0"/>
              <w:rPr>
                <w:sz w:val="20"/>
                <w:szCs w:val="20"/>
                <w:color w:val="auto"/>
              </w:rPr>
            </w:pPr>
            <w:r>
              <w:rPr>
                <w:rFonts w:ascii="Arial" w:cs="Arial" w:eastAsia="Arial" w:hAnsi="Arial"/>
                <w:sz w:val="19"/>
                <w:szCs w:val="19"/>
                <w:color w:val="auto"/>
              </w:rPr>
              <w:t>6,595</w:t>
            </w:r>
          </w:p>
        </w:tc>
      </w:tr>
      <w:tr>
        <w:trPr>
          <w:trHeight w:val="229"/>
        </w:trPr>
        <w:tc>
          <w:tcPr>
            <w:tcW w:w="4980" w:type="dxa"/>
            <w:vAlign w:val="bottom"/>
          </w:tcPr>
          <w:p>
            <w:pPr>
              <w:spacing w:after="0"/>
              <w:rPr>
                <w:sz w:val="20"/>
                <w:szCs w:val="20"/>
                <w:color w:val="auto"/>
              </w:rPr>
            </w:pPr>
            <w:r>
              <w:rPr>
                <w:rFonts w:ascii="Arial" w:cs="Arial" w:eastAsia="Arial" w:hAnsi="Arial"/>
                <w:sz w:val="19"/>
                <w:szCs w:val="19"/>
                <w:color w:val="auto"/>
              </w:rPr>
              <w:t>Asset retirement obligation</w:t>
            </w:r>
          </w:p>
        </w:tc>
        <w:tc>
          <w:tcPr>
            <w:tcW w:w="740" w:type="dxa"/>
            <w:vAlign w:val="bottom"/>
          </w:tcPr>
          <w:p>
            <w:pPr>
              <w:spacing w:after="0"/>
              <w:rPr>
                <w:sz w:val="19"/>
                <w:szCs w:val="19"/>
                <w:color w:val="auto"/>
              </w:rPr>
            </w:pPr>
          </w:p>
        </w:tc>
        <w:tc>
          <w:tcPr>
            <w:tcW w:w="1020" w:type="dxa"/>
            <w:vAlign w:val="bottom"/>
          </w:tcPr>
          <w:p>
            <w:pPr>
              <w:jc w:val="right"/>
              <w:ind w:right="6"/>
              <w:spacing w:after="0"/>
              <w:rPr>
                <w:sz w:val="20"/>
                <w:szCs w:val="20"/>
                <w:color w:val="auto"/>
              </w:rPr>
            </w:pPr>
            <w:r>
              <w:rPr>
                <w:rFonts w:ascii="Arial" w:cs="Arial" w:eastAsia="Arial" w:hAnsi="Arial"/>
                <w:sz w:val="19"/>
                <w:szCs w:val="19"/>
                <w:color w:val="auto"/>
              </w:rPr>
              <w:t>1,874</w:t>
            </w:r>
          </w:p>
        </w:tc>
      </w:tr>
      <w:tr>
        <w:trPr>
          <w:trHeight w:val="230"/>
        </w:trPr>
        <w:tc>
          <w:tcPr>
            <w:tcW w:w="4980" w:type="dxa"/>
            <w:vAlign w:val="bottom"/>
          </w:tcPr>
          <w:p>
            <w:pPr>
              <w:spacing w:after="0"/>
              <w:rPr>
                <w:sz w:val="20"/>
                <w:szCs w:val="20"/>
                <w:color w:val="auto"/>
              </w:rPr>
            </w:pPr>
            <w:r>
              <w:rPr>
                <w:rFonts w:ascii="Arial" w:cs="Arial" w:eastAsia="Arial" w:hAnsi="Arial"/>
                <w:sz w:val="19"/>
                <w:szCs w:val="19"/>
                <w:color w:val="auto"/>
              </w:rPr>
              <w:t>Interest expense</w:t>
            </w:r>
          </w:p>
        </w:tc>
        <w:tc>
          <w:tcPr>
            <w:tcW w:w="740" w:type="dxa"/>
            <w:vAlign w:val="bottom"/>
          </w:tcPr>
          <w:p>
            <w:pPr>
              <w:spacing w:after="0"/>
              <w:rPr>
                <w:sz w:val="19"/>
                <w:szCs w:val="19"/>
                <w:color w:val="auto"/>
              </w:rPr>
            </w:pPr>
          </w:p>
        </w:tc>
        <w:tc>
          <w:tcPr>
            <w:tcW w:w="1020" w:type="dxa"/>
            <w:vAlign w:val="bottom"/>
          </w:tcPr>
          <w:p>
            <w:pPr>
              <w:jc w:val="right"/>
              <w:ind w:right="6"/>
              <w:spacing w:after="0"/>
              <w:rPr>
                <w:sz w:val="20"/>
                <w:szCs w:val="20"/>
                <w:color w:val="auto"/>
              </w:rPr>
            </w:pPr>
            <w:r>
              <w:rPr>
                <w:rFonts w:ascii="Arial" w:cs="Arial" w:eastAsia="Arial" w:hAnsi="Arial"/>
                <w:sz w:val="19"/>
                <w:szCs w:val="19"/>
                <w:color w:val="auto"/>
              </w:rPr>
              <w:t>1,129</w:t>
            </w:r>
          </w:p>
        </w:tc>
      </w:tr>
      <w:tr>
        <w:trPr>
          <w:trHeight w:val="229"/>
        </w:trPr>
        <w:tc>
          <w:tcPr>
            <w:tcW w:w="4980" w:type="dxa"/>
            <w:vAlign w:val="bottom"/>
          </w:tcPr>
          <w:p>
            <w:pPr>
              <w:spacing w:after="0"/>
              <w:rPr>
                <w:sz w:val="20"/>
                <w:szCs w:val="20"/>
                <w:color w:val="auto"/>
              </w:rPr>
            </w:pPr>
            <w:r>
              <w:rPr>
                <w:rFonts w:ascii="Arial" w:cs="Arial" w:eastAsia="Arial" w:hAnsi="Arial"/>
                <w:sz w:val="19"/>
                <w:szCs w:val="19"/>
                <w:color w:val="auto"/>
              </w:rPr>
              <w:t>Derivative assets</w:t>
            </w:r>
          </w:p>
        </w:tc>
        <w:tc>
          <w:tcPr>
            <w:tcW w:w="740" w:type="dxa"/>
            <w:vAlign w:val="bottom"/>
          </w:tcPr>
          <w:p>
            <w:pPr>
              <w:spacing w:after="0"/>
              <w:rPr>
                <w:sz w:val="19"/>
                <w:szCs w:val="19"/>
                <w:color w:val="auto"/>
              </w:rPr>
            </w:pPr>
          </w:p>
        </w:tc>
        <w:tc>
          <w:tcPr>
            <w:tcW w:w="1020" w:type="dxa"/>
            <w:vAlign w:val="bottom"/>
          </w:tcPr>
          <w:p>
            <w:pPr>
              <w:jc w:val="right"/>
              <w:ind w:right="6"/>
              <w:spacing w:after="0"/>
              <w:rPr>
                <w:sz w:val="20"/>
                <w:szCs w:val="20"/>
                <w:color w:val="auto"/>
              </w:rPr>
            </w:pPr>
            <w:r>
              <w:rPr>
                <w:rFonts w:ascii="Arial" w:cs="Arial" w:eastAsia="Arial" w:hAnsi="Arial"/>
                <w:sz w:val="19"/>
                <w:szCs w:val="19"/>
                <w:color w:val="auto"/>
              </w:rPr>
              <w:t>472</w:t>
            </w:r>
          </w:p>
        </w:tc>
      </w:tr>
      <w:tr>
        <w:trPr>
          <w:trHeight w:val="230"/>
        </w:trPr>
        <w:tc>
          <w:tcPr>
            <w:tcW w:w="4980" w:type="dxa"/>
            <w:vAlign w:val="bottom"/>
          </w:tcPr>
          <w:p>
            <w:pPr>
              <w:spacing w:after="0"/>
              <w:rPr>
                <w:sz w:val="20"/>
                <w:szCs w:val="20"/>
                <w:color w:val="auto"/>
              </w:rPr>
            </w:pPr>
            <w:r>
              <w:rPr>
                <w:rFonts w:ascii="Arial" w:cs="Arial" w:eastAsia="Arial" w:hAnsi="Arial"/>
                <w:sz w:val="19"/>
                <w:szCs w:val="19"/>
                <w:color w:val="auto"/>
              </w:rPr>
              <w:t>Reserves and other</w:t>
            </w:r>
          </w:p>
        </w:tc>
        <w:tc>
          <w:tcPr>
            <w:tcW w:w="740" w:type="dxa"/>
            <w:vAlign w:val="bottom"/>
          </w:tcPr>
          <w:p>
            <w:pPr>
              <w:spacing w:after="0"/>
              <w:rPr>
                <w:sz w:val="19"/>
                <w:szCs w:val="19"/>
                <w:color w:val="auto"/>
              </w:rPr>
            </w:pPr>
          </w:p>
        </w:tc>
        <w:tc>
          <w:tcPr>
            <w:tcW w:w="1020" w:type="dxa"/>
            <w:vAlign w:val="bottom"/>
          </w:tcPr>
          <w:p>
            <w:pPr>
              <w:jc w:val="right"/>
              <w:ind w:right="6"/>
              <w:spacing w:after="0"/>
              <w:rPr>
                <w:sz w:val="20"/>
                <w:szCs w:val="20"/>
                <w:color w:val="auto"/>
              </w:rPr>
            </w:pPr>
            <w:r>
              <w:rPr>
                <w:rFonts w:ascii="Arial" w:cs="Arial" w:eastAsia="Arial" w:hAnsi="Arial"/>
                <w:sz w:val="19"/>
                <w:szCs w:val="19"/>
                <w:color w:val="auto"/>
              </w:rPr>
              <w:t>19</w:t>
            </w:r>
          </w:p>
        </w:tc>
      </w:tr>
      <w:tr>
        <w:trPr>
          <w:trHeight w:val="221"/>
        </w:trPr>
        <w:tc>
          <w:tcPr>
            <w:tcW w:w="4980" w:type="dxa"/>
            <w:vAlign w:val="bottom"/>
            <w:tcBorders>
              <w:bottom w:val="single" w:sz="8" w:color="auto"/>
            </w:tcBorders>
          </w:tcPr>
          <w:p>
            <w:pPr>
              <w:spacing w:after="0" w:line="214" w:lineRule="exact"/>
              <w:rPr>
                <w:sz w:val="20"/>
                <w:szCs w:val="20"/>
                <w:color w:val="auto"/>
              </w:rPr>
            </w:pPr>
            <w:r>
              <w:rPr>
                <w:rFonts w:ascii="Arial" w:cs="Arial" w:eastAsia="Arial" w:hAnsi="Arial"/>
                <w:sz w:val="19"/>
                <w:szCs w:val="19"/>
                <w:color w:val="auto"/>
              </w:rPr>
              <w:t>Net operating loss carryforward</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
              <w:spacing w:after="0" w:line="214" w:lineRule="exact"/>
              <w:rPr>
                <w:sz w:val="20"/>
                <w:szCs w:val="20"/>
                <w:color w:val="auto"/>
              </w:rPr>
            </w:pPr>
            <w:r>
              <w:rPr>
                <w:rFonts w:ascii="Arial" w:cs="Arial" w:eastAsia="Arial" w:hAnsi="Arial"/>
                <w:sz w:val="19"/>
                <w:szCs w:val="19"/>
                <w:color w:val="auto"/>
              </w:rPr>
              <w:t>12,752</w:t>
            </w:r>
          </w:p>
        </w:tc>
      </w:tr>
      <w:tr>
        <w:trPr>
          <w:trHeight w:val="245"/>
        </w:trPr>
        <w:tc>
          <w:tcPr>
            <w:tcW w:w="4980" w:type="dxa"/>
            <w:vAlign w:val="bottom"/>
          </w:tcPr>
          <w:p>
            <w:pPr>
              <w:spacing w:after="0"/>
              <w:rPr>
                <w:sz w:val="20"/>
                <w:szCs w:val="20"/>
                <w:color w:val="auto"/>
              </w:rPr>
            </w:pPr>
            <w:r>
              <w:rPr>
                <w:rFonts w:ascii="Arial" w:cs="Arial" w:eastAsia="Arial" w:hAnsi="Arial"/>
                <w:sz w:val="19"/>
                <w:szCs w:val="19"/>
                <w:color w:val="auto"/>
              </w:rPr>
              <w:t>Total noncurrent deferred tax assets</w:t>
            </w:r>
          </w:p>
        </w:tc>
        <w:tc>
          <w:tcPr>
            <w:tcW w:w="740" w:type="dxa"/>
            <w:vAlign w:val="bottom"/>
          </w:tcPr>
          <w:p>
            <w:pPr>
              <w:spacing w:after="0"/>
              <w:rPr>
                <w:sz w:val="21"/>
                <w:szCs w:val="21"/>
                <w:color w:val="auto"/>
              </w:rPr>
            </w:pPr>
          </w:p>
        </w:tc>
        <w:tc>
          <w:tcPr>
            <w:tcW w:w="1020" w:type="dxa"/>
            <w:vAlign w:val="bottom"/>
          </w:tcPr>
          <w:p>
            <w:pPr>
              <w:jc w:val="right"/>
              <w:ind w:right="6"/>
              <w:spacing w:after="0"/>
              <w:rPr>
                <w:sz w:val="20"/>
                <w:szCs w:val="20"/>
                <w:color w:val="auto"/>
              </w:rPr>
            </w:pPr>
            <w:r>
              <w:rPr>
                <w:rFonts w:ascii="Arial" w:cs="Arial" w:eastAsia="Arial" w:hAnsi="Arial"/>
                <w:sz w:val="19"/>
                <w:szCs w:val="19"/>
                <w:color w:val="auto"/>
              </w:rPr>
              <w:t>22,841</w:t>
            </w:r>
          </w:p>
        </w:tc>
      </w:tr>
      <w:tr>
        <w:trPr>
          <w:trHeight w:val="221"/>
        </w:trPr>
        <w:tc>
          <w:tcPr>
            <w:tcW w:w="4980" w:type="dxa"/>
            <w:vAlign w:val="bottom"/>
            <w:tcBorders>
              <w:bottom w:val="single" w:sz="8" w:color="auto"/>
            </w:tcBorders>
          </w:tcPr>
          <w:p>
            <w:pPr>
              <w:spacing w:after="0" w:line="214" w:lineRule="exact"/>
              <w:rPr>
                <w:sz w:val="20"/>
                <w:szCs w:val="20"/>
                <w:color w:val="auto"/>
              </w:rPr>
            </w:pPr>
            <w:r>
              <w:rPr>
                <w:rFonts w:ascii="Arial" w:cs="Arial" w:eastAsia="Arial" w:hAnsi="Arial"/>
                <w:sz w:val="19"/>
                <w:szCs w:val="19"/>
                <w:color w:val="auto"/>
              </w:rPr>
              <w:t>Valuation allowance</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19"/>
                <w:szCs w:val="19"/>
                <w:color w:val="auto"/>
              </w:rPr>
              <w:t>(22,841)</w:t>
            </w:r>
          </w:p>
        </w:tc>
      </w:tr>
      <w:tr>
        <w:trPr>
          <w:trHeight w:val="459"/>
        </w:trPr>
        <w:tc>
          <w:tcPr>
            <w:tcW w:w="49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noncurrent deferred tax assets</w:t>
            </w:r>
          </w:p>
        </w:tc>
        <w:tc>
          <w:tcPr>
            <w:tcW w:w="7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r>
    </w:tbl>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As of September 30, 2019, the Company has a net operating loss carryforward of approximately $57.4 million for federal income tax reporting purposes. Of this amount, $31.4 million will begin to expire in 2036 and $26 million has an indefinite carryforward period, but only has the availability to offset future income of up to 80% in any single year. The 2018 Tax Cuts and Jobs Act changed the rules related to uses and limitations of net operating loss carryforwards created in tax years beginning after December 31, 2017. Based on the history of losses of the predecessor entity and the continued depression of oil and gas prices, the Company concluded it was not more likely than not that the net operating losses would be utilized; accordingly, a valuation allowance was recorded. In addition, the Company has generated a net operating loss carryforward for state income tax purposes, which the Company believes will not be realized during the relevant carryforward periods; however, such amounts have not been separately disclosed in the consolidated financial statements as the Company does not believe that these net operating losses are material to the amounts presented herein.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9"/>
          <w:szCs w:val="19"/>
          <w:color w:val="auto"/>
        </w:rPr>
        <w:t>A valuation allowance has been established with respect to the portion of the deferred tax asset associated with tax basis in excess of carrying value of the Company’s assets for which the Company currently does not reasonably believe under the deferred tax asset realization criteria set forth in Topic 740 that it will more likely than not realize a benefit in future periods. During the year ended September 30, 2019, the Company recorded a valuation allowance of $22.8 million.</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percent likely to be realized upon its ultimate settlement. The Company had no uncertain tax positions as of September 30, 2019.</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The Company’s federal and state tax returns from its inception remain subject to examination by the applicable tax authorities.</w:t>
      </w:r>
    </w:p>
    <w:p>
      <w:pPr>
        <w:spacing w:after="0" w:line="186" w:lineRule="exact"/>
        <w:rPr>
          <w:sz w:val="20"/>
          <w:szCs w:val="20"/>
          <w:color w:val="auto"/>
        </w:rPr>
      </w:pPr>
    </w:p>
    <w:p>
      <w:pPr>
        <w:ind w:left="780" w:hanging="772"/>
        <w:spacing w:after="0"/>
        <w:tabs>
          <w:tab w:leader="none" w:pos="7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There is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182" w:lineRule="exact"/>
        <w:rPr>
          <w:sz w:val="20"/>
          <w:szCs w:val="20"/>
          <w:color w:val="auto"/>
        </w:rPr>
      </w:pPr>
    </w:p>
    <w:p>
      <w:pPr>
        <w:jc w:val="both"/>
        <w:ind w:left="720" w:right="700"/>
        <w:spacing w:after="0" w:line="273" w:lineRule="auto"/>
        <w:rPr>
          <w:sz w:val="20"/>
          <w:szCs w:val="20"/>
          <w:color w:val="auto"/>
        </w:rPr>
      </w:pPr>
      <w:r>
        <w:rPr>
          <w:rFonts w:ascii="Arial" w:cs="Arial" w:eastAsia="Arial" w:hAnsi="Arial"/>
          <w:sz w:val="19"/>
          <w:szCs w:val="19"/>
          <w:b w:val="1"/>
          <w:bCs w:val="1"/>
          <w:color w:val="auto"/>
        </w:rPr>
        <w:t xml:space="preserve">Level 1 </w:t>
      </w:r>
      <w:r>
        <w:rPr>
          <w:rFonts w:ascii="Arial" w:cs="Arial" w:eastAsia="Arial" w:hAnsi="Arial"/>
          <w:sz w:val="19"/>
          <w:szCs w:val="19"/>
          <w:color w:val="auto"/>
        </w:rPr>
        <w:t>- inputs to the valuation methodology are quoted prices (unadjusted) for identical assets or liabilities in active</w:t>
      </w:r>
      <w:r>
        <w:rPr>
          <w:rFonts w:ascii="Arial" w:cs="Arial" w:eastAsia="Arial" w:hAnsi="Arial"/>
          <w:sz w:val="19"/>
          <w:szCs w:val="19"/>
          <w:b w:val="1"/>
          <w:bCs w:val="1"/>
          <w:color w:val="auto"/>
        </w:rPr>
        <w:t xml:space="preserve"> </w:t>
      </w:r>
      <w:r>
        <w:rPr>
          <w:rFonts w:ascii="Arial" w:cs="Arial" w:eastAsia="Arial" w:hAnsi="Arial"/>
          <w:sz w:val="19"/>
          <w:szCs w:val="19"/>
          <w:color w:val="auto"/>
        </w:rPr>
        <w:t>markets.</w:t>
      </w:r>
    </w:p>
    <w:p>
      <w:pPr>
        <w:spacing w:after="0" w:line="110" w:lineRule="exact"/>
        <w:rPr>
          <w:sz w:val="20"/>
          <w:szCs w:val="20"/>
          <w:color w:val="auto"/>
        </w:rPr>
      </w:pPr>
    </w:p>
    <w:p>
      <w:pPr>
        <w:jc w:val="both"/>
        <w:ind w:left="720" w:right="720"/>
        <w:spacing w:after="0" w:line="255" w:lineRule="auto"/>
        <w:rPr>
          <w:sz w:val="20"/>
          <w:szCs w:val="20"/>
          <w:color w:val="auto"/>
        </w:rPr>
      </w:pPr>
      <w:r>
        <w:rPr>
          <w:rFonts w:ascii="Arial" w:cs="Arial" w:eastAsia="Arial" w:hAnsi="Arial"/>
          <w:sz w:val="19"/>
          <w:szCs w:val="19"/>
          <w:b w:val="1"/>
          <w:bCs w:val="1"/>
          <w:color w:val="auto"/>
        </w:rPr>
        <w:t xml:space="preserve">Level 2 </w:t>
      </w:r>
      <w:r>
        <w:rPr>
          <w:rFonts w:ascii="Arial" w:cs="Arial" w:eastAsia="Arial" w:hAnsi="Arial"/>
          <w:sz w:val="19"/>
          <w:szCs w:val="19"/>
          <w:color w:val="auto"/>
        </w:rPr>
        <w:t>- inputs to the valuation methodology include quoted prices for similar assets and liabilities in active markets,</w:t>
      </w:r>
      <w:r>
        <w:rPr>
          <w:rFonts w:ascii="Arial" w:cs="Arial" w:eastAsia="Arial" w:hAnsi="Arial"/>
          <w:sz w:val="19"/>
          <w:szCs w:val="19"/>
          <w:b w:val="1"/>
          <w:bCs w:val="1"/>
          <w:color w:val="auto"/>
        </w:rPr>
        <w:t xml:space="preserve"> </w:t>
      </w:r>
      <w:r>
        <w:rPr>
          <w:rFonts w:ascii="Arial" w:cs="Arial" w:eastAsia="Arial" w:hAnsi="Arial"/>
          <w:sz w:val="19"/>
          <w:szCs w:val="19"/>
          <w:color w:val="auto"/>
        </w:rPr>
        <w:t>and inputs that are observable for the asset or liability, either directly or indirectly, for substantially the full term of the financial instrument.</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 xml:space="preserve">Level 3 </w:t>
      </w:r>
      <w:r>
        <w:rPr>
          <w:rFonts w:ascii="Arial" w:cs="Arial" w:eastAsia="Arial" w:hAnsi="Arial"/>
          <w:sz w:val="19"/>
          <w:szCs w:val="19"/>
          <w:color w:val="auto"/>
        </w:rPr>
        <w:t>- inputs to the valuation methodology are unobservable and significant to the fair value measurement.</w:t>
      </w: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The Company had no assets or liabilities measured at fair value on a recurring basis, by level, as of September 30, 2019.</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9"/>
          <w:szCs w:val="19"/>
          <w:color w:val="auto"/>
        </w:rPr>
        <w:t>At September 30, 2019, the carrying value of cash, restricted cash, receivables and payables reflected in the Company’s consolidated financial statements approximates fair value due to their short-term nature. Additionally, we believe that the carrying value of the Company’s long-term debt under the credit facility approximates fair value because the credit facility carries an interest rate that approximates current market rates. The long-term debt is classified as Level 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0" w:lineRule="exact"/>
        <w:rPr>
          <w:sz w:val="20"/>
          <w:szCs w:val="20"/>
          <w:color w:val="auto"/>
        </w:rPr>
      </w:pPr>
    </w:p>
    <w:p>
      <w:pPr>
        <w:ind w:left="820" w:hanging="812"/>
        <w:spacing w:after="0"/>
        <w:tabs>
          <w:tab w:leader="none" w:pos="820"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Acquisitions and Divestitures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McMullen County Disposition</w:t>
      </w:r>
    </w:p>
    <w:p>
      <w:pPr>
        <w:spacing w:after="0" w:line="236"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In January 2019, the Company closed on the sale of certain oil and natural gas properties located in McMullen County, Texas for $260 thousand. The full cost pool was reduced by the net proceeds.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Lavaca County Disposition</w:t>
      </w:r>
    </w:p>
    <w:p>
      <w:pPr>
        <w:spacing w:after="0" w:line="236"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In April 2019, the Company closed on the sale of certain oil and natural gas properties located in Lavaca County, Texas. The Company received no proceeds but was relieved of $193 thousand of plugging liability.</w:t>
      </w:r>
    </w:p>
    <w:p>
      <w:pPr>
        <w:spacing w:after="0" w:line="176" w:lineRule="exact"/>
        <w:rPr>
          <w:sz w:val="20"/>
          <w:szCs w:val="20"/>
          <w:color w:val="auto"/>
        </w:rPr>
      </w:pPr>
    </w:p>
    <w:p>
      <w:pPr>
        <w:ind w:left="820" w:hanging="812"/>
        <w:spacing w:after="0"/>
        <w:tabs>
          <w:tab w:leader="none" w:pos="820"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Long-Term Debt - Affiliate</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Long-term debt - affiliate consists of the following (</w:t>
      </w:r>
      <w:r>
        <w:rPr>
          <w:rFonts w:ascii="Arial" w:cs="Arial" w:eastAsia="Arial" w:hAnsi="Arial"/>
          <w:sz w:val="19"/>
          <w:szCs w:val="19"/>
          <w:i w:val="1"/>
          <w:iCs w:val="1"/>
          <w:color w:val="auto"/>
        </w:rPr>
        <w:t>in thousands</w:t>
      </w:r>
      <w:r>
        <w:rPr>
          <w:rFonts w:ascii="Arial" w:cs="Arial" w:eastAsia="Arial" w:hAnsi="Arial"/>
          <w:sz w:val="19"/>
          <w:szCs w:val="19"/>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2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9"/>
                <w:szCs w:val="19"/>
                <w:b w:val="1"/>
                <w:bCs w:val="1"/>
                <w:color w:val="auto"/>
              </w:rPr>
              <w:t>2019</w:t>
            </w:r>
          </w:p>
        </w:tc>
      </w:tr>
      <w:tr>
        <w:trPr>
          <w:trHeight w:val="458"/>
        </w:trPr>
        <w:tc>
          <w:tcPr>
            <w:tcW w:w="440" w:type="dxa"/>
            <w:vAlign w:val="bottom"/>
          </w:tcPr>
          <w:p>
            <w:pPr>
              <w:spacing w:after="0"/>
              <w:rPr>
                <w:sz w:val="20"/>
                <w:szCs w:val="20"/>
                <w:color w:val="auto"/>
              </w:rPr>
            </w:pPr>
            <w:r>
              <w:rPr>
                <w:rFonts w:ascii="Arial" w:cs="Arial" w:eastAsia="Arial" w:hAnsi="Arial"/>
                <w:sz w:val="18"/>
                <w:szCs w:val="18"/>
                <w:color w:val="auto"/>
              </w:rPr>
              <w:t>2017</w:t>
            </w:r>
          </w:p>
        </w:tc>
        <w:tc>
          <w:tcPr>
            <w:tcW w:w="3160" w:type="dxa"/>
            <w:vAlign w:val="bottom"/>
          </w:tcPr>
          <w:p>
            <w:pPr>
              <w:ind w:left="20"/>
              <w:spacing w:after="0"/>
              <w:rPr>
                <w:sz w:val="20"/>
                <w:szCs w:val="20"/>
                <w:color w:val="auto"/>
              </w:rPr>
            </w:pPr>
            <w:r>
              <w:rPr>
                <w:rFonts w:ascii="Arial" w:cs="Arial" w:eastAsia="Arial" w:hAnsi="Arial"/>
                <w:sz w:val="18"/>
                <w:szCs w:val="18"/>
                <w:color w:val="auto"/>
              </w:rPr>
              <w:t>Term Loan</w:t>
            </w:r>
          </w:p>
        </w:tc>
        <w:tc>
          <w:tcPr>
            <w:tcW w:w="2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10"/>
        </w:trPr>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2018</w:t>
            </w:r>
          </w:p>
        </w:tc>
        <w:tc>
          <w:tcPr>
            <w:tcW w:w="31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Revolving Loan</w:t>
            </w:r>
          </w:p>
        </w:tc>
        <w:tc>
          <w:tcPr>
            <w:tcW w:w="2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40,000</w:t>
            </w:r>
          </w:p>
        </w:tc>
      </w:tr>
      <w:tr>
        <w:trPr>
          <w:trHeight w:val="237"/>
        </w:trPr>
        <w:tc>
          <w:tcPr>
            <w:tcW w:w="4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r>
    </w:tbl>
    <w:p>
      <w:pPr>
        <w:spacing w:after="0" w:line="220"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On September 29, 2017, the Company entered into a term loan of $35 million under a loan agreement with PennantPark. The loan agreement was made effective July 1, 2017 and matures on July 2, 2022. The term loan carries an interest rate of 8% with a 50% paid-in-kind interest option.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On June 5, 2018, the loan agreement was amended to add a revolving loan with a total commitment of $15 million. The loan agreement was further amended on January 7, 2019 and May 10, 2019, to increase the revolving loan commitment to $35 million and $40 million, respectively. The loan agreement was amended a fourth time in October 2019, as discussed in Note 9. Borrowings on the revolving loan must be at a minimum of $1 million and in $1 million increments, and carries an interest rate of 8%.</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loan agreement includes representations, warranties, and customary covenants, including certain financial covenants for minimum liquidity and maximum annual capital expenditures. As of September 30, 2019, the Company was in compliance with its financial covenants.</w:t>
      </w:r>
    </w:p>
    <w:p>
      <w:pPr>
        <w:spacing w:after="0" w:line="182" w:lineRule="exact"/>
        <w:rPr>
          <w:sz w:val="20"/>
          <w:szCs w:val="20"/>
          <w:color w:val="auto"/>
        </w:rPr>
      </w:pPr>
    </w:p>
    <w:p>
      <w:pPr>
        <w:ind w:left="780" w:hanging="772"/>
        <w:spacing w:after="0"/>
        <w:tabs>
          <w:tab w:leader="none" w:pos="780" w:val="left"/>
        </w:tabs>
        <w:numPr>
          <w:ilvl w:val="0"/>
          <w:numId w:val="133"/>
        </w:numPr>
        <w:rPr>
          <w:rFonts w:ascii="Arial" w:cs="Arial" w:eastAsia="Arial" w:hAnsi="Arial"/>
          <w:sz w:val="19"/>
          <w:szCs w:val="19"/>
          <w:b w:val="1"/>
          <w:bCs w:val="1"/>
          <w:color w:val="auto"/>
        </w:rPr>
      </w:pPr>
      <w:r>
        <w:rPr>
          <w:rFonts w:ascii="Arial" w:cs="Arial" w:eastAsia="Arial" w:hAnsi="Arial"/>
          <w:sz w:val="19"/>
          <w:szCs w:val="19"/>
          <w:b w:val="1"/>
          <w:bCs w:val="1"/>
          <w:color w:val="auto"/>
        </w:rPr>
        <w:t>Commitments and Contingencies</w:t>
      </w: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236"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RAM leases office space and certain equipment under non-cancelable operating lease agreements that expire on various dates through 2024. Approximate future minimum lease payments as of September 30, 2019 are as follows (</w:t>
      </w:r>
      <w:r>
        <w:rPr>
          <w:rFonts w:ascii="Arial" w:cs="Arial" w:eastAsia="Arial" w:hAnsi="Arial"/>
          <w:sz w:val="19"/>
          <w:szCs w:val="19"/>
          <w:i w:val="1"/>
          <w:iCs w:val="1"/>
          <w:color w:val="auto"/>
        </w:rPr>
        <w:t>in thousands</w:t>
      </w:r>
      <w:r>
        <w:rPr>
          <w:rFonts w:ascii="Arial" w:cs="Arial" w:eastAsia="Arial" w:hAnsi="Arial"/>
          <w:sz w:val="19"/>
          <w:szCs w:val="19"/>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Year Ending 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540" w:type="dxa"/>
            <w:vAlign w:val="bottom"/>
            <w:tcBorders>
              <w:top w:val="single" w:sz="8" w:color="auto"/>
            </w:tcBorders>
          </w:tcPr>
          <w:p>
            <w:pPr>
              <w:jc w:val="right"/>
              <w:ind w:right="3786"/>
              <w:spacing w:after="0"/>
              <w:rPr>
                <w:sz w:val="20"/>
                <w:szCs w:val="20"/>
                <w:color w:val="auto"/>
              </w:rPr>
            </w:pPr>
            <w:r>
              <w:rPr>
                <w:rFonts w:ascii="Arial" w:cs="Arial" w:eastAsia="Arial" w:hAnsi="Arial"/>
                <w:sz w:val="19"/>
                <w:szCs w:val="19"/>
                <w:color w:val="auto"/>
              </w:rPr>
              <w:t>2020</w:t>
            </w:r>
          </w:p>
        </w:tc>
        <w:tc>
          <w:tcPr>
            <w:tcW w:w="4620" w:type="dxa"/>
            <w:vAlign w:val="bottom"/>
            <w:tcBorders>
              <w:top w:val="single" w:sz="8" w:color="auto"/>
            </w:tcBorders>
          </w:tcPr>
          <w:p>
            <w:pPr>
              <w:jc w:val="right"/>
              <w:ind w:right="546"/>
              <w:spacing w:after="0"/>
              <w:rPr>
                <w:sz w:val="20"/>
                <w:szCs w:val="20"/>
                <w:color w:val="auto"/>
              </w:rPr>
            </w:pPr>
            <w:r>
              <w:rPr>
                <w:rFonts w:ascii="Arial" w:cs="Arial" w:eastAsia="Arial" w:hAnsi="Arial"/>
                <w:sz w:val="19"/>
                <w:szCs w:val="19"/>
                <w:color w:val="auto"/>
              </w:rPr>
              <w:t>$</w:t>
            </w:r>
          </w:p>
        </w:tc>
        <w:tc>
          <w:tcPr>
            <w:tcW w:w="1080" w:type="dxa"/>
            <w:vAlign w:val="bottom"/>
            <w:tcBorders>
              <w:top w:val="single" w:sz="8" w:color="auto"/>
            </w:tcBorders>
          </w:tcPr>
          <w:p>
            <w:pPr>
              <w:jc w:val="right"/>
              <w:ind w:right="26"/>
              <w:spacing w:after="0"/>
              <w:rPr>
                <w:sz w:val="20"/>
                <w:szCs w:val="20"/>
                <w:color w:val="auto"/>
              </w:rPr>
            </w:pPr>
            <w:r>
              <w:rPr>
                <w:rFonts w:ascii="Arial" w:cs="Arial" w:eastAsia="Arial" w:hAnsi="Arial"/>
                <w:sz w:val="19"/>
                <w:szCs w:val="19"/>
                <w:color w:val="auto"/>
              </w:rPr>
              <w:t>347</w:t>
            </w:r>
          </w:p>
        </w:tc>
      </w:tr>
      <w:tr>
        <w:trPr>
          <w:trHeight w:val="229"/>
        </w:trPr>
        <w:tc>
          <w:tcPr>
            <w:tcW w:w="5540" w:type="dxa"/>
            <w:vAlign w:val="bottom"/>
          </w:tcPr>
          <w:p>
            <w:pPr>
              <w:jc w:val="right"/>
              <w:ind w:right="3786"/>
              <w:spacing w:after="0"/>
              <w:rPr>
                <w:sz w:val="20"/>
                <w:szCs w:val="20"/>
                <w:color w:val="auto"/>
              </w:rPr>
            </w:pPr>
            <w:r>
              <w:rPr>
                <w:rFonts w:ascii="Arial" w:cs="Arial" w:eastAsia="Arial" w:hAnsi="Arial"/>
                <w:sz w:val="19"/>
                <w:szCs w:val="19"/>
                <w:color w:val="auto"/>
              </w:rPr>
              <w:t>2021</w:t>
            </w:r>
          </w:p>
        </w:tc>
        <w:tc>
          <w:tcPr>
            <w:tcW w:w="4620" w:type="dxa"/>
            <w:vAlign w:val="bottom"/>
          </w:tcPr>
          <w:p>
            <w:pPr>
              <w:spacing w:after="0"/>
              <w:rPr>
                <w:sz w:val="19"/>
                <w:szCs w:val="19"/>
                <w:color w:val="auto"/>
              </w:rPr>
            </w:pPr>
          </w:p>
        </w:tc>
        <w:tc>
          <w:tcPr>
            <w:tcW w:w="1080" w:type="dxa"/>
            <w:vAlign w:val="bottom"/>
          </w:tcPr>
          <w:p>
            <w:pPr>
              <w:jc w:val="right"/>
              <w:ind w:right="26"/>
              <w:spacing w:after="0"/>
              <w:rPr>
                <w:sz w:val="20"/>
                <w:szCs w:val="20"/>
                <w:color w:val="auto"/>
              </w:rPr>
            </w:pPr>
            <w:r>
              <w:rPr>
                <w:rFonts w:ascii="Arial" w:cs="Arial" w:eastAsia="Arial" w:hAnsi="Arial"/>
                <w:sz w:val="19"/>
                <w:szCs w:val="19"/>
                <w:color w:val="auto"/>
              </w:rPr>
              <w:t>214</w:t>
            </w:r>
          </w:p>
        </w:tc>
      </w:tr>
      <w:tr>
        <w:trPr>
          <w:trHeight w:val="229"/>
        </w:trPr>
        <w:tc>
          <w:tcPr>
            <w:tcW w:w="5540" w:type="dxa"/>
            <w:vAlign w:val="bottom"/>
          </w:tcPr>
          <w:p>
            <w:pPr>
              <w:jc w:val="right"/>
              <w:ind w:right="3786"/>
              <w:spacing w:after="0"/>
              <w:rPr>
                <w:sz w:val="20"/>
                <w:szCs w:val="20"/>
                <w:color w:val="auto"/>
              </w:rPr>
            </w:pPr>
            <w:r>
              <w:rPr>
                <w:rFonts w:ascii="Arial" w:cs="Arial" w:eastAsia="Arial" w:hAnsi="Arial"/>
                <w:sz w:val="19"/>
                <w:szCs w:val="19"/>
                <w:color w:val="auto"/>
              </w:rPr>
              <w:t>2022</w:t>
            </w:r>
          </w:p>
        </w:tc>
        <w:tc>
          <w:tcPr>
            <w:tcW w:w="4620" w:type="dxa"/>
            <w:vAlign w:val="bottom"/>
          </w:tcPr>
          <w:p>
            <w:pPr>
              <w:spacing w:after="0"/>
              <w:rPr>
                <w:sz w:val="19"/>
                <w:szCs w:val="19"/>
                <w:color w:val="auto"/>
              </w:rPr>
            </w:pPr>
          </w:p>
        </w:tc>
        <w:tc>
          <w:tcPr>
            <w:tcW w:w="1080" w:type="dxa"/>
            <w:vAlign w:val="bottom"/>
          </w:tcPr>
          <w:p>
            <w:pPr>
              <w:jc w:val="right"/>
              <w:ind w:right="26"/>
              <w:spacing w:after="0"/>
              <w:rPr>
                <w:sz w:val="20"/>
                <w:szCs w:val="20"/>
                <w:color w:val="auto"/>
              </w:rPr>
            </w:pPr>
            <w:r>
              <w:rPr>
                <w:rFonts w:ascii="Arial" w:cs="Arial" w:eastAsia="Arial" w:hAnsi="Arial"/>
                <w:sz w:val="19"/>
                <w:szCs w:val="19"/>
                <w:color w:val="auto"/>
              </w:rPr>
              <w:t>215</w:t>
            </w:r>
          </w:p>
        </w:tc>
      </w:tr>
      <w:tr>
        <w:trPr>
          <w:trHeight w:val="230"/>
        </w:trPr>
        <w:tc>
          <w:tcPr>
            <w:tcW w:w="5540" w:type="dxa"/>
            <w:vAlign w:val="bottom"/>
          </w:tcPr>
          <w:p>
            <w:pPr>
              <w:jc w:val="right"/>
              <w:ind w:right="3786"/>
              <w:spacing w:after="0"/>
              <w:rPr>
                <w:sz w:val="20"/>
                <w:szCs w:val="20"/>
                <w:color w:val="auto"/>
              </w:rPr>
            </w:pPr>
            <w:r>
              <w:rPr>
                <w:rFonts w:ascii="Arial" w:cs="Arial" w:eastAsia="Arial" w:hAnsi="Arial"/>
                <w:sz w:val="19"/>
                <w:szCs w:val="19"/>
                <w:color w:val="auto"/>
              </w:rPr>
              <w:t>2023</w:t>
            </w:r>
          </w:p>
        </w:tc>
        <w:tc>
          <w:tcPr>
            <w:tcW w:w="4620" w:type="dxa"/>
            <w:vAlign w:val="bottom"/>
          </w:tcPr>
          <w:p>
            <w:pPr>
              <w:spacing w:after="0"/>
              <w:rPr>
                <w:sz w:val="19"/>
                <w:szCs w:val="19"/>
                <w:color w:val="auto"/>
              </w:rPr>
            </w:pPr>
          </w:p>
        </w:tc>
        <w:tc>
          <w:tcPr>
            <w:tcW w:w="1080" w:type="dxa"/>
            <w:vAlign w:val="bottom"/>
          </w:tcPr>
          <w:p>
            <w:pPr>
              <w:jc w:val="right"/>
              <w:ind w:right="26"/>
              <w:spacing w:after="0"/>
              <w:rPr>
                <w:sz w:val="20"/>
                <w:szCs w:val="20"/>
                <w:color w:val="auto"/>
              </w:rPr>
            </w:pPr>
            <w:r>
              <w:rPr>
                <w:rFonts w:ascii="Arial" w:cs="Arial" w:eastAsia="Arial" w:hAnsi="Arial"/>
                <w:sz w:val="19"/>
                <w:szCs w:val="19"/>
                <w:color w:val="auto"/>
              </w:rPr>
              <w:t>20</w:t>
            </w:r>
          </w:p>
        </w:tc>
      </w:tr>
      <w:tr>
        <w:trPr>
          <w:trHeight w:val="221"/>
        </w:trPr>
        <w:tc>
          <w:tcPr>
            <w:tcW w:w="5540" w:type="dxa"/>
            <w:vAlign w:val="bottom"/>
            <w:tcBorders>
              <w:bottom w:val="single" w:sz="8" w:color="auto"/>
            </w:tcBorders>
          </w:tcPr>
          <w:p>
            <w:pPr>
              <w:jc w:val="right"/>
              <w:ind w:right="3786"/>
              <w:spacing w:after="0" w:line="214" w:lineRule="exact"/>
              <w:rPr>
                <w:sz w:val="20"/>
                <w:szCs w:val="20"/>
                <w:color w:val="auto"/>
              </w:rPr>
            </w:pPr>
            <w:r>
              <w:rPr>
                <w:rFonts w:ascii="Arial" w:cs="Arial" w:eastAsia="Arial" w:hAnsi="Arial"/>
                <w:sz w:val="19"/>
                <w:szCs w:val="19"/>
                <w:color w:val="auto"/>
              </w:rPr>
              <w:t>2024</w:t>
            </w:r>
          </w:p>
        </w:tc>
        <w:tc>
          <w:tcPr>
            <w:tcW w:w="4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6"/>
              <w:spacing w:after="0" w:line="214" w:lineRule="exact"/>
              <w:rPr>
                <w:sz w:val="20"/>
                <w:szCs w:val="20"/>
                <w:color w:val="auto"/>
              </w:rPr>
            </w:pPr>
            <w:r>
              <w:rPr>
                <w:rFonts w:ascii="Arial" w:cs="Arial" w:eastAsia="Arial" w:hAnsi="Arial"/>
                <w:sz w:val="19"/>
                <w:szCs w:val="19"/>
                <w:color w:val="auto"/>
              </w:rPr>
              <w:t>2</w:t>
            </w:r>
          </w:p>
        </w:tc>
      </w:tr>
      <w:tr>
        <w:trPr>
          <w:trHeight w:val="250"/>
        </w:trPr>
        <w:tc>
          <w:tcPr>
            <w:tcW w:w="554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tcPr>
          <w:p>
            <w:pPr>
              <w:jc w:val="right"/>
              <w:ind w:right="546"/>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798</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Rent expense of approximately $0.5 million was incurred under operating leases for the year ended September 30, 2019.</w:t>
      </w:r>
    </w:p>
    <w:p>
      <w:pPr>
        <w:spacing w:after="0" w:line="190" w:lineRule="exact"/>
        <w:rPr>
          <w:sz w:val="20"/>
          <w:szCs w:val="20"/>
          <w:color w:val="auto"/>
        </w:rPr>
      </w:pPr>
    </w:p>
    <w:p>
      <w:pPr>
        <w:ind w:left="780" w:hanging="772"/>
        <w:spacing w:after="0"/>
        <w:tabs>
          <w:tab w:leader="none" w:pos="780" w:val="left"/>
        </w:tabs>
        <w:numPr>
          <w:ilvl w:val="0"/>
          <w:numId w:val="134"/>
        </w:numPr>
        <w:rPr>
          <w:rFonts w:ascii="Arial" w:cs="Arial" w:eastAsia="Arial" w:hAnsi="Arial"/>
          <w:sz w:val="19"/>
          <w:szCs w:val="19"/>
          <w:b w:val="1"/>
          <w:bCs w:val="1"/>
          <w:color w:val="auto"/>
        </w:rPr>
      </w:pPr>
      <w:r>
        <w:rPr>
          <w:rFonts w:ascii="Arial" w:cs="Arial" w:eastAsia="Arial" w:hAnsi="Arial"/>
          <w:sz w:val="19"/>
          <w:szCs w:val="19"/>
          <w:b w:val="1"/>
          <w:bCs w:val="1"/>
          <w:color w:val="auto"/>
        </w:rPr>
        <w:t>Related Party Transactions</w:t>
      </w: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RAM made certain payments on behalf of an officer totaling $53 thousand in 2019, which are due to the Company as of September 30, 2019. LEL Energy, a company owned by an officer of RAM, made payments on behalf of RAM totaling $18 thousand in 2019, which are payables on RAM’s books as of September 30, 2019.</w:t>
      </w:r>
    </w:p>
    <w:p>
      <w:pPr>
        <w:spacing w:after="0" w:line="182" w:lineRule="exact"/>
        <w:rPr>
          <w:sz w:val="20"/>
          <w:szCs w:val="20"/>
          <w:color w:val="auto"/>
        </w:rPr>
      </w:pPr>
    </w:p>
    <w:p>
      <w:pPr>
        <w:ind w:left="780" w:hanging="772"/>
        <w:spacing w:after="0"/>
        <w:tabs>
          <w:tab w:leader="none" w:pos="780" w:val="left"/>
        </w:tabs>
        <w:numPr>
          <w:ilvl w:val="0"/>
          <w:numId w:val="135"/>
        </w:numPr>
        <w:rPr>
          <w:rFonts w:ascii="Arial" w:cs="Arial" w:eastAsia="Arial" w:hAnsi="Arial"/>
          <w:sz w:val="19"/>
          <w:szCs w:val="19"/>
          <w:b w:val="1"/>
          <w:bCs w:val="1"/>
          <w:color w:val="auto"/>
        </w:rPr>
      </w:pPr>
      <w:r>
        <w:rPr>
          <w:rFonts w:ascii="Arial" w:cs="Arial" w:eastAsia="Arial" w:hAnsi="Arial"/>
          <w:sz w:val="19"/>
          <w:szCs w:val="19"/>
          <w:b w:val="1"/>
          <w:bCs w:val="1"/>
          <w:color w:val="auto"/>
        </w:rPr>
        <w:t>Subsequent Events</w:t>
      </w: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evaluates events and transactions occurring after the balance sheet date and before the consolidated financial statements are available for issuance. Such events and transactions have been evaluated through November 15, 2019, the date the consolidated financial statements were available to be issued.</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On October 11, 2019, the loan agreement with PennantPark was amended to increase the revolving loan commitment to $50 million. The Company borrowed an additional $10 million on the revolving loan, bringing the total borrowings on the revolving loan to $50 million.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Macquarie Credit Facility</w:t>
      </w:r>
    </w:p>
    <w:p>
      <w:pPr>
        <w:spacing w:after="0" w:line="23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On October 16, 2019, RAM, Fayette and Service, as co-borrowers, entered into a $70 million credit facility with Macquarie Investments US Inc. (“Macquarie”) as Administrative Agent for itself. The amount funded at closing was $30.5 million, net of deferred loan costs. The facility includes a $30.5 million Tranche A term loan, a $16 million Tranche B term loan and a $23.5 million Tranche C term loan. Wells that are currently drilling are identified as Tranche A wells. Tranche B and Tranche C wells are identified in RAM’s future development plan. Tranche A was funded at closing, and will be used to pay a working capital deficit and other development and operating costs of Tranche A wells. Tranches B and C will be available when certain wells satisfy production targets and other conditions are met.</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Tranche A term loan provides for monthly payments of interest and principal during its term. Interest is charged at LIBOR plus the Applicable Margin of 8.0%. The Tranche A monthly amortization payments vary based on production of the new Fayette wells. The first principal repayment is due November 30, 2019. The Tranche B term loan provides for incremental monthly amortization payments, upon such date the Tranche B loan should become available.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44"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facility is secured by liens on substantially all properties and assets of the borrowers. The loan agreement contains representations, warranties and covenants customary in transactions of this nature, including financial covenants relating to a current ratio, a maximum leverage ratio and a PDP coverage ratio. The facility further provides for certain hedging requirements, and the Company entered into hedging agreements during October 2019.</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Hedging contracts entered during October 2019 are summarized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346"/>
              <w:spacing w:after="0"/>
              <w:rPr>
                <w:sz w:val="20"/>
                <w:szCs w:val="20"/>
                <w:color w:val="auto"/>
              </w:rPr>
            </w:pPr>
            <w:r>
              <w:rPr>
                <w:rFonts w:ascii="Arial" w:cs="Arial" w:eastAsia="Arial" w:hAnsi="Arial"/>
                <w:sz w:val="19"/>
                <w:szCs w:val="19"/>
                <w:b w:val="1"/>
                <w:bCs w:val="1"/>
                <w:color w:val="auto"/>
              </w:rPr>
              <w:t>Notional</w:t>
            </w:r>
          </w:p>
        </w:tc>
        <w:tc>
          <w:tcPr>
            <w:tcW w:w="11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306"/>
              <w:spacing w:after="0"/>
              <w:rPr>
                <w:sz w:val="20"/>
                <w:szCs w:val="20"/>
                <w:color w:val="auto"/>
              </w:rPr>
            </w:pPr>
            <w:r>
              <w:rPr>
                <w:rFonts w:ascii="Arial" w:cs="Arial" w:eastAsia="Arial" w:hAnsi="Arial"/>
                <w:sz w:val="19"/>
                <w:szCs w:val="19"/>
                <w:b w:val="1"/>
                <w:bCs w:val="1"/>
                <w:color w:val="auto"/>
              </w:rPr>
              <w:t>Average</w:t>
            </w:r>
          </w:p>
        </w:tc>
      </w:tr>
      <w:tr>
        <w:trPr>
          <w:trHeight w:val="256"/>
        </w:trPr>
        <w:tc>
          <w:tcPr>
            <w:tcW w:w="14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ind w:left="500"/>
              <w:spacing w:after="0"/>
              <w:rPr>
                <w:sz w:val="20"/>
                <w:szCs w:val="20"/>
                <w:color w:val="auto"/>
              </w:rPr>
            </w:pPr>
            <w:r>
              <w:rPr>
                <w:rFonts w:ascii="Arial" w:cs="Arial" w:eastAsia="Arial" w:hAnsi="Arial"/>
                <w:sz w:val="19"/>
                <w:szCs w:val="19"/>
                <w:b w:val="1"/>
                <w:bCs w:val="1"/>
                <w:color w:val="auto"/>
              </w:rPr>
              <w:t>Start Date</w:t>
            </w:r>
          </w:p>
        </w:tc>
        <w:tc>
          <w:tcPr>
            <w:tcW w:w="1520" w:type="dxa"/>
            <w:vAlign w:val="bottom"/>
            <w:tcBorders>
              <w:bottom w:val="single" w:sz="8" w:color="auto"/>
            </w:tcBorders>
          </w:tcPr>
          <w:p>
            <w:pPr>
              <w:ind w:left="420"/>
              <w:spacing w:after="0"/>
              <w:rPr>
                <w:sz w:val="20"/>
                <w:szCs w:val="20"/>
                <w:color w:val="auto"/>
              </w:rPr>
            </w:pPr>
            <w:r>
              <w:rPr>
                <w:rFonts w:ascii="Arial" w:cs="Arial" w:eastAsia="Arial" w:hAnsi="Arial"/>
                <w:sz w:val="19"/>
                <w:szCs w:val="19"/>
                <w:b w:val="1"/>
                <w:bCs w:val="1"/>
                <w:color w:val="auto"/>
              </w:rPr>
              <w:t>End Date</w:t>
            </w:r>
          </w:p>
        </w:tc>
        <w:tc>
          <w:tcPr>
            <w:tcW w:w="2220" w:type="dxa"/>
            <w:vAlign w:val="bottom"/>
            <w:tcBorders>
              <w:bottom w:val="single" w:sz="8" w:color="auto"/>
            </w:tcBorders>
          </w:tcPr>
          <w:p>
            <w:pPr>
              <w:ind w:left="640"/>
              <w:spacing w:after="0"/>
              <w:rPr>
                <w:sz w:val="20"/>
                <w:szCs w:val="20"/>
                <w:color w:val="auto"/>
              </w:rPr>
            </w:pPr>
            <w:r>
              <w:rPr>
                <w:rFonts w:ascii="Arial" w:cs="Arial" w:eastAsia="Arial" w:hAnsi="Arial"/>
                <w:sz w:val="19"/>
                <w:szCs w:val="19"/>
                <w:b w:val="1"/>
                <w:bCs w:val="1"/>
                <w:color w:val="auto"/>
              </w:rPr>
              <w:t>Commodity</w:t>
            </w:r>
          </w:p>
        </w:tc>
        <w:tc>
          <w:tcPr>
            <w:tcW w:w="1540" w:type="dxa"/>
            <w:vAlign w:val="bottom"/>
            <w:tcBorders>
              <w:bottom w:val="single" w:sz="8" w:color="auto"/>
            </w:tcBorders>
          </w:tcPr>
          <w:p>
            <w:pPr>
              <w:jc w:val="right"/>
              <w:ind w:right="346"/>
              <w:spacing w:after="0"/>
              <w:rPr>
                <w:sz w:val="20"/>
                <w:szCs w:val="20"/>
                <w:color w:val="auto"/>
              </w:rPr>
            </w:pPr>
            <w:r>
              <w:rPr>
                <w:rFonts w:ascii="Arial" w:cs="Arial" w:eastAsia="Arial" w:hAnsi="Arial"/>
                <w:sz w:val="19"/>
                <w:szCs w:val="19"/>
                <w:b w:val="1"/>
                <w:bCs w:val="1"/>
                <w:color w:val="auto"/>
              </w:rPr>
              <w:t>Quantity</w:t>
            </w:r>
          </w:p>
        </w:tc>
        <w:tc>
          <w:tcPr>
            <w:tcW w:w="1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rPr>
              <w:t>Strike Price</w:t>
            </w:r>
          </w:p>
        </w:tc>
      </w:tr>
      <w:tr>
        <w:trPr>
          <w:trHeight w:val="223"/>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1</w:t>
            </w:r>
          </w:p>
        </w:tc>
        <w:tc>
          <w:tcPr>
            <w:tcW w:w="1760" w:type="dxa"/>
            <w:vAlign w:val="bottom"/>
          </w:tcPr>
          <w:p>
            <w:pPr>
              <w:jc w:val="center"/>
              <w:ind w:left="66"/>
              <w:spacing w:after="0"/>
              <w:rPr>
                <w:sz w:val="20"/>
                <w:szCs w:val="20"/>
                <w:color w:val="auto"/>
              </w:rPr>
            </w:pPr>
            <w:r>
              <w:rPr>
                <w:rFonts w:ascii="Arial" w:cs="Arial" w:eastAsia="Arial" w:hAnsi="Arial"/>
                <w:sz w:val="19"/>
                <w:szCs w:val="19"/>
                <w:color w:val="auto"/>
                <w:w w:val="99"/>
              </w:rPr>
              <w:t>11/1/2019</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rPr>
              <w:t>10/31/2022</w:t>
            </w:r>
          </w:p>
        </w:tc>
        <w:tc>
          <w:tcPr>
            <w:tcW w:w="2220" w:type="dxa"/>
            <w:vAlign w:val="bottom"/>
          </w:tcPr>
          <w:p>
            <w:pPr>
              <w:ind w:left="220"/>
              <w:spacing w:after="0"/>
              <w:rPr>
                <w:sz w:val="20"/>
                <w:szCs w:val="20"/>
                <w:color w:val="auto"/>
              </w:rPr>
            </w:pPr>
            <w:r>
              <w:rPr>
                <w:rFonts w:ascii="Arial" w:cs="Arial" w:eastAsia="Arial" w:hAnsi="Arial"/>
                <w:sz w:val="19"/>
                <w:szCs w:val="19"/>
                <w:color w:val="auto"/>
              </w:rPr>
              <w:t>Crude Oil</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378,996</w:t>
            </w:r>
          </w:p>
        </w:tc>
        <w:tc>
          <w:tcPr>
            <w:tcW w:w="1140" w:type="dxa"/>
            <w:vAlign w:val="bottom"/>
          </w:tcPr>
          <w:p>
            <w:pPr>
              <w:ind w:left="140"/>
              <w:spacing w:after="0"/>
              <w:rPr>
                <w:sz w:val="20"/>
                <w:szCs w:val="20"/>
                <w:color w:val="auto"/>
              </w:rPr>
            </w:pPr>
            <w:r>
              <w:rPr>
                <w:rFonts w:ascii="Arial" w:cs="Arial" w:eastAsia="Arial" w:hAnsi="Arial"/>
                <w:sz w:val="19"/>
                <w:szCs w:val="19"/>
                <w:color w:val="auto"/>
              </w:rPr>
              <w:t>BBL</w:t>
            </w:r>
          </w:p>
        </w:tc>
        <w:tc>
          <w:tcPr>
            <w:tcW w:w="1600" w:type="dxa"/>
            <w:vAlign w:val="bottom"/>
          </w:tcPr>
          <w:p>
            <w:pPr>
              <w:jc w:val="right"/>
              <w:spacing w:after="0"/>
              <w:rPr>
                <w:sz w:val="20"/>
                <w:szCs w:val="20"/>
                <w:color w:val="auto"/>
              </w:rPr>
            </w:pPr>
            <w:r>
              <w:rPr>
                <w:rFonts w:ascii="Arial" w:cs="Arial" w:eastAsia="Arial" w:hAnsi="Arial"/>
                <w:sz w:val="19"/>
                <w:szCs w:val="19"/>
                <w:color w:val="auto"/>
              </w:rPr>
              <w:t>$51.097</w:t>
            </w:r>
          </w:p>
        </w:tc>
      </w:tr>
      <w:tr>
        <w:trPr>
          <w:trHeight w:val="229"/>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2</w:t>
            </w:r>
          </w:p>
        </w:tc>
        <w:tc>
          <w:tcPr>
            <w:tcW w:w="1760" w:type="dxa"/>
            <w:vAlign w:val="bottom"/>
          </w:tcPr>
          <w:p>
            <w:pPr>
              <w:jc w:val="center"/>
              <w:ind w:left="66"/>
              <w:spacing w:after="0"/>
              <w:rPr>
                <w:sz w:val="20"/>
                <w:szCs w:val="20"/>
                <w:color w:val="auto"/>
              </w:rPr>
            </w:pPr>
            <w:r>
              <w:rPr>
                <w:rFonts w:ascii="Arial" w:cs="Arial" w:eastAsia="Arial" w:hAnsi="Arial"/>
                <w:sz w:val="19"/>
                <w:szCs w:val="19"/>
                <w:color w:val="auto"/>
                <w:w w:val="99"/>
              </w:rPr>
              <w:t>11/1/2019</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rPr>
              <w:t>10/31/2020</w:t>
            </w:r>
          </w:p>
        </w:tc>
        <w:tc>
          <w:tcPr>
            <w:tcW w:w="2220" w:type="dxa"/>
            <w:vAlign w:val="bottom"/>
          </w:tcPr>
          <w:p>
            <w:pPr>
              <w:ind w:left="22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1,816,546</w:t>
            </w:r>
          </w:p>
        </w:tc>
        <w:tc>
          <w:tcPr>
            <w:tcW w:w="1140" w:type="dxa"/>
            <w:vAlign w:val="bottom"/>
          </w:tcPr>
          <w:p>
            <w:pPr>
              <w:ind w:left="140"/>
              <w:spacing w:after="0"/>
              <w:rPr>
                <w:sz w:val="20"/>
                <w:szCs w:val="20"/>
                <w:color w:val="auto"/>
              </w:rPr>
            </w:pPr>
            <w:r>
              <w:rPr>
                <w:rFonts w:ascii="Arial" w:cs="Arial" w:eastAsia="Arial" w:hAnsi="Arial"/>
                <w:sz w:val="19"/>
                <w:szCs w:val="19"/>
                <w:color w:val="auto"/>
              </w:rPr>
              <w:t>MMBTU</w:t>
            </w:r>
          </w:p>
        </w:tc>
        <w:tc>
          <w:tcPr>
            <w:tcW w:w="1600" w:type="dxa"/>
            <w:vAlign w:val="bottom"/>
          </w:tcPr>
          <w:p>
            <w:pPr>
              <w:jc w:val="right"/>
              <w:spacing w:after="0"/>
              <w:rPr>
                <w:sz w:val="20"/>
                <w:szCs w:val="20"/>
                <w:color w:val="auto"/>
              </w:rPr>
            </w:pPr>
            <w:r>
              <w:rPr>
                <w:rFonts w:ascii="Arial" w:cs="Arial" w:eastAsia="Arial" w:hAnsi="Arial"/>
                <w:sz w:val="19"/>
                <w:szCs w:val="19"/>
                <w:color w:val="auto"/>
              </w:rPr>
              <w:t>$2.304</w:t>
            </w:r>
          </w:p>
        </w:tc>
      </w:tr>
      <w:tr>
        <w:trPr>
          <w:trHeight w:val="229"/>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3</w:t>
            </w:r>
          </w:p>
        </w:tc>
        <w:tc>
          <w:tcPr>
            <w:tcW w:w="1760" w:type="dxa"/>
            <w:vAlign w:val="bottom"/>
          </w:tcPr>
          <w:p>
            <w:pPr>
              <w:jc w:val="center"/>
              <w:ind w:left="66"/>
              <w:spacing w:after="0"/>
              <w:rPr>
                <w:sz w:val="20"/>
                <w:szCs w:val="20"/>
                <w:color w:val="auto"/>
              </w:rPr>
            </w:pPr>
            <w:r>
              <w:rPr>
                <w:rFonts w:ascii="Arial" w:cs="Arial" w:eastAsia="Arial" w:hAnsi="Arial"/>
                <w:sz w:val="19"/>
                <w:szCs w:val="19"/>
                <w:color w:val="auto"/>
                <w:w w:val="99"/>
              </w:rPr>
              <w:t>12/1/2019</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w w:val="99"/>
              </w:rPr>
              <w:t>3/31/2020</w:t>
            </w:r>
          </w:p>
        </w:tc>
        <w:tc>
          <w:tcPr>
            <w:tcW w:w="2220" w:type="dxa"/>
            <w:vAlign w:val="bottom"/>
          </w:tcPr>
          <w:p>
            <w:pPr>
              <w:ind w:left="22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976,000</w:t>
            </w:r>
          </w:p>
        </w:tc>
        <w:tc>
          <w:tcPr>
            <w:tcW w:w="1140" w:type="dxa"/>
            <w:vAlign w:val="bottom"/>
          </w:tcPr>
          <w:p>
            <w:pPr>
              <w:ind w:left="140"/>
              <w:spacing w:after="0"/>
              <w:rPr>
                <w:sz w:val="20"/>
                <w:szCs w:val="20"/>
                <w:color w:val="auto"/>
              </w:rPr>
            </w:pPr>
            <w:r>
              <w:rPr>
                <w:rFonts w:ascii="Arial" w:cs="Arial" w:eastAsia="Arial" w:hAnsi="Arial"/>
                <w:sz w:val="19"/>
                <w:szCs w:val="19"/>
                <w:color w:val="auto"/>
              </w:rPr>
              <w:t>MMBTU</w:t>
            </w:r>
          </w:p>
        </w:tc>
        <w:tc>
          <w:tcPr>
            <w:tcW w:w="1600" w:type="dxa"/>
            <w:vAlign w:val="bottom"/>
          </w:tcPr>
          <w:p>
            <w:pPr>
              <w:jc w:val="right"/>
              <w:spacing w:after="0"/>
              <w:rPr>
                <w:sz w:val="20"/>
                <w:szCs w:val="20"/>
                <w:color w:val="auto"/>
              </w:rPr>
            </w:pPr>
            <w:r>
              <w:rPr>
                <w:rFonts w:ascii="Arial" w:cs="Arial" w:eastAsia="Arial" w:hAnsi="Arial"/>
                <w:sz w:val="19"/>
                <w:szCs w:val="19"/>
                <w:color w:val="auto"/>
              </w:rPr>
              <w:t>$2.556</w:t>
            </w:r>
          </w:p>
        </w:tc>
      </w:tr>
      <w:tr>
        <w:trPr>
          <w:trHeight w:val="230"/>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4</w:t>
            </w:r>
          </w:p>
        </w:tc>
        <w:tc>
          <w:tcPr>
            <w:tcW w:w="1760" w:type="dxa"/>
            <w:vAlign w:val="bottom"/>
          </w:tcPr>
          <w:p>
            <w:pPr>
              <w:jc w:val="center"/>
              <w:ind w:left="66"/>
              <w:spacing w:after="0"/>
              <w:rPr>
                <w:sz w:val="20"/>
                <w:szCs w:val="20"/>
                <w:color w:val="auto"/>
              </w:rPr>
            </w:pPr>
            <w:r>
              <w:rPr>
                <w:rFonts w:ascii="Arial" w:cs="Arial" w:eastAsia="Arial" w:hAnsi="Arial"/>
                <w:sz w:val="19"/>
                <w:szCs w:val="19"/>
                <w:color w:val="auto"/>
                <w:w w:val="99"/>
              </w:rPr>
              <w:t>11/1/2020</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w w:val="99"/>
              </w:rPr>
              <w:t>3/31/2021</w:t>
            </w:r>
          </w:p>
        </w:tc>
        <w:tc>
          <w:tcPr>
            <w:tcW w:w="2220" w:type="dxa"/>
            <w:vAlign w:val="bottom"/>
          </w:tcPr>
          <w:p>
            <w:pPr>
              <w:ind w:left="22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1,208,000</w:t>
            </w:r>
          </w:p>
        </w:tc>
        <w:tc>
          <w:tcPr>
            <w:tcW w:w="1140" w:type="dxa"/>
            <w:vAlign w:val="bottom"/>
          </w:tcPr>
          <w:p>
            <w:pPr>
              <w:ind w:left="140"/>
              <w:spacing w:after="0"/>
              <w:rPr>
                <w:sz w:val="20"/>
                <w:szCs w:val="20"/>
                <w:color w:val="auto"/>
              </w:rPr>
            </w:pPr>
            <w:r>
              <w:rPr>
                <w:rFonts w:ascii="Arial" w:cs="Arial" w:eastAsia="Arial" w:hAnsi="Arial"/>
                <w:sz w:val="19"/>
                <w:szCs w:val="19"/>
                <w:color w:val="auto"/>
              </w:rPr>
              <w:t>MMBTU</w:t>
            </w:r>
          </w:p>
        </w:tc>
        <w:tc>
          <w:tcPr>
            <w:tcW w:w="1600" w:type="dxa"/>
            <w:vAlign w:val="bottom"/>
          </w:tcPr>
          <w:p>
            <w:pPr>
              <w:jc w:val="right"/>
              <w:spacing w:after="0"/>
              <w:rPr>
                <w:sz w:val="20"/>
                <w:szCs w:val="20"/>
                <w:color w:val="auto"/>
              </w:rPr>
            </w:pPr>
            <w:r>
              <w:rPr>
                <w:rFonts w:ascii="Arial" w:cs="Arial" w:eastAsia="Arial" w:hAnsi="Arial"/>
                <w:sz w:val="19"/>
                <w:szCs w:val="19"/>
                <w:color w:val="auto"/>
              </w:rPr>
              <w:t>$2.601</w:t>
            </w:r>
          </w:p>
        </w:tc>
      </w:tr>
      <w:tr>
        <w:trPr>
          <w:trHeight w:val="229"/>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5</w:t>
            </w:r>
          </w:p>
        </w:tc>
        <w:tc>
          <w:tcPr>
            <w:tcW w:w="1760" w:type="dxa"/>
            <w:vAlign w:val="bottom"/>
          </w:tcPr>
          <w:p>
            <w:pPr>
              <w:jc w:val="center"/>
              <w:ind w:left="46"/>
              <w:spacing w:after="0"/>
              <w:rPr>
                <w:sz w:val="20"/>
                <w:szCs w:val="20"/>
                <w:color w:val="auto"/>
              </w:rPr>
            </w:pPr>
            <w:r>
              <w:rPr>
                <w:rFonts w:ascii="Arial" w:cs="Arial" w:eastAsia="Arial" w:hAnsi="Arial"/>
                <w:sz w:val="19"/>
                <w:szCs w:val="19"/>
                <w:color w:val="auto"/>
              </w:rPr>
              <w:t>4/1/2021</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rPr>
              <w:t>10/31/2022</w:t>
            </w:r>
          </w:p>
        </w:tc>
        <w:tc>
          <w:tcPr>
            <w:tcW w:w="2220" w:type="dxa"/>
            <w:vAlign w:val="bottom"/>
          </w:tcPr>
          <w:p>
            <w:pPr>
              <w:ind w:left="22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1,679,051</w:t>
            </w:r>
          </w:p>
        </w:tc>
        <w:tc>
          <w:tcPr>
            <w:tcW w:w="1140" w:type="dxa"/>
            <w:vAlign w:val="bottom"/>
          </w:tcPr>
          <w:p>
            <w:pPr>
              <w:ind w:left="140"/>
              <w:spacing w:after="0"/>
              <w:rPr>
                <w:sz w:val="20"/>
                <w:szCs w:val="20"/>
                <w:color w:val="auto"/>
              </w:rPr>
            </w:pPr>
            <w:r>
              <w:rPr>
                <w:rFonts w:ascii="Arial" w:cs="Arial" w:eastAsia="Arial" w:hAnsi="Arial"/>
                <w:sz w:val="19"/>
                <w:szCs w:val="19"/>
                <w:color w:val="auto"/>
              </w:rPr>
              <w:t>MMBTU</w:t>
            </w:r>
          </w:p>
        </w:tc>
        <w:tc>
          <w:tcPr>
            <w:tcW w:w="1600" w:type="dxa"/>
            <w:vAlign w:val="bottom"/>
          </w:tcPr>
          <w:p>
            <w:pPr>
              <w:jc w:val="right"/>
              <w:spacing w:after="0"/>
              <w:rPr>
                <w:sz w:val="20"/>
                <w:szCs w:val="20"/>
                <w:color w:val="auto"/>
              </w:rPr>
            </w:pPr>
            <w:r>
              <w:rPr>
                <w:rFonts w:ascii="Arial" w:cs="Arial" w:eastAsia="Arial" w:hAnsi="Arial"/>
                <w:sz w:val="19"/>
                <w:szCs w:val="19"/>
                <w:color w:val="auto"/>
              </w:rPr>
              <w:t>$2.367</w:t>
            </w:r>
          </w:p>
        </w:tc>
      </w:tr>
      <w:tr>
        <w:trPr>
          <w:trHeight w:val="230"/>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6</w:t>
            </w:r>
          </w:p>
        </w:tc>
        <w:tc>
          <w:tcPr>
            <w:tcW w:w="1760" w:type="dxa"/>
            <w:vAlign w:val="bottom"/>
          </w:tcPr>
          <w:p>
            <w:pPr>
              <w:jc w:val="center"/>
              <w:ind w:left="66"/>
              <w:spacing w:after="0"/>
              <w:rPr>
                <w:sz w:val="20"/>
                <w:szCs w:val="20"/>
                <w:color w:val="auto"/>
              </w:rPr>
            </w:pPr>
            <w:r>
              <w:rPr>
                <w:rFonts w:ascii="Arial" w:cs="Arial" w:eastAsia="Arial" w:hAnsi="Arial"/>
                <w:sz w:val="19"/>
                <w:szCs w:val="19"/>
                <w:color w:val="auto"/>
                <w:w w:val="99"/>
              </w:rPr>
              <w:t>11/1/2019</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rPr>
              <w:t>10/31/2022</w:t>
            </w:r>
          </w:p>
        </w:tc>
        <w:tc>
          <w:tcPr>
            <w:tcW w:w="2220" w:type="dxa"/>
            <w:vAlign w:val="bottom"/>
          </w:tcPr>
          <w:p>
            <w:pPr>
              <w:ind w:left="220"/>
              <w:spacing w:after="0"/>
              <w:rPr>
                <w:sz w:val="20"/>
                <w:szCs w:val="20"/>
                <w:color w:val="auto"/>
              </w:rPr>
            </w:pPr>
            <w:r>
              <w:rPr>
                <w:rFonts w:ascii="Arial" w:cs="Arial" w:eastAsia="Arial" w:hAnsi="Arial"/>
                <w:sz w:val="19"/>
                <w:szCs w:val="19"/>
                <w:color w:val="auto"/>
              </w:rPr>
              <w:t>Natural Gas Liquids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17,166,450</w:t>
            </w:r>
          </w:p>
        </w:tc>
        <w:tc>
          <w:tcPr>
            <w:tcW w:w="1140" w:type="dxa"/>
            <w:vAlign w:val="bottom"/>
          </w:tcPr>
          <w:p>
            <w:pPr>
              <w:ind w:left="140"/>
              <w:spacing w:after="0"/>
              <w:rPr>
                <w:sz w:val="20"/>
                <w:szCs w:val="20"/>
                <w:color w:val="auto"/>
              </w:rPr>
            </w:pPr>
            <w:r>
              <w:rPr>
                <w:rFonts w:ascii="Arial" w:cs="Arial" w:eastAsia="Arial" w:hAnsi="Arial"/>
                <w:sz w:val="19"/>
                <w:szCs w:val="19"/>
                <w:color w:val="auto"/>
              </w:rPr>
              <w:t>GAL</w:t>
            </w:r>
          </w:p>
        </w:tc>
        <w:tc>
          <w:tcPr>
            <w:tcW w:w="1600" w:type="dxa"/>
            <w:vAlign w:val="bottom"/>
          </w:tcPr>
          <w:p>
            <w:pPr>
              <w:jc w:val="right"/>
              <w:spacing w:after="0"/>
              <w:rPr>
                <w:sz w:val="20"/>
                <w:szCs w:val="20"/>
                <w:color w:val="auto"/>
              </w:rPr>
            </w:pPr>
            <w:r>
              <w:rPr>
                <w:rFonts w:ascii="Arial" w:cs="Arial" w:eastAsia="Arial" w:hAnsi="Arial"/>
                <w:sz w:val="19"/>
                <w:szCs w:val="19"/>
                <w:color w:val="auto"/>
              </w:rPr>
              <w:t>$0.170</w:t>
            </w:r>
          </w:p>
        </w:tc>
      </w:tr>
      <w:tr>
        <w:trPr>
          <w:trHeight w:val="256"/>
        </w:trPr>
        <w:tc>
          <w:tcPr>
            <w:tcW w:w="14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Contract 7</w:t>
            </w:r>
          </w:p>
        </w:tc>
        <w:tc>
          <w:tcPr>
            <w:tcW w:w="1760" w:type="dxa"/>
            <w:vAlign w:val="bottom"/>
            <w:tcBorders>
              <w:bottom w:val="single" w:sz="8" w:color="auto"/>
            </w:tcBorders>
          </w:tcPr>
          <w:p>
            <w:pPr>
              <w:jc w:val="center"/>
              <w:ind w:left="66"/>
              <w:spacing w:after="0"/>
              <w:rPr>
                <w:sz w:val="20"/>
                <w:szCs w:val="20"/>
                <w:color w:val="auto"/>
              </w:rPr>
            </w:pPr>
            <w:r>
              <w:rPr>
                <w:rFonts w:ascii="Arial" w:cs="Arial" w:eastAsia="Arial" w:hAnsi="Arial"/>
                <w:sz w:val="19"/>
                <w:szCs w:val="19"/>
                <w:color w:val="auto"/>
                <w:w w:val="99"/>
              </w:rPr>
              <w:t>11/1/2019</w:t>
            </w:r>
          </w:p>
        </w:tc>
        <w:tc>
          <w:tcPr>
            <w:tcW w:w="1520" w:type="dxa"/>
            <w:vAlign w:val="bottom"/>
            <w:tcBorders>
              <w:bottom w:val="single" w:sz="8" w:color="auto"/>
            </w:tcBorders>
          </w:tcPr>
          <w:p>
            <w:pPr>
              <w:jc w:val="center"/>
              <w:ind w:left="66"/>
              <w:spacing w:after="0"/>
              <w:rPr>
                <w:sz w:val="20"/>
                <w:szCs w:val="20"/>
                <w:color w:val="auto"/>
              </w:rPr>
            </w:pPr>
            <w:r>
              <w:rPr>
                <w:rFonts w:ascii="Arial" w:cs="Arial" w:eastAsia="Arial" w:hAnsi="Arial"/>
                <w:sz w:val="19"/>
                <w:szCs w:val="19"/>
                <w:color w:val="auto"/>
              </w:rPr>
              <w:t>10/31/2022</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9"/>
                <w:szCs w:val="19"/>
                <w:color w:val="auto"/>
              </w:rPr>
              <w:t>Natural Gas Liquids</w:t>
            </w:r>
          </w:p>
        </w:tc>
        <w:tc>
          <w:tcPr>
            <w:tcW w:w="15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7,125,846</w:t>
            </w: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rPr>
              <w:t>GAL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$0.450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facility matures October 16, 2022.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33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380"/>
        <w:spacing w:after="0"/>
        <w:rPr>
          <w:sz w:val="20"/>
          <w:szCs w:val="20"/>
          <w:color w:val="auto"/>
        </w:rPr>
      </w:pPr>
      <w:r>
        <w:rPr>
          <w:rFonts w:ascii="Arial" w:cs="Arial" w:eastAsia="Arial" w:hAnsi="Arial"/>
          <w:sz w:val="29"/>
          <w:szCs w:val="29"/>
          <w:b w:val="1"/>
          <w:bCs w:val="1"/>
          <w:color w:val="auto"/>
        </w:rPr>
        <w:t>RAM ENERGY HOLDINGS LLC AND</w:t>
      </w:r>
    </w:p>
    <w:p>
      <w:pPr>
        <w:spacing w:after="0" w:line="40" w:lineRule="exact"/>
        <w:rPr>
          <w:sz w:val="20"/>
          <w:szCs w:val="20"/>
          <w:color w:val="auto"/>
        </w:rPr>
      </w:pPr>
    </w:p>
    <w:p>
      <w:pPr>
        <w:ind w:left="4380"/>
        <w:spacing w:after="0"/>
        <w:rPr>
          <w:sz w:val="20"/>
          <w:szCs w:val="20"/>
          <w:color w:val="auto"/>
        </w:rPr>
      </w:pPr>
      <w:r>
        <w:rPr>
          <w:rFonts w:ascii="Arial" w:cs="Arial" w:eastAsia="Arial" w:hAnsi="Arial"/>
          <w:sz w:val="29"/>
          <w:szCs w:val="29"/>
          <w:b w:val="1"/>
          <w:bCs w:val="1"/>
          <w:color w:val="auto"/>
        </w:rPr>
        <w:t>SUBSIDIARIES</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25"/>
          <w:szCs w:val="25"/>
          <w:color w:val="auto"/>
        </w:rPr>
        <w:t>Consolidated Financial Statements (Unaudited)</w:t>
      </w:r>
    </w:p>
    <w:p>
      <w:pPr>
        <w:spacing w:after="0" w:line="191" w:lineRule="exact"/>
        <w:rPr>
          <w:sz w:val="20"/>
          <w:szCs w:val="20"/>
          <w:color w:val="auto"/>
        </w:rPr>
      </w:pPr>
    </w:p>
    <w:p>
      <w:pPr>
        <w:ind w:left="4380" w:right="420"/>
        <w:spacing w:after="0" w:line="238" w:lineRule="auto"/>
        <w:rPr>
          <w:sz w:val="20"/>
          <w:szCs w:val="20"/>
          <w:color w:val="auto"/>
        </w:rPr>
      </w:pPr>
      <w:r>
        <w:rPr>
          <w:rFonts w:ascii="Arial" w:cs="Arial" w:eastAsia="Arial" w:hAnsi="Arial"/>
          <w:sz w:val="22"/>
          <w:szCs w:val="22"/>
          <w:color w:val="auto"/>
        </w:rPr>
        <w:t>As of and for the Years Ended September 30,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731520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4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648"/>
        </w:trPr>
        <w:tc>
          <w:tcPr>
            <w:tcW w:w="864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 (Unaudited)</w:t>
            </w:r>
          </w:p>
        </w:tc>
        <w:tc>
          <w:tcPr>
            <w:tcW w:w="2620" w:type="dxa"/>
            <w:vAlign w:val="bottom"/>
          </w:tcPr>
          <w:p>
            <w:pPr>
              <w:spacing w:after="0"/>
              <w:rPr>
                <w:sz w:val="24"/>
                <w:szCs w:val="24"/>
                <w:color w:val="auto"/>
              </w:rPr>
            </w:pPr>
          </w:p>
        </w:tc>
      </w:tr>
      <w:tr>
        <w:trPr>
          <w:trHeight w:val="432"/>
        </w:trPr>
        <w:tc>
          <w:tcPr>
            <w:tcW w:w="8640" w:type="dxa"/>
            <w:vAlign w:val="bottom"/>
          </w:tcPr>
          <w:p>
            <w:pPr>
              <w:ind w:left="220"/>
              <w:spacing w:after="0"/>
              <w:rPr>
                <w:sz w:val="20"/>
                <w:szCs w:val="20"/>
                <w:color w:val="auto"/>
              </w:rPr>
            </w:pPr>
            <w:r>
              <w:rPr>
                <w:rFonts w:ascii="Arial" w:cs="Arial" w:eastAsia="Arial" w:hAnsi="Arial"/>
                <w:sz w:val="18"/>
                <w:szCs w:val="18"/>
                <w:color w:val="auto"/>
              </w:rPr>
              <w:t>Consolidated Balance Sheets as of September 30, 2018 and 2017 (Unaudited)</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8640" w:type="dxa"/>
            <w:vAlign w:val="bottom"/>
          </w:tcPr>
          <w:p>
            <w:pPr>
              <w:ind w:left="220"/>
              <w:spacing w:after="0"/>
              <w:rPr>
                <w:sz w:val="20"/>
                <w:szCs w:val="20"/>
                <w:color w:val="auto"/>
              </w:rPr>
            </w:pPr>
            <w:r>
              <w:rPr>
                <w:rFonts w:ascii="Arial" w:cs="Arial" w:eastAsia="Arial" w:hAnsi="Arial"/>
                <w:sz w:val="18"/>
                <w:szCs w:val="18"/>
                <w:color w:val="auto"/>
              </w:rPr>
              <w:t>Consolidated Statements of Operations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8640" w:type="dxa"/>
            <w:vAlign w:val="bottom"/>
          </w:tcPr>
          <w:p>
            <w:pPr>
              <w:ind w:left="380"/>
              <w:spacing w:after="0"/>
              <w:rPr>
                <w:sz w:val="20"/>
                <w:szCs w:val="20"/>
                <w:color w:val="auto"/>
              </w:rPr>
            </w:pPr>
            <w:r>
              <w:rPr>
                <w:rFonts w:ascii="Arial" w:cs="Arial" w:eastAsia="Arial" w:hAnsi="Arial"/>
                <w:sz w:val="18"/>
                <w:szCs w:val="18"/>
                <w:color w:val="auto"/>
              </w:rPr>
              <w:t>for the Years Ended September 30, 2018 and 2017 (Unaudited)</w:t>
            </w:r>
          </w:p>
        </w:tc>
        <w:tc>
          <w:tcPr>
            <w:tcW w:w="2620" w:type="dxa"/>
            <w:vAlign w:val="bottom"/>
          </w:tcPr>
          <w:p>
            <w:pPr>
              <w:spacing w:after="0"/>
              <w:rPr>
                <w:sz w:val="18"/>
                <w:szCs w:val="18"/>
                <w:color w:val="auto"/>
              </w:rPr>
            </w:pPr>
          </w:p>
        </w:tc>
      </w:tr>
      <w:tr>
        <w:trPr>
          <w:trHeight w:val="404"/>
        </w:trPr>
        <w:tc>
          <w:tcPr>
            <w:tcW w:w="8640" w:type="dxa"/>
            <w:vAlign w:val="bottom"/>
          </w:tcPr>
          <w:p>
            <w:pPr>
              <w:ind w:left="220"/>
              <w:spacing w:after="0"/>
              <w:rPr>
                <w:sz w:val="20"/>
                <w:szCs w:val="20"/>
                <w:color w:val="auto"/>
              </w:rPr>
            </w:pPr>
            <w:r>
              <w:rPr>
                <w:rFonts w:ascii="Arial" w:cs="Arial" w:eastAsia="Arial" w:hAnsi="Arial"/>
                <w:sz w:val="18"/>
                <w:szCs w:val="18"/>
                <w:color w:val="auto"/>
              </w:rPr>
              <w:t>Consolidated Statements of Member’s Deficit</w:t>
            </w:r>
          </w:p>
        </w:tc>
        <w:tc>
          <w:tcPr>
            <w:tcW w:w="2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7"/>
        </w:trPr>
        <w:tc>
          <w:tcPr>
            <w:tcW w:w="8640" w:type="dxa"/>
            <w:vAlign w:val="bottom"/>
          </w:tcPr>
          <w:p>
            <w:pPr>
              <w:ind w:left="380"/>
              <w:spacing w:after="0"/>
              <w:rPr>
                <w:sz w:val="20"/>
                <w:szCs w:val="20"/>
                <w:color w:val="auto"/>
              </w:rPr>
            </w:pPr>
            <w:r>
              <w:rPr>
                <w:rFonts w:ascii="Arial" w:cs="Arial" w:eastAsia="Arial" w:hAnsi="Arial"/>
                <w:sz w:val="18"/>
                <w:szCs w:val="18"/>
                <w:color w:val="auto"/>
              </w:rPr>
              <w:t>for the Years Ended September 30, 2018 and 2017 (Unaudited)</w:t>
            </w:r>
          </w:p>
        </w:tc>
        <w:tc>
          <w:tcPr>
            <w:tcW w:w="2620" w:type="dxa"/>
            <w:vAlign w:val="bottom"/>
          </w:tcPr>
          <w:p>
            <w:pPr>
              <w:spacing w:after="0"/>
              <w:rPr>
                <w:sz w:val="18"/>
                <w:szCs w:val="18"/>
                <w:color w:val="auto"/>
              </w:rPr>
            </w:pPr>
          </w:p>
        </w:tc>
      </w:tr>
      <w:tr>
        <w:trPr>
          <w:trHeight w:val="404"/>
        </w:trPr>
        <w:tc>
          <w:tcPr>
            <w:tcW w:w="8640" w:type="dxa"/>
            <w:vAlign w:val="bottom"/>
          </w:tcPr>
          <w:p>
            <w:pPr>
              <w:ind w:left="220"/>
              <w:spacing w:after="0"/>
              <w:rPr>
                <w:sz w:val="20"/>
                <w:szCs w:val="20"/>
                <w:color w:val="auto"/>
              </w:rPr>
            </w:pPr>
            <w:r>
              <w:rPr>
                <w:rFonts w:ascii="Arial" w:cs="Arial" w:eastAsia="Arial" w:hAnsi="Arial"/>
                <w:sz w:val="18"/>
                <w:szCs w:val="18"/>
                <w:color w:val="auto"/>
              </w:rPr>
              <w:t>Consolidated Statements of Cash Flows</w:t>
            </w:r>
          </w:p>
        </w:tc>
        <w:tc>
          <w:tcPr>
            <w:tcW w:w="2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8640" w:type="dxa"/>
            <w:vAlign w:val="bottom"/>
          </w:tcPr>
          <w:p>
            <w:pPr>
              <w:ind w:left="380"/>
              <w:spacing w:after="0"/>
              <w:rPr>
                <w:sz w:val="20"/>
                <w:szCs w:val="20"/>
                <w:color w:val="auto"/>
              </w:rPr>
            </w:pPr>
            <w:r>
              <w:rPr>
                <w:rFonts w:ascii="Arial" w:cs="Arial" w:eastAsia="Arial" w:hAnsi="Arial"/>
                <w:sz w:val="18"/>
                <w:szCs w:val="18"/>
                <w:color w:val="auto"/>
              </w:rPr>
              <w:t>for the Years Ended September 30, 2018 and 2017 (Unaudited)</w:t>
            </w:r>
          </w:p>
        </w:tc>
        <w:tc>
          <w:tcPr>
            <w:tcW w:w="2620" w:type="dxa"/>
            <w:vAlign w:val="bottom"/>
          </w:tcPr>
          <w:p>
            <w:pPr>
              <w:spacing w:after="0"/>
              <w:rPr>
                <w:sz w:val="18"/>
                <w:szCs w:val="18"/>
                <w:color w:val="auto"/>
              </w:rPr>
            </w:pPr>
          </w:p>
        </w:tc>
      </w:tr>
      <w:tr>
        <w:trPr>
          <w:trHeight w:val="418"/>
        </w:trPr>
        <w:tc>
          <w:tcPr>
            <w:tcW w:w="8640" w:type="dxa"/>
            <w:vAlign w:val="bottom"/>
          </w:tcPr>
          <w:p>
            <w:pPr>
              <w:ind w:left="220"/>
              <w:spacing w:after="0"/>
              <w:rPr>
                <w:sz w:val="20"/>
                <w:szCs w:val="20"/>
                <w:color w:val="auto"/>
              </w:rPr>
            </w:pPr>
            <w:r>
              <w:rPr>
                <w:rFonts w:ascii="Arial" w:cs="Arial" w:eastAsia="Arial" w:hAnsi="Arial"/>
                <w:sz w:val="18"/>
                <w:szCs w:val="18"/>
                <w:color w:val="auto"/>
              </w:rPr>
              <w:t>Notes to Consolidated Financial Statements (Unaudited)</w:t>
            </w:r>
          </w:p>
        </w:tc>
        <w:tc>
          <w:tcPr>
            <w:tcW w:w="262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1236"/>
        </w:trPr>
        <w:tc>
          <w:tcPr>
            <w:tcW w:w="86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September 30,</w:t>
            </w:r>
          </w:p>
        </w:tc>
        <w:tc>
          <w:tcPr>
            <w:tcW w:w="1960" w:type="dxa"/>
            <w:vAlign w:val="bottom"/>
          </w:tcPr>
          <w:p>
            <w:pPr>
              <w:spacing w:after="0"/>
              <w:rPr>
                <w:sz w:val="20"/>
                <w:szCs w:val="20"/>
                <w:color w:val="auto"/>
              </w:rPr>
            </w:pPr>
          </w:p>
        </w:tc>
        <w:tc>
          <w:tcPr>
            <w:tcW w:w="14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74"/>
        </w:trPr>
        <w:tc>
          <w:tcPr>
            <w:tcW w:w="608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75"/>
        </w:trPr>
        <w:tc>
          <w:tcPr>
            <w:tcW w:w="60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60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2,768,014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2,297,592</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9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5,738,249</w:t>
            </w:r>
          </w:p>
        </w:tc>
        <w:tc>
          <w:tcPr>
            <w:tcW w:w="4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1,381,640</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19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238,879</w:t>
            </w:r>
          </w:p>
        </w:tc>
        <w:tc>
          <w:tcPr>
            <w:tcW w:w="4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254,719</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19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113,773</w:t>
            </w:r>
          </w:p>
        </w:tc>
      </w:tr>
      <w:tr>
        <w:trPr>
          <w:trHeight w:val="210"/>
        </w:trPr>
        <w:tc>
          <w:tcPr>
            <w:tcW w:w="6080" w:type="dxa"/>
            <w:vAlign w:val="bottom"/>
            <w:tcBorders>
              <w:bottom w:val="single" w:sz="8" w:color="auto"/>
            </w:tcBorders>
          </w:tcPr>
          <w:p>
            <w:pPr>
              <w:ind w:left="220"/>
              <w:spacing w:after="0" w:line="203" w:lineRule="exact"/>
              <w:rPr>
                <w:sz w:val="20"/>
                <w:szCs w:val="20"/>
                <w:color w:val="auto"/>
              </w:rPr>
            </w:pPr>
            <w:r>
              <w:rPr>
                <w:rFonts w:ascii="Arial" w:cs="Arial" w:eastAsia="Arial" w:hAnsi="Arial"/>
                <w:sz w:val="18"/>
                <w:szCs w:val="18"/>
                <w:color w:val="auto"/>
              </w:rPr>
              <w:t>Other current assets</w:t>
            </w:r>
          </w:p>
        </w:tc>
        <w:tc>
          <w:tcPr>
            <w:tcW w:w="1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17,153</w:t>
            </w: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96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8,745,142</w:t>
            </w:r>
          </w:p>
        </w:tc>
        <w:tc>
          <w:tcPr>
            <w:tcW w:w="46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4,064,877</w:t>
            </w:r>
          </w:p>
        </w:tc>
      </w:tr>
      <w:tr>
        <w:trPr>
          <w:trHeight w:val="674"/>
        </w:trPr>
        <w:tc>
          <w:tcPr>
            <w:tcW w:w="6080" w:type="dxa"/>
            <w:vAlign w:val="bottom"/>
          </w:tcPr>
          <w:p>
            <w:pPr>
              <w:spacing w:after="0"/>
              <w:rPr>
                <w:sz w:val="20"/>
                <w:szCs w:val="20"/>
                <w:color w:val="auto"/>
              </w:rPr>
            </w:pPr>
            <w:r>
              <w:rPr>
                <w:rFonts w:ascii="Arial" w:cs="Arial" w:eastAsia="Arial" w:hAnsi="Arial"/>
                <w:sz w:val="18"/>
                <w:szCs w:val="18"/>
                <w:b w:val="1"/>
                <w:bCs w:val="1"/>
                <w:color w:val="auto"/>
              </w:rPr>
              <w:t>Property and Equipment, at Cost</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Proved oil and natural gas properties and equipment,</w:t>
            </w:r>
          </w:p>
        </w:tc>
        <w:tc>
          <w:tcPr>
            <w:tcW w:w="1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6080" w:type="dxa"/>
            <w:vAlign w:val="bottom"/>
          </w:tcPr>
          <w:p>
            <w:pPr>
              <w:ind w:left="380"/>
              <w:spacing w:after="0"/>
              <w:rPr>
                <w:sz w:val="20"/>
                <w:szCs w:val="20"/>
                <w:color w:val="auto"/>
              </w:rPr>
            </w:pPr>
            <w:r>
              <w:rPr>
                <w:rFonts w:ascii="Arial" w:cs="Arial" w:eastAsia="Arial" w:hAnsi="Arial"/>
                <w:sz w:val="18"/>
                <w:szCs w:val="18"/>
                <w:color w:val="auto"/>
              </w:rPr>
              <w:t>using full cost accounting</w:t>
            </w:r>
          </w:p>
        </w:tc>
        <w:tc>
          <w:tcPr>
            <w:tcW w:w="19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49,286,227</w:t>
            </w:r>
          </w:p>
        </w:tc>
        <w:tc>
          <w:tcPr>
            <w:tcW w:w="4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44,719,760</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Unproved oil and natural gas properties</w:t>
            </w:r>
          </w:p>
        </w:tc>
        <w:tc>
          <w:tcPr>
            <w:tcW w:w="19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6,245,449</w:t>
            </w:r>
          </w:p>
        </w:tc>
        <w:tc>
          <w:tcPr>
            <w:tcW w:w="4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4,325,546</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Gas gathering and processing equipment</w:t>
            </w:r>
          </w:p>
        </w:tc>
        <w:tc>
          <w:tcPr>
            <w:tcW w:w="19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2,285,109</w:t>
            </w:r>
          </w:p>
        </w:tc>
        <w:tc>
          <w:tcPr>
            <w:tcW w:w="4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080" w:type="dxa"/>
            <w:vAlign w:val="bottom"/>
            <w:tcBorders>
              <w:bottom w:val="single" w:sz="8" w:color="auto"/>
            </w:tcBorders>
          </w:tcPr>
          <w:p>
            <w:pPr>
              <w:ind w:left="220"/>
              <w:spacing w:after="0" w:line="203" w:lineRule="exact"/>
              <w:rPr>
                <w:sz w:val="20"/>
                <w:szCs w:val="20"/>
                <w:color w:val="auto"/>
              </w:rPr>
            </w:pPr>
            <w:r>
              <w:rPr>
                <w:rFonts w:ascii="Arial" w:cs="Arial" w:eastAsia="Arial" w:hAnsi="Arial"/>
                <w:sz w:val="18"/>
                <w:szCs w:val="18"/>
                <w:color w:val="auto"/>
              </w:rPr>
              <w:t>Other property and equipment</w:t>
            </w:r>
          </w:p>
        </w:tc>
        <w:tc>
          <w:tcPr>
            <w:tcW w:w="1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575,606</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491,472</w:t>
            </w:r>
          </w:p>
        </w:tc>
      </w:tr>
      <w:tr>
        <w:trPr>
          <w:trHeight w:val="243"/>
        </w:trPr>
        <w:tc>
          <w:tcPr>
            <w:tcW w:w="6080" w:type="dxa"/>
            <w:vAlign w:val="bottom"/>
          </w:tcPr>
          <w:p>
            <w:pPr>
              <w:ind w:left="260"/>
              <w:spacing w:after="0"/>
              <w:rPr>
                <w:sz w:val="20"/>
                <w:szCs w:val="20"/>
                <w:color w:val="auto"/>
              </w:rPr>
            </w:pPr>
            <w:r>
              <w:rPr>
                <w:rFonts w:ascii="Arial" w:cs="Arial" w:eastAsia="Arial" w:hAnsi="Arial"/>
                <w:sz w:val="18"/>
                <w:szCs w:val="18"/>
                <w:color w:val="auto"/>
              </w:rPr>
              <w:t>Less: accumulated depreciation, depletion,</w:t>
            </w:r>
          </w:p>
        </w:tc>
        <w:tc>
          <w:tcPr>
            <w:tcW w:w="196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58,392,391</w:t>
            </w:r>
          </w:p>
        </w:tc>
        <w:tc>
          <w:tcPr>
            <w:tcW w:w="4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49,536,778</w:t>
            </w:r>
          </w:p>
        </w:tc>
      </w:tr>
      <w:tr>
        <w:trPr>
          <w:trHeight w:val="439"/>
        </w:trPr>
        <w:tc>
          <w:tcPr>
            <w:tcW w:w="6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 and impairment</w:t>
            </w:r>
          </w:p>
        </w:tc>
        <w:tc>
          <w:tcPr>
            <w:tcW w:w="19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(33,910,815)</w:t>
            </w: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(32,500,655)</w:t>
            </w: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Net Property and Equipment</w:t>
            </w:r>
          </w:p>
        </w:tc>
        <w:tc>
          <w:tcPr>
            <w:tcW w:w="196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24,481,576</w:t>
            </w:r>
          </w:p>
        </w:tc>
        <w:tc>
          <w:tcPr>
            <w:tcW w:w="46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17,036,123</w:t>
            </w:r>
          </w:p>
        </w:tc>
      </w:tr>
      <w:tr>
        <w:trPr>
          <w:trHeight w:val="675"/>
        </w:trPr>
        <w:tc>
          <w:tcPr>
            <w:tcW w:w="60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608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196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12,659</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9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546,950</w:t>
            </w:r>
          </w:p>
        </w:tc>
        <w:tc>
          <w:tcPr>
            <w:tcW w:w="4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583,206</w:t>
            </w:r>
          </w:p>
        </w:tc>
      </w:tr>
      <w:tr>
        <w:trPr>
          <w:trHeight w:val="210"/>
        </w:trPr>
        <w:tc>
          <w:tcPr>
            <w:tcW w:w="6080" w:type="dxa"/>
            <w:vAlign w:val="bottom"/>
            <w:tcBorders>
              <w:bottom w:val="single" w:sz="8" w:color="auto"/>
            </w:tcBorders>
          </w:tcPr>
          <w:p>
            <w:pPr>
              <w:ind w:left="220"/>
              <w:spacing w:after="0" w:line="203" w:lineRule="exact"/>
              <w:rPr>
                <w:sz w:val="20"/>
                <w:szCs w:val="20"/>
                <w:color w:val="auto"/>
              </w:rPr>
            </w:pPr>
            <w:r>
              <w:rPr>
                <w:rFonts w:ascii="Arial" w:cs="Arial" w:eastAsia="Arial" w:hAnsi="Arial"/>
                <w:sz w:val="18"/>
                <w:szCs w:val="18"/>
                <w:color w:val="auto"/>
              </w:rPr>
              <w:t>Other</w:t>
            </w:r>
          </w:p>
        </w:tc>
        <w:tc>
          <w:tcPr>
            <w:tcW w:w="1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23,834</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51,834</w:t>
            </w:r>
          </w:p>
        </w:tc>
      </w:tr>
      <w:tr>
        <w:trPr>
          <w:trHeight w:val="453"/>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Other Assets</w:t>
            </w:r>
          </w:p>
        </w:tc>
        <w:tc>
          <w:tcPr>
            <w:tcW w:w="19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570,784</w:t>
            </w: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647,699</w:t>
            </w:r>
          </w:p>
        </w:tc>
      </w:tr>
      <w:tr>
        <w:trPr>
          <w:trHeight w:val="46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33,797,502</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21,748,699</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September 30,</w:t>
            </w:r>
          </w:p>
        </w:tc>
        <w:tc>
          <w:tcPr>
            <w:tcW w:w="19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2017</w:t>
            </w: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Liabilities and Member's Deficit</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6"/>
        </w:trPr>
        <w:tc>
          <w:tcPr>
            <w:tcW w:w="60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9"/>
        </w:trPr>
        <w:tc>
          <w:tcPr>
            <w:tcW w:w="60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1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9,726,498</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1,938,902</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Revenue payable</w:t>
            </w:r>
          </w:p>
        </w:tc>
        <w:tc>
          <w:tcPr>
            <w:tcW w:w="194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327,300</w:t>
            </w:r>
          </w:p>
        </w:tc>
        <w:tc>
          <w:tcPr>
            <w:tcW w:w="4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540,326</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94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813,458</w:t>
            </w:r>
          </w:p>
        </w:tc>
        <w:tc>
          <w:tcPr>
            <w:tcW w:w="4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837,573</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Drilling advances</w:t>
            </w:r>
          </w:p>
        </w:tc>
        <w:tc>
          <w:tcPr>
            <w:tcW w:w="194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3,441,260</w:t>
            </w:r>
          </w:p>
        </w:tc>
        <w:tc>
          <w:tcPr>
            <w:tcW w:w="4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6080" w:type="dxa"/>
            <w:vAlign w:val="bottom"/>
            <w:tcBorders>
              <w:bottom w:val="single" w:sz="8" w:color="auto"/>
            </w:tcBorders>
          </w:tcPr>
          <w:p>
            <w:pPr>
              <w:ind w:left="220"/>
              <w:spacing w:after="0" w:line="203" w:lineRule="exact"/>
              <w:rPr>
                <w:sz w:val="20"/>
                <w:szCs w:val="20"/>
                <w:color w:val="auto"/>
              </w:rPr>
            </w:pPr>
            <w:r>
              <w:rPr>
                <w:rFonts w:ascii="Arial" w:cs="Arial" w:eastAsia="Arial" w:hAnsi="Arial"/>
                <w:sz w:val="18"/>
                <w:szCs w:val="18"/>
                <w:color w:val="auto"/>
              </w:rPr>
              <w:t>Current portion of asset retirement obligations</w:t>
            </w:r>
          </w:p>
        </w:tc>
        <w:tc>
          <w:tcPr>
            <w:tcW w:w="19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427,062</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184,498</w:t>
            </w: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94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14,735,578</w:t>
            </w:r>
          </w:p>
        </w:tc>
        <w:tc>
          <w:tcPr>
            <w:tcW w:w="46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3,501,299</w:t>
            </w:r>
          </w:p>
        </w:tc>
      </w:tr>
      <w:tr>
        <w:trPr>
          <w:trHeight w:val="445"/>
        </w:trPr>
        <w:tc>
          <w:tcPr>
            <w:tcW w:w="6080" w:type="dxa"/>
            <w:vAlign w:val="bottom"/>
          </w:tcPr>
          <w:p>
            <w:pPr>
              <w:spacing w:after="0"/>
              <w:rPr>
                <w:sz w:val="20"/>
                <w:szCs w:val="20"/>
                <w:color w:val="auto"/>
              </w:rPr>
            </w:pPr>
            <w:r>
              <w:rPr>
                <w:rFonts w:ascii="Arial" w:cs="Arial" w:eastAsia="Arial" w:hAnsi="Arial"/>
                <w:sz w:val="18"/>
                <w:szCs w:val="18"/>
                <w:b w:val="1"/>
                <w:bCs w:val="1"/>
                <w:color w:val="auto"/>
              </w:rPr>
              <w:t>Asset Retirement Obligations, net of current portion</w:t>
            </w:r>
          </w:p>
        </w:tc>
        <w:tc>
          <w:tcPr>
            <w:tcW w:w="194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4,897,905</w:t>
            </w:r>
          </w:p>
        </w:tc>
        <w:tc>
          <w:tcPr>
            <w:tcW w:w="46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5,770,612</w:t>
            </w:r>
          </w:p>
        </w:tc>
      </w:tr>
      <w:tr>
        <w:trPr>
          <w:trHeight w:val="439"/>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Long-Term Debt - Affiliate</w:t>
            </w:r>
          </w:p>
        </w:tc>
        <w:tc>
          <w:tcPr>
            <w:tcW w:w="19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45,000,000</w:t>
            </w: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35,000,000</w:t>
            </w:r>
          </w:p>
        </w:tc>
      </w:tr>
      <w:tr>
        <w:trPr>
          <w:trHeight w:val="453"/>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19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64,633,483</w:t>
            </w: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44,271,911</w:t>
            </w: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2"/>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Member's Deficit</w:t>
            </w:r>
          </w:p>
        </w:tc>
        <w:tc>
          <w:tcPr>
            <w:tcW w:w="19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(30,835,981)</w:t>
            </w: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(22,523,212)</w:t>
            </w:r>
          </w:p>
        </w:tc>
      </w:tr>
      <w:tr>
        <w:trPr>
          <w:trHeight w:val="46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Member's Deficit</w:t>
            </w:r>
          </w:p>
        </w:tc>
        <w:tc>
          <w:tcPr>
            <w:tcW w:w="1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33,797,502</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21,748,699</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Year Ended September 30,</w:t>
            </w:r>
          </w:p>
        </w:tc>
        <w:tc>
          <w:tcPr>
            <w:tcW w:w="2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459"/>
        </w:trPr>
        <w:tc>
          <w:tcPr>
            <w:tcW w:w="586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2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Crude oil sales</w:t>
            </w: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5,011,118</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4,572,014</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Natural gas sales</w:t>
            </w:r>
          </w:p>
        </w:tc>
        <w:tc>
          <w:tcPr>
            <w:tcW w:w="2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1,628,127</w:t>
            </w:r>
          </w:p>
        </w:tc>
        <w:tc>
          <w:tcPr>
            <w:tcW w:w="4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3,233,455</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Natural gas liquids sales</w:t>
            </w:r>
          </w:p>
        </w:tc>
        <w:tc>
          <w:tcPr>
            <w:tcW w:w="2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942,436</w:t>
            </w:r>
          </w:p>
        </w:tc>
        <w:tc>
          <w:tcPr>
            <w:tcW w:w="4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731,655</w:t>
            </w:r>
          </w:p>
        </w:tc>
      </w:tr>
      <w:tr>
        <w:trPr>
          <w:trHeight w:val="210"/>
        </w:trPr>
        <w:tc>
          <w:tcPr>
            <w:tcW w:w="5860" w:type="dxa"/>
            <w:vAlign w:val="bottom"/>
            <w:tcBorders>
              <w:bottom w:val="single" w:sz="8" w:color="auto"/>
            </w:tcBorders>
          </w:tcPr>
          <w:p>
            <w:pPr>
              <w:ind w:left="220"/>
              <w:spacing w:after="0" w:line="203" w:lineRule="exact"/>
              <w:rPr>
                <w:sz w:val="20"/>
                <w:szCs w:val="20"/>
                <w:color w:val="auto"/>
              </w:rPr>
            </w:pPr>
            <w:r>
              <w:rPr>
                <w:rFonts w:ascii="Arial" w:cs="Arial" w:eastAsia="Arial" w:hAnsi="Arial"/>
                <w:sz w:val="18"/>
                <w:szCs w:val="18"/>
                <w:color w:val="auto"/>
              </w:rPr>
              <w:t>Water supply services</w:t>
            </w:r>
          </w:p>
        </w:tc>
        <w:tc>
          <w:tcPr>
            <w:tcW w:w="2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97,357</w:t>
            </w: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r>
      <w:tr>
        <w:trPr>
          <w:trHeight w:val="459"/>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16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7,679,038</w:t>
            </w:r>
          </w:p>
        </w:tc>
        <w:tc>
          <w:tcPr>
            <w:tcW w:w="460" w:type="dxa"/>
            <w:vAlign w:val="bottom"/>
          </w:tcPr>
          <w:p>
            <w:pPr>
              <w:spacing w:after="0"/>
              <w:rPr>
                <w:sz w:val="24"/>
                <w:szCs w:val="24"/>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8,537,124</w:t>
            </w:r>
          </w:p>
        </w:tc>
      </w:tr>
      <w:tr>
        <w:trPr>
          <w:trHeight w:val="674"/>
        </w:trPr>
        <w:tc>
          <w:tcPr>
            <w:tcW w:w="58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Oil and natural gas operating expenses</w:t>
            </w:r>
          </w:p>
        </w:tc>
        <w:tc>
          <w:tcPr>
            <w:tcW w:w="2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6,484,208</w:t>
            </w:r>
          </w:p>
        </w:tc>
        <w:tc>
          <w:tcPr>
            <w:tcW w:w="4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7,349,460</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Oil and natural gas production taxes</w:t>
            </w:r>
          </w:p>
        </w:tc>
        <w:tc>
          <w:tcPr>
            <w:tcW w:w="2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386,247</w:t>
            </w:r>
          </w:p>
        </w:tc>
        <w:tc>
          <w:tcPr>
            <w:tcW w:w="4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349,519</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Water usage</w:t>
            </w:r>
          </w:p>
        </w:tc>
        <w:tc>
          <w:tcPr>
            <w:tcW w:w="2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128,613</w:t>
            </w:r>
          </w:p>
        </w:tc>
        <w:tc>
          <w:tcPr>
            <w:tcW w:w="4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Depreciation, depletion and amortization</w:t>
            </w:r>
          </w:p>
        </w:tc>
        <w:tc>
          <w:tcPr>
            <w:tcW w:w="2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1,410,161</w:t>
            </w:r>
          </w:p>
        </w:tc>
        <w:tc>
          <w:tcPr>
            <w:tcW w:w="4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1,139,114</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Accretion of asset retirement obligations</w:t>
            </w:r>
          </w:p>
        </w:tc>
        <w:tc>
          <w:tcPr>
            <w:tcW w:w="2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688,081</w:t>
            </w:r>
          </w:p>
        </w:tc>
        <w:tc>
          <w:tcPr>
            <w:tcW w:w="4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569,471</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Bad debt expense</w:t>
            </w:r>
          </w:p>
        </w:tc>
        <w:tc>
          <w:tcPr>
            <w:tcW w:w="2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7,062</w:t>
            </w:r>
          </w:p>
        </w:tc>
        <w:tc>
          <w:tcPr>
            <w:tcW w:w="4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10,746</w:t>
            </w:r>
          </w:p>
        </w:tc>
      </w:tr>
      <w:tr>
        <w:trPr>
          <w:trHeight w:val="203"/>
        </w:trPr>
        <w:tc>
          <w:tcPr>
            <w:tcW w:w="586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 overhead and other</w:t>
            </w:r>
          </w:p>
        </w:tc>
        <w:tc>
          <w:tcPr>
            <w:tcW w:w="2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0"/>
        </w:trPr>
        <w:tc>
          <w:tcPr>
            <w:tcW w:w="5860" w:type="dxa"/>
            <w:vAlign w:val="bottom"/>
            <w:tcBorders>
              <w:bottom w:val="single" w:sz="8" w:color="auto"/>
            </w:tcBorders>
          </w:tcPr>
          <w:p>
            <w:pPr>
              <w:ind w:left="220"/>
              <w:spacing w:after="0" w:line="203" w:lineRule="exact"/>
              <w:rPr>
                <w:sz w:val="20"/>
                <w:szCs w:val="20"/>
                <w:color w:val="auto"/>
              </w:rPr>
            </w:pPr>
            <w:r>
              <w:rPr>
                <w:rFonts w:ascii="Arial" w:cs="Arial" w:eastAsia="Arial" w:hAnsi="Arial"/>
                <w:sz w:val="18"/>
                <w:szCs w:val="18"/>
                <w:color w:val="auto"/>
              </w:rPr>
              <w:t>expenses, net of operator's overhead fees</w:t>
            </w:r>
          </w:p>
        </w:tc>
        <w:tc>
          <w:tcPr>
            <w:tcW w:w="2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3,929,867</w:t>
            </w: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3,986,503</w:t>
            </w:r>
          </w:p>
        </w:tc>
      </w:tr>
      <w:tr>
        <w:trPr>
          <w:trHeight w:val="45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2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13,034,239</w:t>
            </w: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13,404,813</w:t>
            </w:r>
          </w:p>
        </w:tc>
      </w:tr>
      <w:tr>
        <w:trPr>
          <w:trHeight w:val="473"/>
        </w:trPr>
        <w:tc>
          <w:tcPr>
            <w:tcW w:w="58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16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(5,355,201)</w:t>
            </w:r>
          </w:p>
        </w:tc>
        <w:tc>
          <w:tcPr>
            <w:tcW w:w="460" w:type="dxa"/>
            <w:vAlign w:val="bottom"/>
          </w:tcPr>
          <w:p>
            <w:pPr>
              <w:spacing w:after="0"/>
              <w:rPr>
                <w:sz w:val="24"/>
                <w:szCs w:val="24"/>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(4,867,689)</w:t>
            </w:r>
          </w:p>
        </w:tc>
      </w:tr>
      <w:tr>
        <w:trPr>
          <w:trHeight w:val="445"/>
        </w:trPr>
        <w:tc>
          <w:tcPr>
            <w:tcW w:w="58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2"/>
        </w:trPr>
        <w:tc>
          <w:tcPr>
            <w:tcW w:w="58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1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(3,043,300)</w:t>
            </w:r>
          </w:p>
        </w:tc>
        <w:tc>
          <w:tcPr>
            <w:tcW w:w="4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(7,344,345)</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36,278</w:t>
            </w:r>
          </w:p>
        </w:tc>
        <w:tc>
          <w:tcPr>
            <w:tcW w:w="4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16,752</w:t>
            </w: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Losses on derivatives</w:t>
            </w:r>
          </w:p>
        </w:tc>
        <w:tc>
          <w:tcPr>
            <w:tcW w:w="216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(3,834)</w:t>
            </w:r>
          </w:p>
        </w:tc>
        <w:tc>
          <w:tcPr>
            <w:tcW w:w="46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(147,157)</w:t>
            </w:r>
          </w:p>
        </w:tc>
      </w:tr>
      <w:tr>
        <w:trPr>
          <w:trHeight w:val="210"/>
        </w:trPr>
        <w:tc>
          <w:tcPr>
            <w:tcW w:w="5860" w:type="dxa"/>
            <w:vAlign w:val="bottom"/>
            <w:tcBorders>
              <w:bottom w:val="single" w:sz="8" w:color="auto"/>
            </w:tcBorders>
          </w:tcPr>
          <w:p>
            <w:pPr>
              <w:ind w:left="220"/>
              <w:spacing w:after="0" w:line="203" w:lineRule="exact"/>
              <w:rPr>
                <w:sz w:val="20"/>
                <w:szCs w:val="20"/>
                <w:color w:val="auto"/>
              </w:rPr>
            </w:pPr>
            <w:r>
              <w:rPr>
                <w:rFonts w:ascii="Arial" w:cs="Arial" w:eastAsia="Arial" w:hAnsi="Arial"/>
                <w:sz w:val="18"/>
                <w:szCs w:val="18"/>
                <w:color w:val="auto"/>
              </w:rPr>
              <w:t>Other income, net</w:t>
            </w:r>
          </w:p>
        </w:tc>
        <w:tc>
          <w:tcPr>
            <w:tcW w:w="2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53,288</w:t>
            </w: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24,779</w:t>
            </w:r>
          </w:p>
        </w:tc>
      </w:tr>
      <w:tr>
        <w:trPr>
          <w:trHeight w:val="466"/>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Other Expense</w:t>
            </w:r>
          </w:p>
        </w:tc>
        <w:tc>
          <w:tcPr>
            <w:tcW w:w="2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(2,957,568)</w:t>
            </w: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(7,449,971)</w:t>
            </w:r>
          </w:p>
        </w:tc>
      </w:tr>
      <w:tr>
        <w:trPr>
          <w:trHeight w:val="473"/>
        </w:trPr>
        <w:tc>
          <w:tcPr>
            <w:tcW w:w="58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(8,312,769)</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(12,317,660)</w:t>
            </w: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jc w:val="both"/>
        <w:spacing w:after="0" w:line="412" w:lineRule="auto"/>
        <w:framePr w:w="2220" w:h="1067" w:wrap="auto" w:vAnchor="page" w:hAnchor="page" w:x="280" w:y="2043"/>
        <w:rPr>
          <w:rFonts w:ascii="Arial" w:cs="Arial" w:eastAsia="Arial" w:hAnsi="Arial"/>
          <w:sz w:val="18"/>
          <w:szCs w:val="18"/>
          <w:color w:val="auto"/>
        </w:rPr>
      </w:pPr>
      <w:r>
        <w:rPr>
          <w:rFonts w:ascii="Arial" w:cs="Arial" w:eastAsia="Arial" w:hAnsi="Arial"/>
          <w:sz w:val="18"/>
          <w:szCs w:val="18"/>
          <w:b w:val="1"/>
          <w:bCs w:val="1"/>
          <w:color w:val="auto"/>
        </w:rPr>
        <w:t xml:space="preserve">Balance, October 1, 2016 </w:t>
      </w:r>
      <w:r>
        <w:rPr>
          <w:rFonts w:ascii="Arial" w:cs="Arial" w:eastAsia="Arial" w:hAnsi="Arial"/>
          <w:sz w:val="18"/>
          <w:szCs w:val="18"/>
          <w:color w:val="auto"/>
        </w:rPr>
        <w:t>Debt exchanged for equity Net loss</w:t>
      </w:r>
    </w:p>
    <w:p>
      <w:pPr>
        <w:spacing w:after="0" w:line="352" w:lineRule="auto"/>
        <w:framePr w:w="2560" w:h="608" w:wrap="auto" w:vAnchor="page" w:hAnchor="page" w:x="280" w:y="3420"/>
        <w:rPr>
          <w:rFonts w:ascii="Arial" w:cs="Arial" w:eastAsia="Arial" w:hAnsi="Arial"/>
          <w:sz w:val="18"/>
          <w:szCs w:val="18"/>
          <w:color w:val="auto"/>
        </w:rPr>
      </w:pPr>
      <w:r>
        <w:rPr>
          <w:rFonts w:ascii="Arial" w:cs="Arial" w:eastAsia="Arial" w:hAnsi="Arial"/>
          <w:sz w:val="18"/>
          <w:szCs w:val="18"/>
          <w:b w:val="1"/>
          <w:bCs w:val="1"/>
          <w:color w:val="auto"/>
        </w:rPr>
        <w:t xml:space="preserve">Balance, September 30, 2017 </w:t>
      </w:r>
      <w:r>
        <w:rPr>
          <w:rFonts w:ascii="Arial" w:cs="Arial" w:eastAsia="Arial" w:hAnsi="Arial"/>
          <w:sz w:val="18"/>
          <w:szCs w:val="18"/>
          <w:color w:val="auto"/>
        </w:rPr>
        <w:t>Net loss</w:t>
      </w:r>
    </w:p>
    <w:p>
      <w:pPr>
        <w:spacing w:after="0" w:line="188" w:lineRule="auto"/>
        <w:framePr w:w="2560" w:h="163" w:wrap="auto" w:vAnchor="page" w:hAnchor="page" w:x="280" w:y="4338"/>
        <w:rPr>
          <w:rFonts w:ascii="Arial" w:cs="Arial" w:eastAsia="Arial" w:hAnsi="Arial"/>
          <w:sz w:val="18"/>
          <w:szCs w:val="18"/>
          <w:b w:val="1"/>
          <w:bCs w:val="1"/>
          <w:color w:val="auto"/>
        </w:rPr>
      </w:pPr>
      <w:r>
        <w:rPr>
          <w:rFonts w:ascii="Arial" w:cs="Arial" w:eastAsia="Arial" w:hAnsi="Arial"/>
          <w:sz w:val="18"/>
          <w:szCs w:val="18"/>
          <w:b w:val="1"/>
          <w:bCs w:val="1"/>
          <w:color w:val="auto"/>
        </w:rPr>
        <w:t>Balance, September 30, 2018</w:t>
      </w:r>
    </w:p>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1" w:lineRule="exact"/>
        <w:rPr>
          <w:rFonts w:ascii="Arial" w:cs="Arial" w:eastAsia="Arial" w:hAnsi="Arial"/>
          <w:sz w:val="18"/>
          <w:szCs w:val="18"/>
          <w:b w:val="1"/>
          <w:bCs w:val="1"/>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Member’s Deficit</w:t>
      </w:r>
    </w:p>
    <w:p>
      <w:pPr>
        <w:spacing w:after="0" w:line="14" w:lineRule="exact"/>
        <w:rPr>
          <w:rFonts w:ascii="Arial" w:cs="Arial" w:eastAsia="Arial" w:hAnsi="Arial"/>
          <w:sz w:val="18"/>
          <w:szCs w:val="18"/>
          <w:b w:val="1"/>
          <w:bCs w:val="1"/>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76" w:lineRule="exact"/>
        <w:rPr>
          <w:rFonts w:ascii="Arial" w:cs="Arial" w:eastAsia="Arial" w:hAnsi="Arial"/>
          <w:sz w:val="18"/>
          <w:szCs w:val="18"/>
          <w:b w:val="1"/>
          <w:bCs w:val="1"/>
          <w:color w:val="auto"/>
        </w:rPr>
      </w:pPr>
    </w:p>
    <w:tbl>
      <w:tblPr>
        <w:tblLayout w:type="fixed"/>
        <w:tblInd w:w="0" w:type="dxa"/>
        <w:tblCellMar>
          <w:top w:w="0" w:type="dxa"/>
          <w:left w:w="0" w:type="dxa"/>
          <w:bottom w:w="0" w:type="dxa"/>
          <w:right w:w="0" w:type="dxa"/>
        </w:tblCellMar>
      </w:tblPr>
      <w:tr>
        <w:trPr>
          <w:trHeight w:val="207"/>
        </w:trPr>
        <w:tc>
          <w:tcPr>
            <w:tcW w:w="9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Member's</w:t>
            </w:r>
          </w:p>
        </w:tc>
      </w:tr>
      <w:tr>
        <w:trPr>
          <w:trHeight w:val="232"/>
        </w:trPr>
        <w:tc>
          <w:tcPr>
            <w:tcW w:w="9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Units</w:t>
            </w: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Deficit</w:t>
            </w:r>
          </w:p>
        </w:tc>
      </w:tr>
      <w:tr>
        <w:trPr>
          <w:trHeight w:val="473"/>
        </w:trPr>
        <w:tc>
          <w:tcPr>
            <w:tcW w:w="9420" w:type="dxa"/>
            <w:vAlign w:val="bottom"/>
          </w:tcPr>
          <w:p>
            <w:pPr>
              <w:jc w:val="right"/>
              <w:ind w:right="70"/>
              <w:spacing w:after="0"/>
              <w:rPr>
                <w:sz w:val="20"/>
                <w:szCs w:val="20"/>
                <w:color w:val="auto"/>
              </w:rPr>
            </w:pPr>
            <w:r>
              <w:rPr>
                <w:rFonts w:ascii="Arial" w:cs="Arial" w:eastAsia="Arial" w:hAnsi="Arial"/>
                <w:sz w:val="18"/>
                <w:szCs w:val="18"/>
                <w:color w:val="auto"/>
              </w:rPr>
              <w:t>23,141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(63,796,737)</w:t>
            </w:r>
          </w:p>
        </w:tc>
      </w:tr>
      <w:tr>
        <w:trPr>
          <w:trHeight w:val="445"/>
        </w:trPr>
        <w:tc>
          <w:tcPr>
            <w:tcW w:w="9420" w:type="dxa"/>
            <w:vAlign w:val="bottom"/>
          </w:tcPr>
          <w:p>
            <w:pPr>
              <w:jc w:val="right"/>
              <w:ind w:right="70"/>
              <w:spacing w:after="0"/>
              <w:rPr>
                <w:sz w:val="20"/>
                <w:szCs w:val="20"/>
                <w:color w:val="auto"/>
              </w:rPr>
            </w:pPr>
            <w:r>
              <w:rPr>
                <w:rFonts w:ascii="Arial" w:cs="Arial" w:eastAsia="Arial" w:hAnsi="Arial"/>
                <w:sz w:val="18"/>
                <w:szCs w:val="18"/>
                <w:color w:val="auto"/>
              </w:rPr>
              <w:t>61,606</w:t>
            </w:r>
          </w:p>
        </w:tc>
        <w:tc>
          <w:tcPr>
            <w:tcW w:w="3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53,591,185</w:t>
            </w:r>
          </w:p>
        </w:tc>
      </w:tr>
      <w:tr>
        <w:trPr>
          <w:trHeight w:val="446"/>
        </w:trPr>
        <w:tc>
          <w:tcPr>
            <w:tcW w:w="9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(12,317,660)</w:t>
            </w:r>
          </w:p>
        </w:tc>
      </w:tr>
      <w:tr>
        <w:trPr>
          <w:trHeight w:val="453"/>
        </w:trPr>
        <w:tc>
          <w:tcPr>
            <w:tcW w:w="9420" w:type="dxa"/>
            <w:vAlign w:val="bottom"/>
          </w:tcPr>
          <w:p>
            <w:pPr>
              <w:jc w:val="right"/>
              <w:ind w:right="70"/>
              <w:spacing w:after="0"/>
              <w:rPr>
                <w:sz w:val="20"/>
                <w:szCs w:val="20"/>
                <w:color w:val="auto"/>
              </w:rPr>
            </w:pPr>
            <w:r>
              <w:rPr>
                <w:rFonts w:ascii="Arial" w:cs="Arial" w:eastAsia="Arial" w:hAnsi="Arial"/>
                <w:sz w:val="18"/>
                <w:szCs w:val="18"/>
                <w:color w:val="auto"/>
              </w:rPr>
              <w:t>84,747</w:t>
            </w:r>
          </w:p>
        </w:tc>
        <w:tc>
          <w:tcPr>
            <w:tcW w:w="3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(22,523,212)</w:t>
            </w:r>
          </w:p>
        </w:tc>
      </w:tr>
      <w:tr>
        <w:trPr>
          <w:trHeight w:val="445"/>
        </w:trPr>
        <w:tc>
          <w:tcPr>
            <w:tcW w:w="9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(8,312,769)</w:t>
            </w:r>
          </w:p>
        </w:tc>
      </w:tr>
      <w:tr>
        <w:trPr>
          <w:trHeight w:val="460"/>
        </w:trPr>
        <w:tc>
          <w:tcPr>
            <w:tcW w:w="9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84,747</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(30,835,981)</w:t>
            </w:r>
          </w:p>
        </w:tc>
      </w:tr>
    </w:tbl>
    <w:p>
      <w:pPr>
        <w:spacing w:after="0" w:line="130" w:lineRule="exact"/>
        <w:rPr>
          <w:rFonts w:ascii="Arial" w:cs="Arial" w:eastAsia="Arial" w:hAnsi="Arial"/>
          <w:sz w:val="18"/>
          <w:szCs w:val="18"/>
          <w:b w:val="1"/>
          <w:bCs w:val="1"/>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rFonts w:ascii="Arial" w:cs="Arial" w:eastAsia="Arial" w:hAnsi="Arial"/>
          <w:sz w:val="18"/>
          <w:szCs w:val="18"/>
          <w:b w:val="1"/>
          <w:bCs w:val="1"/>
          <w:color w:val="auto"/>
        </w:rPr>
      </w:pPr>
    </w:p>
    <w:p>
      <w:pPr>
        <w:spacing w:after="0" w:line="224" w:lineRule="exact"/>
        <w:rPr>
          <w:rFonts w:ascii="Arial" w:cs="Arial" w:eastAsia="Arial" w:hAnsi="Arial"/>
          <w:sz w:val="18"/>
          <w:szCs w:val="18"/>
          <w:b w:val="1"/>
          <w:bCs w:val="1"/>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Year Ended September 30,</w:t>
            </w:r>
          </w:p>
        </w:tc>
        <w:tc>
          <w:tcPr>
            <w:tcW w:w="1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89"/>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8"/>
                <w:szCs w:val="18"/>
                <w:b w:val="1"/>
                <w:bCs w:val="1"/>
                <w:color w:val="auto"/>
              </w:rPr>
              <w:t>2017</w:t>
            </w:r>
          </w:p>
        </w:tc>
      </w:tr>
      <w:tr>
        <w:trPr>
          <w:trHeight w:val="445"/>
        </w:trPr>
        <w:tc>
          <w:tcPr>
            <w:tcW w:w="68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2"/>
        </w:trPr>
        <w:tc>
          <w:tcPr>
            <w:tcW w:w="68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(8,312,769)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(12,317,660)</w:t>
            </w:r>
          </w:p>
        </w:tc>
      </w:tr>
      <w:tr>
        <w:trPr>
          <w:trHeight w:val="203"/>
        </w:trPr>
        <w:tc>
          <w:tcPr>
            <w:tcW w:w="6880" w:type="dxa"/>
            <w:vAlign w:val="bottom"/>
          </w:tcPr>
          <w:p>
            <w:pPr>
              <w:ind w:left="2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6880" w:type="dxa"/>
            <w:vAlign w:val="bottom"/>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24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1,410,161</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1,139,114</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Non cash interest expense in kind</w:t>
            </w:r>
          </w:p>
        </w:tc>
        <w:tc>
          <w:tcPr>
            <w:tcW w:w="124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6,554,803</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Accretion of asset retirement obligations</w:t>
            </w:r>
          </w:p>
        </w:tc>
        <w:tc>
          <w:tcPr>
            <w:tcW w:w="124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688,081</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569,471</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Bad debt expense</w:t>
            </w:r>
          </w:p>
        </w:tc>
        <w:tc>
          <w:tcPr>
            <w:tcW w:w="124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7,062</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10,746</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Losses on derivatives</w:t>
            </w:r>
          </w:p>
        </w:tc>
        <w:tc>
          <w:tcPr>
            <w:tcW w:w="124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3,834</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147,157</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Derivative settlements</w:t>
            </w:r>
          </w:p>
        </w:tc>
        <w:tc>
          <w:tcPr>
            <w:tcW w:w="124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122,598</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81,382</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8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1240" w:type="dxa"/>
            <w:vAlign w:val="bottom"/>
          </w:tcPr>
          <w:p>
            <w:pPr>
              <w:spacing w:after="0"/>
              <w:rPr>
                <w:sz w:val="19"/>
                <w:szCs w:val="19"/>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(1,650,427)</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(440,541)</w:t>
            </w:r>
          </w:p>
        </w:tc>
      </w:tr>
      <w:tr>
        <w:trPr>
          <w:trHeight w:val="230"/>
        </w:trPr>
        <w:tc>
          <w:tcPr>
            <w:tcW w:w="6880" w:type="dxa"/>
            <w:vAlign w:val="bottom"/>
          </w:tcPr>
          <w:p>
            <w:pPr>
              <w:ind w:left="440"/>
              <w:spacing w:after="0"/>
              <w:rPr>
                <w:sz w:val="20"/>
                <w:szCs w:val="20"/>
                <w:color w:val="auto"/>
              </w:rPr>
            </w:pPr>
            <w:r>
              <w:rPr>
                <w:rFonts w:ascii="Arial" w:cs="Arial" w:eastAsia="Arial" w:hAnsi="Arial"/>
                <w:sz w:val="18"/>
                <w:szCs w:val="18"/>
                <w:color w:val="auto"/>
              </w:rPr>
              <w:t>Prepaid expenses and other assets</w:t>
            </w:r>
          </w:p>
        </w:tc>
        <w:tc>
          <w:tcPr>
            <w:tcW w:w="1240" w:type="dxa"/>
            <w:vAlign w:val="bottom"/>
          </w:tcPr>
          <w:p>
            <w:pPr>
              <w:spacing w:after="0"/>
              <w:rPr>
                <w:sz w:val="19"/>
                <w:szCs w:val="19"/>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32,993</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(6,714)</w:t>
            </w:r>
          </w:p>
        </w:tc>
      </w:tr>
      <w:tr>
        <w:trPr>
          <w:trHeight w:val="229"/>
        </w:trPr>
        <w:tc>
          <w:tcPr>
            <w:tcW w:w="6880" w:type="dxa"/>
            <w:vAlign w:val="bottom"/>
          </w:tcPr>
          <w:p>
            <w:pPr>
              <w:ind w:left="440"/>
              <w:spacing w:after="0"/>
              <w:rPr>
                <w:sz w:val="20"/>
                <w:szCs w:val="20"/>
                <w:color w:val="auto"/>
              </w:rPr>
            </w:pPr>
            <w:r>
              <w:rPr>
                <w:rFonts w:ascii="Arial" w:cs="Arial" w:eastAsia="Arial" w:hAnsi="Arial"/>
                <w:sz w:val="18"/>
                <w:szCs w:val="18"/>
                <w:color w:val="auto"/>
              </w:rPr>
              <w:t>Accounts payable and revenue payable</w:t>
            </w:r>
          </w:p>
        </w:tc>
        <w:tc>
          <w:tcPr>
            <w:tcW w:w="1240" w:type="dxa"/>
            <w:vAlign w:val="bottom"/>
          </w:tcPr>
          <w:p>
            <w:pPr>
              <w:spacing w:after="0"/>
              <w:rPr>
                <w:sz w:val="19"/>
                <w:szCs w:val="19"/>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991,876</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(201,666)</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Drilling advances</w:t>
            </w:r>
          </w:p>
        </w:tc>
        <w:tc>
          <w:tcPr>
            <w:tcW w:w="124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3,441,260</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Accrued liabilities</w:t>
            </w:r>
          </w:p>
        </w:tc>
        <w:tc>
          <w:tcPr>
            <w:tcW w:w="1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(24,116)</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r>
      <w:tr>
        <w:trPr>
          <w:trHeight w:val="43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(3,289,447)</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(4,456,220)</w:t>
            </w:r>
          </w:p>
        </w:tc>
      </w:tr>
      <w:tr>
        <w:trPr>
          <w:trHeight w:val="445"/>
        </w:trPr>
        <w:tc>
          <w:tcPr>
            <w:tcW w:w="68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2"/>
        </w:trPr>
        <w:tc>
          <w:tcPr>
            <w:tcW w:w="6880" w:type="dxa"/>
            <w:vAlign w:val="bottom"/>
          </w:tcPr>
          <w:p>
            <w:pPr>
              <w:ind w:left="220"/>
              <w:spacing w:after="0"/>
              <w:rPr>
                <w:sz w:val="20"/>
                <w:szCs w:val="20"/>
                <w:color w:val="auto"/>
              </w:rPr>
            </w:pPr>
            <w:r>
              <w:rPr>
                <w:rFonts w:ascii="Arial" w:cs="Arial" w:eastAsia="Arial" w:hAnsi="Arial"/>
                <w:sz w:val="18"/>
                <w:szCs w:val="18"/>
                <w:color w:val="auto"/>
              </w:rPr>
              <w:t>Payments for oil and natural gas properties and equipment</w:t>
            </w:r>
          </w:p>
        </w:tc>
        <w:tc>
          <w:tcPr>
            <w:tcW w:w="1240" w:type="dxa"/>
            <w:vAlign w:val="bottom"/>
          </w:tcPr>
          <w:p>
            <w:pPr>
              <w:spacing w:after="0"/>
              <w:rPr>
                <w:sz w:val="21"/>
                <w:szCs w:val="21"/>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(10,381,861)</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(162,974)</w:t>
            </w:r>
          </w:p>
        </w:tc>
      </w:tr>
      <w:tr>
        <w:trPr>
          <w:trHeight w:val="229"/>
        </w:trPr>
        <w:tc>
          <w:tcPr>
            <w:tcW w:w="6880" w:type="dxa"/>
            <w:vAlign w:val="bottom"/>
          </w:tcPr>
          <w:p>
            <w:pPr>
              <w:ind w:left="220"/>
              <w:spacing w:after="0"/>
              <w:rPr>
                <w:sz w:val="20"/>
                <w:szCs w:val="20"/>
                <w:color w:val="auto"/>
              </w:rPr>
            </w:pPr>
            <w:r>
              <w:rPr>
                <w:rFonts w:ascii="Arial" w:cs="Arial" w:eastAsia="Arial" w:hAnsi="Arial"/>
                <w:sz w:val="18"/>
                <w:szCs w:val="18"/>
                <w:color w:val="auto"/>
              </w:rPr>
              <w:t>Payments for other property and equipment</w:t>
            </w:r>
          </w:p>
        </w:tc>
        <w:tc>
          <w:tcPr>
            <w:tcW w:w="1240" w:type="dxa"/>
            <w:vAlign w:val="bottom"/>
          </w:tcPr>
          <w:p>
            <w:pPr>
              <w:spacing w:after="0"/>
              <w:rPr>
                <w:sz w:val="19"/>
                <w:szCs w:val="19"/>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(84,134)</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(88,929)</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Proceeds from sales of oil and natural gas properties</w:t>
            </w:r>
          </w:p>
        </w:tc>
        <w:tc>
          <w:tcPr>
            <w:tcW w:w="124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4,161,608</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6,249,688</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Deposit and other assets</w:t>
            </w:r>
          </w:p>
        </w:tc>
        <w:tc>
          <w:tcPr>
            <w:tcW w:w="124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28,000</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Restricted cash</w:t>
            </w:r>
          </w:p>
        </w:tc>
        <w:tc>
          <w:tcPr>
            <w:tcW w:w="1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36,256</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(128,400)</w:t>
            </w:r>
          </w:p>
        </w:tc>
      </w:tr>
      <w:tr>
        <w:trPr>
          <w:trHeight w:val="43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(6,240,131)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5,869,385</w:t>
            </w:r>
          </w:p>
        </w:tc>
      </w:tr>
      <w:tr>
        <w:trPr>
          <w:trHeight w:val="431"/>
        </w:trPr>
        <w:tc>
          <w:tcPr>
            <w:tcW w:w="68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0"/>
        </w:trPr>
        <w:tc>
          <w:tcPr>
            <w:tcW w:w="688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Proceeds from borrowings on long-term debt</w:t>
            </w:r>
          </w:p>
        </w:tc>
        <w:tc>
          <w:tcPr>
            <w:tcW w:w="1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9"/>
              <w:spacing w:after="0" w:line="203" w:lineRule="exact"/>
              <w:rPr>
                <w:sz w:val="20"/>
                <w:szCs w:val="20"/>
                <w:color w:val="auto"/>
              </w:rPr>
            </w:pPr>
            <w:r>
              <w:rPr>
                <w:rFonts w:ascii="Arial" w:cs="Arial" w:eastAsia="Arial" w:hAnsi="Arial"/>
                <w:sz w:val="18"/>
                <w:szCs w:val="18"/>
                <w:color w:val="auto"/>
              </w:rPr>
              <w:t>10,000,000</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43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10,000,000</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46"/>
        </w:trPr>
        <w:tc>
          <w:tcPr>
            <w:tcW w:w="688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40" w:type="dxa"/>
            <w:vAlign w:val="bottom"/>
          </w:tcPr>
          <w:p>
            <w:pPr>
              <w:spacing w:after="0"/>
              <w:rPr>
                <w:sz w:val="24"/>
                <w:szCs w:val="24"/>
                <w:color w:val="auto"/>
              </w:rPr>
            </w:pP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470,422</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1,413,165</w:t>
            </w:r>
          </w:p>
        </w:tc>
      </w:tr>
      <w:tr>
        <w:trPr>
          <w:trHeight w:val="425"/>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1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2,297,592</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884,427</w:t>
            </w:r>
          </w:p>
        </w:tc>
      </w:tr>
      <w:tr>
        <w:trPr>
          <w:trHeight w:val="453"/>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2,768,014</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2,297,592</w:t>
            </w:r>
          </w:p>
        </w:tc>
      </w:tr>
      <w:tr>
        <w:trPr>
          <w:trHeight w:val="458"/>
        </w:trPr>
        <w:tc>
          <w:tcPr>
            <w:tcW w:w="68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7"/>
        </w:trPr>
        <w:tc>
          <w:tcPr>
            <w:tcW w:w="688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9"/>
              <w:spacing w:after="0"/>
              <w:rPr>
                <w:sz w:val="20"/>
                <w:szCs w:val="20"/>
                <w:color w:val="auto"/>
              </w:rPr>
            </w:pPr>
            <w:r>
              <w:rPr>
                <w:rFonts w:ascii="Arial" w:cs="Arial" w:eastAsia="Arial" w:hAnsi="Arial"/>
                <w:sz w:val="18"/>
                <w:szCs w:val="18"/>
                <w:color w:val="auto"/>
              </w:rPr>
              <w:t>3,012,078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707,778</w:t>
            </w:r>
          </w:p>
        </w:tc>
      </w:tr>
      <w:tr>
        <w:trPr>
          <w:trHeight w:val="447"/>
        </w:trPr>
        <w:tc>
          <w:tcPr>
            <w:tcW w:w="6880" w:type="dxa"/>
            <w:vAlign w:val="bottom"/>
          </w:tcPr>
          <w:p>
            <w:pPr>
              <w:spacing w:after="0"/>
              <w:rPr>
                <w:sz w:val="20"/>
                <w:szCs w:val="20"/>
                <w:color w:val="auto"/>
              </w:rPr>
            </w:pPr>
            <w:r>
              <w:rPr>
                <w:rFonts w:ascii="Arial" w:cs="Arial" w:eastAsia="Arial" w:hAnsi="Arial"/>
                <w:sz w:val="19"/>
                <w:szCs w:val="19"/>
                <w:b w:val="1"/>
                <w:bCs w:val="1"/>
                <w:color w:val="auto"/>
              </w:rPr>
              <w:t>Non-Cash Investing and Financing Activities</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5"/>
        </w:trPr>
        <w:tc>
          <w:tcPr>
            <w:tcW w:w="6880" w:type="dxa"/>
            <w:vAlign w:val="bottom"/>
          </w:tcPr>
          <w:p>
            <w:pPr>
              <w:ind w:left="220"/>
              <w:spacing w:after="0"/>
              <w:rPr>
                <w:sz w:val="20"/>
                <w:szCs w:val="20"/>
                <w:color w:val="auto"/>
              </w:rPr>
            </w:pPr>
            <w:r>
              <w:rPr>
                <w:rFonts w:ascii="Arial" w:cs="Arial" w:eastAsia="Arial" w:hAnsi="Arial"/>
                <w:sz w:val="19"/>
                <w:szCs w:val="19"/>
                <w:color w:val="auto"/>
              </w:rPr>
              <w:t>Oil and natural gas properties accrued</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9"/>
              <w:spacing w:after="0"/>
              <w:rPr>
                <w:sz w:val="20"/>
                <w:szCs w:val="20"/>
                <w:color w:val="auto"/>
              </w:rPr>
            </w:pPr>
            <w:r>
              <w:rPr>
                <w:rFonts w:ascii="Arial" w:cs="Arial" w:eastAsia="Arial" w:hAnsi="Arial"/>
                <w:sz w:val="20"/>
                <w:szCs w:val="20"/>
                <w:color w:val="auto"/>
              </w:rPr>
              <w:t>3,869,449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6880" w:type="dxa"/>
            <w:vAlign w:val="bottom"/>
          </w:tcPr>
          <w:p>
            <w:pPr>
              <w:ind w:left="220"/>
              <w:spacing w:after="0"/>
              <w:rPr>
                <w:sz w:val="20"/>
                <w:szCs w:val="20"/>
                <w:color w:val="auto"/>
              </w:rPr>
            </w:pPr>
            <w:r>
              <w:rPr>
                <w:rFonts w:ascii="Arial" w:cs="Arial" w:eastAsia="Arial" w:hAnsi="Arial"/>
                <w:sz w:val="19"/>
                <w:szCs w:val="19"/>
                <w:color w:val="auto"/>
              </w:rPr>
              <w:t>Asset retirement obligations</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9"/>
              <w:spacing w:after="0"/>
              <w:rPr>
                <w:sz w:val="20"/>
                <w:szCs w:val="20"/>
                <w:color w:val="auto"/>
              </w:rPr>
            </w:pPr>
            <w:r>
              <w:rPr>
                <w:rFonts w:ascii="Arial" w:cs="Arial" w:eastAsia="Arial" w:hAnsi="Arial"/>
                <w:sz w:val="20"/>
                <w:szCs w:val="20"/>
                <w:color w:val="auto"/>
              </w:rPr>
              <w:t>(1,318,224)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(695,585)</w:t>
            </w:r>
          </w:p>
        </w:tc>
      </w:tr>
      <w:tr>
        <w:trPr>
          <w:trHeight w:val="267"/>
        </w:trPr>
        <w:tc>
          <w:tcPr>
            <w:tcW w:w="688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Exchange of debt for equity</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53,591,185</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Nature of Operations and Organization</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RAM Energy Holdings LLC (“Holdings”), formerly named PNNT RAM Energy LLC, is a Delaware limited liability company, wholly-owned by PennantPark Investment Corporation (“PennantPark”), and was formed in July 2014 as a holding company for interest ownership in RAM Energy LLC (“RAM”). RAM Fayette LLC (“Fayette”) was formed in September 2017 and Fayette Service Company LLC (“Service”) was formed in June 2018. Both subsidiaries are currently wholly-owned by RAM. Holdings, RAM and its subsidiaries are herein referred to as the “Company.”</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RAM was formed in April 2012 as a privately held, independent oil and natural gas company engaged in the acquisition, exploration, exploitation, development and production of oil and natural gas.</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September 2017, Holdings issued PennantPark 61,606 common units in exchange for the outstanding debt of RAM of $88 million. Holdings then entered into a new $35 million term loan. In June 2018, the credit agreement was amended to add a $15 million revolving loan. See Notes 7 and 8.</w:t>
      </w:r>
    </w:p>
    <w:p>
      <w:pPr>
        <w:spacing w:after="0" w:line="179"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In July 2018, the Company began a drilling program in the Austin Chalk formation. Fayette was formed to be an owner in the new wells drilled, and Service was formed to invest in gathering and facilities infrastructure. One new well began producing in September 2018. The second new well began producing in October 2018. See Note 6.</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RAM operates exclusively in the upstream segment of the oil and gas industry with activities including the drilling, completion, and operation of oil and natural gas wells. RAM conducts the majority of its operations in the state of Texas, with minor operations in the states of Arkansas, New Mexico and Oklahoma.</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2.  Summary of Significant </w:t>
      </w:r>
      <w:r>
        <w:rPr>
          <w:rFonts w:ascii="Arial" w:cs="Arial" w:eastAsia="Arial" w:hAnsi="Arial"/>
          <w:sz w:val="18"/>
          <w:szCs w:val="18"/>
          <w:b w:val="1"/>
          <w:bCs w:val="1"/>
          <w:color w:val="auto"/>
        </w:rPr>
        <w:t>Accounting</w:t>
      </w:r>
      <w:r>
        <w:rPr>
          <w:rFonts w:ascii="Arial" w:cs="Arial" w:eastAsia="Arial" w:hAnsi="Arial"/>
          <w:sz w:val="22"/>
          <w:szCs w:val="22"/>
          <w:b w:val="1"/>
          <w:bCs w:val="1"/>
          <w:color w:val="auto"/>
        </w:rPr>
        <w:t xml:space="preserve"> Policies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accompanying consolidated financial statements include the accounts of Holdings, its wholly- owned subsidiary, RAM, and RAM’s wholly-owned subsidiaries, Fayette and Service. All significant intercompany accounts and transactions have been eliminated in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and Equipment</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unevaluated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9"/>
          <w:szCs w:val="19"/>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At September 30, 2018 and 2017, the net book value of the Company’s oil and natural gas properties did not exceed the Ceiling Limitation.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0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unevaluated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unevaluated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 The Company did not have any impairment of its unproved oil and gas properties for the years ended September 30, 2018 or 2017.</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 Depreciation expense of other property and equipment for the years ended September 30, 2018 and 2017 was approximately $75 thousand and $195 thousand,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Depreciation, Depletion and Amortization</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All capitalized costs of oil and natural gas properties and equipment, including the estimated future costs to develop proved reserves, are amortized using the unit-of-production method based on total proved reserves. Depreciation of gathering assets and related facilities, and other equipment is computed on the straight-line method over the estimated useful lives of the assets, generally ranging from 3 to 30 years. Amortization of leasehold improvements is computed based on the straight-line method over the term of the associated lease or estimated useful life, whichever is shorter.</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All highly liquid unrestricted investments with a maturity of three months or less when purchased are considered to be cash equivalents.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9"/>
          <w:szCs w:val="19"/>
          <w:color w:val="auto"/>
        </w:rPr>
        <w:t>At September 30, 2018 and 2017, the Company had approximately $547 thousand and $583 thousand, respectively,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Concentrations of Credit Risk</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years ended September 30, 2018 and 2017, over 20% of total revenues and total receivables were from two customers.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September 30, 2018 and 2017, the allowance for doubtful accounts was $125 thousand.</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2018 and 2017,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95"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The Company receives fees for the operation of jointly owned oil and natural gas properties and records such reimbursements as reductions of general and administrative expenses. Such fees totaled approximately $0.7 million and $0.9 million for the years ended September 30, 2018 and 2017,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and Natural Gas Reserves Estimates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of the Codification, at September 30, 2018 and 2017, the Company calculated its estimate of proved reserves using a twelve month average price, calculated as the unweighted arithmetic average of the first-day-of-the-month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 valuation of proved oil and natural gas reserves which, as described herein, may affect the amount at which oil and natural gas properties are recorded. Actual results could differ materially from these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Derivatives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Company recognizes all derivative instruments as either assets or liabilities in the consolidated balance sheets at fair value in accordance with authoritative guidance as set forth in Topic 815 of the Codification.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entered into certain derivative contracts to reduce the impact of oil and natural gas price fluctuations and as required by the terms of its credit facility. See Notes 4 and 5. The Company did not designate these transactions as hedges. Accordingly, all gains and losses on the derivative instruments are recorded in the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fair value of a liability for an asset retirement obligation is recognized in the period in which it is incurred if a reasonable estimate of fair value can be made, and the associated asset retirement costs are capitalized as part of the carrying amount of the long-lived asset. The Company determines its asset retirement obligations on its oil and natural gas properties by calculating the present value of the estimated cash flows related to the estimated liability. Periodic accretion of the discount of the estimated liability associated with the Company’s oil and natural gas properties is recorded in the consolidated statements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The Company recorded the following activity related to the asset retirement obligations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Year Ended September 30,</w:t>
            </w:r>
          </w:p>
        </w:tc>
        <w:tc>
          <w:tcPr>
            <w:tcW w:w="2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r>
      <w:tr>
        <w:trPr>
          <w:trHeight w:val="450"/>
        </w:trPr>
        <w:tc>
          <w:tcPr>
            <w:tcW w:w="5660" w:type="dxa"/>
            <w:vAlign w:val="bottom"/>
          </w:tcPr>
          <w:p>
            <w:pPr>
              <w:spacing w:after="0"/>
              <w:rPr>
                <w:sz w:val="20"/>
                <w:szCs w:val="20"/>
                <w:color w:val="auto"/>
              </w:rPr>
            </w:pPr>
            <w:r>
              <w:rPr>
                <w:rFonts w:ascii="Arial" w:cs="Arial" w:eastAsia="Arial" w:hAnsi="Arial"/>
                <w:sz w:val="18"/>
                <w:szCs w:val="18"/>
                <w:b w:val="1"/>
                <w:bCs w:val="1"/>
                <w:color w:val="auto"/>
              </w:rPr>
              <w:t>Liability for Asset Retirement Obligations,</w:t>
            </w:r>
          </w:p>
        </w:tc>
        <w:tc>
          <w:tcPr>
            <w:tcW w:w="2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8"/>
        </w:trPr>
        <w:tc>
          <w:tcPr>
            <w:tcW w:w="5660" w:type="dxa"/>
            <w:vAlign w:val="bottom"/>
          </w:tcPr>
          <w:p>
            <w:pPr>
              <w:ind w:left="260"/>
              <w:spacing w:after="0"/>
              <w:rPr>
                <w:sz w:val="20"/>
                <w:szCs w:val="20"/>
                <w:color w:val="auto"/>
              </w:rPr>
            </w:pPr>
            <w:r>
              <w:rPr>
                <w:rFonts w:ascii="Arial" w:cs="Arial" w:eastAsia="Arial" w:hAnsi="Arial"/>
                <w:sz w:val="18"/>
                <w:szCs w:val="18"/>
                <w:b w:val="1"/>
                <w:bCs w:val="1"/>
                <w:color w:val="auto"/>
              </w:rPr>
              <w:t>Beginning of Year</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5,955</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6,081</w:t>
            </w:r>
          </w:p>
        </w:tc>
      </w:tr>
      <w:tr>
        <w:trPr>
          <w:trHeight w:val="216"/>
        </w:trPr>
        <w:tc>
          <w:tcPr>
            <w:tcW w:w="5660" w:type="dxa"/>
            <w:vAlign w:val="bottom"/>
          </w:tcPr>
          <w:p>
            <w:pPr>
              <w:ind w:left="500"/>
              <w:spacing w:after="0"/>
              <w:rPr>
                <w:sz w:val="20"/>
                <w:szCs w:val="20"/>
                <w:color w:val="auto"/>
              </w:rPr>
            </w:pPr>
            <w:r>
              <w:rPr>
                <w:rFonts w:ascii="Arial" w:cs="Arial" w:eastAsia="Arial" w:hAnsi="Arial"/>
                <w:sz w:val="18"/>
                <w:szCs w:val="18"/>
                <w:color w:val="auto"/>
              </w:rPr>
              <w:t>Accretion expense</w:t>
            </w:r>
          </w:p>
        </w:tc>
        <w:tc>
          <w:tcPr>
            <w:tcW w:w="242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688</w:t>
            </w:r>
          </w:p>
        </w:tc>
        <w:tc>
          <w:tcPr>
            <w:tcW w:w="5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569</w:t>
            </w:r>
          </w:p>
        </w:tc>
      </w:tr>
      <w:tr>
        <w:trPr>
          <w:trHeight w:val="216"/>
        </w:trPr>
        <w:tc>
          <w:tcPr>
            <w:tcW w:w="5660" w:type="dxa"/>
            <w:vAlign w:val="bottom"/>
          </w:tcPr>
          <w:p>
            <w:pPr>
              <w:ind w:left="500"/>
              <w:spacing w:after="0"/>
              <w:rPr>
                <w:sz w:val="20"/>
                <w:szCs w:val="20"/>
                <w:color w:val="auto"/>
              </w:rPr>
            </w:pPr>
            <w:r>
              <w:rPr>
                <w:rFonts w:ascii="Arial" w:cs="Arial" w:eastAsia="Arial" w:hAnsi="Arial"/>
                <w:sz w:val="18"/>
                <w:szCs w:val="18"/>
                <w:color w:val="auto"/>
              </w:rPr>
              <w:t>Additions</w:t>
            </w:r>
          </w:p>
        </w:tc>
        <w:tc>
          <w:tcPr>
            <w:tcW w:w="242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tcPr>
          <w:p>
            <w:pPr>
              <w:ind w:left="500"/>
              <w:spacing w:after="0"/>
              <w:rPr>
                <w:sz w:val="20"/>
                <w:szCs w:val="20"/>
                <w:color w:val="auto"/>
              </w:rPr>
            </w:pPr>
            <w:r>
              <w:rPr>
                <w:rFonts w:ascii="Arial" w:cs="Arial" w:eastAsia="Arial" w:hAnsi="Arial"/>
                <w:sz w:val="18"/>
                <w:szCs w:val="18"/>
                <w:color w:val="auto"/>
              </w:rPr>
              <w:t>Obligations for wells sold and abandon</w:t>
            </w:r>
          </w:p>
        </w:tc>
        <w:tc>
          <w:tcPr>
            <w:tcW w:w="24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(1,431)</w:t>
            </w:r>
          </w:p>
        </w:tc>
        <w:tc>
          <w:tcPr>
            <w:tcW w:w="5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(241)</w:t>
            </w:r>
          </w:p>
        </w:tc>
      </w:tr>
      <w:tr>
        <w:trPr>
          <w:trHeight w:val="224"/>
        </w:trPr>
        <w:tc>
          <w:tcPr>
            <w:tcW w:w="56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Changes in estimates</w:t>
            </w:r>
          </w:p>
        </w:tc>
        <w:tc>
          <w:tcPr>
            <w:tcW w:w="2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(454)</w:t>
            </w:r>
          </w:p>
        </w:tc>
      </w:tr>
      <w:tr>
        <w:trPr>
          <w:trHeight w:val="436"/>
        </w:trPr>
        <w:tc>
          <w:tcPr>
            <w:tcW w:w="5660" w:type="dxa"/>
            <w:vAlign w:val="bottom"/>
          </w:tcPr>
          <w:p>
            <w:pPr>
              <w:spacing w:after="0"/>
              <w:rPr>
                <w:sz w:val="20"/>
                <w:szCs w:val="20"/>
                <w:color w:val="auto"/>
              </w:rPr>
            </w:pPr>
            <w:r>
              <w:rPr>
                <w:rFonts w:ascii="Arial" w:cs="Arial" w:eastAsia="Arial" w:hAnsi="Arial"/>
                <w:sz w:val="18"/>
                <w:szCs w:val="18"/>
                <w:b w:val="1"/>
                <w:bCs w:val="1"/>
                <w:color w:val="auto"/>
              </w:rPr>
              <w:t>Liability for Asset Retirement Obligations,</w:t>
            </w:r>
          </w:p>
        </w:tc>
        <w:tc>
          <w:tcPr>
            <w:tcW w:w="2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9"/>
        </w:trPr>
        <w:tc>
          <w:tcPr>
            <w:tcW w:w="5660" w:type="dxa"/>
            <w:vAlign w:val="bottom"/>
          </w:tcPr>
          <w:p>
            <w:pPr>
              <w:ind w:left="260"/>
              <w:spacing w:after="0"/>
              <w:rPr>
                <w:sz w:val="20"/>
                <w:szCs w:val="20"/>
                <w:color w:val="auto"/>
              </w:rPr>
            </w:pPr>
            <w:r>
              <w:rPr>
                <w:rFonts w:ascii="Arial" w:cs="Arial" w:eastAsia="Arial" w:hAnsi="Arial"/>
                <w:sz w:val="18"/>
                <w:szCs w:val="18"/>
                <w:b w:val="1"/>
                <w:bCs w:val="1"/>
                <w:color w:val="auto"/>
              </w:rPr>
              <w:t>End of Year</w:t>
            </w:r>
          </w:p>
        </w:tc>
        <w:tc>
          <w:tcPr>
            <w:tcW w:w="242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5,325</w:t>
            </w:r>
          </w:p>
        </w:tc>
        <w:tc>
          <w:tcPr>
            <w:tcW w:w="5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5,955</w:t>
            </w:r>
          </w:p>
        </w:tc>
      </w:tr>
      <w:tr>
        <w:trPr>
          <w:trHeight w:val="432"/>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asset retirement obligations</w:t>
            </w:r>
          </w:p>
        </w:tc>
        <w:tc>
          <w:tcPr>
            <w:tcW w:w="2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427</w:t>
            </w:r>
          </w:p>
        </w:tc>
        <w:tc>
          <w:tcPr>
            <w:tcW w:w="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w:t>
            </w:r>
          </w:p>
        </w:tc>
      </w:tr>
      <w:tr>
        <w:trPr>
          <w:trHeight w:val="459"/>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Long-Term Asset Retirement Obligations</w:t>
            </w:r>
          </w:p>
        </w:tc>
        <w:tc>
          <w:tcPr>
            <w:tcW w:w="2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4,898</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5,771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Oil and natural gas sales are recognized when production is sold to a purchaser at a fixed or determinable price, delivery has occurred, title has transferred, and collectability of the revenue is probable. Delivery occurs and title is transferred when production has been delivered to a pipeline, railcar or truck. The sales method of accounting is used for oil and natural gas sales such that revenues are recognized based on the Company’s share of actual proceeds from the oil and natural gas sold to purchasers. Oil and natural gas imbalances are generated on properties for which two or more owners have the right to take production “in-kind” and, in doing so take more or less than their respective entitled percentage. As of September 30, 2018 and 2017, there were no significant oil and natural gas imbalances.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RAM and its subsidiaries are disregarded subsidiaries of Holdings. As Holdings has elected to be classified as a corporation, a tax benefit has been calculated for the years ended September 30, 2018 and 2017.</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benefit for income taxes differs from the amount computed by applying the statutory federal income tax rate to loss before provision for income taxes. For the years ended September 30, 2018 and 2017, the Company had a benefit for income taxes of $11.4 million and $4.4 million, respectively, which was completely offset by a valuation allowance. The significant differences between pre-tax book income and taxable book income relate to non-deductible expenses, state income taxes, change in valuation allowance, the impact of 2018 tax reform, and other adjustments to deferred tax balances.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The sources and tax effects of the differences are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Year Ended September 30,</w:t>
            </w:r>
          </w:p>
        </w:tc>
        <w:tc>
          <w:tcPr>
            <w:tcW w:w="20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2017</w:t>
            </w:r>
          </w:p>
        </w:tc>
      </w:tr>
      <w:tr>
        <w:trPr>
          <w:trHeight w:val="458"/>
        </w:trPr>
        <w:tc>
          <w:tcPr>
            <w:tcW w:w="5960" w:type="dxa"/>
            <w:vAlign w:val="bottom"/>
          </w:tcPr>
          <w:p>
            <w:pPr>
              <w:spacing w:after="0"/>
              <w:rPr>
                <w:sz w:val="20"/>
                <w:szCs w:val="20"/>
                <w:color w:val="auto"/>
              </w:rPr>
            </w:pPr>
            <w:r>
              <w:rPr>
                <w:rFonts w:ascii="Arial" w:cs="Arial" w:eastAsia="Arial" w:hAnsi="Arial"/>
                <w:sz w:val="18"/>
                <w:szCs w:val="18"/>
                <w:color w:val="auto"/>
              </w:rPr>
              <w:t>Income tax benefit at the federal statutory rate (34%)</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4,188</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Impact of tax reform</w:t>
            </w:r>
          </w:p>
        </w:tc>
        <w:tc>
          <w:tcPr>
            <w:tcW w:w="208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(13,332)</w:t>
            </w:r>
          </w:p>
        </w:tc>
        <w:tc>
          <w:tcPr>
            <w:tcW w:w="4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Return to provision adjustments</w:t>
            </w:r>
          </w:p>
        </w:tc>
        <w:tc>
          <w:tcPr>
            <w:tcW w:w="208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State income tax expense, net of federal benefit</w:t>
            </w:r>
          </w:p>
        </w:tc>
        <w:tc>
          <w:tcPr>
            <w:tcW w:w="20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256</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24"/>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valuation allowance</w:t>
            </w:r>
          </w:p>
        </w:tc>
        <w:tc>
          <w:tcPr>
            <w:tcW w:w="20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11,359</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(4,440)</w:t>
            </w:r>
          </w:p>
        </w:tc>
      </w:tr>
      <w:tr>
        <w:trPr>
          <w:trHeight w:val="371"/>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Income tax benefit</w:t>
            </w: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1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Company’s income tax benefit was computed based on the federal statutory rate and the average state statutory rates, net of the related federal benefit. Deferred income taxes reflect the net tax effects of temporary differences between the carrying amounts of assets and liabilities for financial reporting purposes and the amounts used for income tax purposes.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Significant components of the Company’s deferred tax assets and liabilities are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Year Ended September 30,</w:t>
            </w:r>
          </w:p>
        </w:tc>
        <w:tc>
          <w:tcPr>
            <w:tcW w:w="20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2017</w:t>
            </w:r>
          </w:p>
        </w:tc>
      </w:tr>
      <w:tr>
        <w:trPr>
          <w:trHeight w:val="458"/>
        </w:trPr>
        <w:tc>
          <w:tcPr>
            <w:tcW w:w="5980" w:type="dxa"/>
            <w:vAlign w:val="bottom"/>
          </w:tcPr>
          <w:p>
            <w:pPr>
              <w:spacing w:after="0"/>
              <w:rPr>
                <w:sz w:val="20"/>
                <w:szCs w:val="20"/>
                <w:color w:val="auto"/>
              </w:rPr>
            </w:pPr>
            <w:r>
              <w:rPr>
                <w:rFonts w:ascii="Arial" w:cs="Arial" w:eastAsia="Arial" w:hAnsi="Arial"/>
                <w:sz w:val="18"/>
                <w:szCs w:val="18"/>
                <w:color w:val="auto"/>
              </w:rPr>
              <w:t>Depreciable/depletable property, plant and equipment</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9,444</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22,095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 retirement obligation</w:t>
            </w:r>
          </w:p>
        </w:tc>
        <w:tc>
          <w:tcPr>
            <w:tcW w:w="20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1,654</w:t>
            </w:r>
          </w:p>
        </w:tc>
        <w:tc>
          <w:tcPr>
            <w:tcW w:w="4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2,296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Derivative assets</w:t>
            </w:r>
          </w:p>
        </w:tc>
        <w:tc>
          <w:tcPr>
            <w:tcW w:w="20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472</w:t>
            </w:r>
          </w:p>
        </w:tc>
        <w:tc>
          <w:tcPr>
            <w:tcW w:w="4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Reserves and other</w:t>
            </w:r>
          </w:p>
        </w:tc>
        <w:tc>
          <w:tcPr>
            <w:tcW w:w="20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10"/>
        </w:trPr>
        <w:tc>
          <w:tcPr>
            <w:tcW w:w="5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operating loss carryforward</w:t>
            </w:r>
          </w:p>
        </w:tc>
        <w:tc>
          <w:tcPr>
            <w:tcW w:w="2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11,214</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9,033</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Total noncurrent deferred tax assets</w:t>
            </w:r>
          </w:p>
        </w:tc>
        <w:tc>
          <w:tcPr>
            <w:tcW w:w="206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22,815</w:t>
            </w:r>
          </w:p>
        </w:tc>
        <w:tc>
          <w:tcPr>
            <w:tcW w:w="4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34,174</w:t>
            </w:r>
          </w:p>
        </w:tc>
      </w:tr>
      <w:tr>
        <w:trPr>
          <w:trHeight w:val="224"/>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Valuation allowance</w:t>
            </w:r>
          </w:p>
        </w:tc>
        <w:tc>
          <w:tcPr>
            <w:tcW w:w="20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(22,815)</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(34,174)</w:t>
            </w:r>
          </w:p>
        </w:tc>
      </w:tr>
      <w:tr>
        <w:trPr>
          <w:trHeight w:val="372"/>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noncurrent deferred tax assets</w:t>
            </w: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bl>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As of September 30, 2018 and 2017, the Company has a net operating loss carryforward of approximately $50 million and $25 million, respectively, for federal income tax reporting purposes. Of this amount, $31.4 million will begin to expire in 2036 and $18.6 million has an indefinite carryforward period, but only has the availability to offset future income of up to 80% in any single year. The 2018 Tax Cuts and Jobs Act changed the rules related to uses and limitations of net operating loss carryforwards created in tax years beginning after December 31, 2017. Based on the history of losses of the predecessor entity and the continued depression of oil and gas prices, the Company concluded it was not more likely than not that the net operating loss carryforwards would be utilized; accordingly, a valuation allowance was recorded. In addition, the Company has generated a net operating loss carryforward for state income tax purposes, which the Company believes will not be realized during the relevant carryforward periods; however, such amounts have not been separately disclosed in the consolidated financial statements as the Company does not believe that these net operating losses are material to the amounts presented herein.</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9"/>
          <w:szCs w:val="19"/>
          <w:color w:val="auto"/>
        </w:rPr>
        <w:t>A valuation allowance has been established with respect to the portion of the deferred tax asset associated with tax basis in excess of carrying value of the Company’s assets for which the Company currently does not reasonably believe under the deferred tax asset realization criteria set forth in Topic 740 that it will more likely than not realize a benefit in future periods. During the years ended September 30, 2018 and 2017, the Company recorded a valuation allowance of $22.8 million and $34.2 million, respectively.</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percent likely to be realized upon its ultimate settlement. The Company had no uncertain tax positions as of September 30, 2018.</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The Company’s federal and state tax returns from its inception remain subject to examination by the applicable tax authorities.</w:t>
      </w:r>
    </w:p>
    <w:p>
      <w:pPr>
        <w:spacing w:after="0" w:line="136" w:lineRule="exact"/>
        <w:rPr>
          <w:sz w:val="20"/>
          <w:szCs w:val="20"/>
          <w:color w:val="auto"/>
        </w:rPr>
      </w:pPr>
    </w:p>
    <w:p>
      <w:pPr>
        <w:ind w:left="360" w:hanging="352"/>
        <w:spacing w:after="0"/>
        <w:tabs>
          <w:tab w:leader="none" w:pos="36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Fair Value </w:t>
      </w:r>
      <w:r>
        <w:rPr>
          <w:rFonts w:ascii="Arial" w:cs="Arial" w:eastAsia="Arial" w:hAnsi="Arial"/>
          <w:sz w:val="18"/>
          <w:szCs w:val="18"/>
          <w:b w:val="1"/>
          <w:bCs w:val="1"/>
          <w:color w:val="auto"/>
        </w:rPr>
        <w:t>Measurements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There is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Level 1 </w:t>
      </w:r>
      <w:r>
        <w:rPr>
          <w:rFonts w:ascii="Arial" w:cs="Arial" w:eastAsia="Arial" w:hAnsi="Arial"/>
          <w:sz w:val="19"/>
          <w:szCs w:val="19"/>
          <w:color w:val="auto"/>
        </w:rPr>
        <w:t>- inputs to the valuation methodology are quoted prices (unadjusted) for identical assets or liabilities in active markets.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auto"/>
        </w:rPr>
        <w:t xml:space="preserve">Level 2 </w:t>
      </w:r>
      <w:r>
        <w:rPr>
          <w:rFonts w:ascii="Arial" w:cs="Arial" w:eastAsia="Arial" w:hAnsi="Arial"/>
          <w:sz w:val="19"/>
          <w:szCs w:val="19"/>
          <w:color w:val="auto"/>
        </w:rPr>
        <w:t>- inputs to the valuation methodology include quoted prices for similar assets and liabilities in active markets, and inputs that</w:t>
      </w:r>
      <w:r>
        <w:rPr>
          <w:rFonts w:ascii="Arial" w:cs="Arial" w:eastAsia="Arial" w:hAnsi="Arial"/>
          <w:sz w:val="19"/>
          <w:szCs w:val="19"/>
          <w:b w:val="1"/>
          <w:bCs w:val="1"/>
          <w:color w:val="auto"/>
        </w:rPr>
        <w:t xml:space="preserve"> </w:t>
      </w:r>
      <w:r>
        <w:rPr>
          <w:rFonts w:ascii="Arial" w:cs="Arial" w:eastAsia="Arial" w:hAnsi="Arial"/>
          <w:sz w:val="19"/>
          <w:szCs w:val="19"/>
          <w:color w:val="auto"/>
        </w:rPr>
        <w:t>are observable for the asset or liability, either directly or indirectly, for substantially the full term of the financial instrument.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Level 3 </w:t>
      </w:r>
      <w:r>
        <w:rPr>
          <w:rFonts w:ascii="Arial" w:cs="Arial" w:eastAsia="Arial" w:hAnsi="Arial"/>
          <w:sz w:val="19"/>
          <w:szCs w:val="19"/>
          <w:color w:val="auto"/>
        </w:rPr>
        <w:t>- inputs to the valuation methodology are unobservable and significant to the fair value measurement.</w:t>
      </w:r>
    </w:p>
    <w:p>
      <w:pPr>
        <w:spacing w:after="0" w:line="197"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following table sets forth the assets and liabilities measured at fair value on a recurring basis, by level, as of September 30, 2018 and 2017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i w:val="1"/>
                <w:iCs w:val="1"/>
                <w:color w:val="auto"/>
              </w:rPr>
              <w:t>As of September 30, 2018</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50"/>
        </w:trPr>
        <w:tc>
          <w:tcPr>
            <w:tcW w:w="57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3</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46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 Asset (Commodity Contracts)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46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 Liability (Commodity Contracts)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453"/>
        </w:trPr>
        <w:tc>
          <w:tcPr>
            <w:tcW w:w="57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i w:val="1"/>
                <w:iCs w:val="1"/>
                <w:color w:val="auto"/>
              </w:rPr>
              <w:t>As of September 30, 2017</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36"/>
        </w:trPr>
        <w:tc>
          <w:tcPr>
            <w:tcW w:w="5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3</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46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 Asset (Commodity Contracts)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w:t>
            </w:r>
          </w:p>
        </w:tc>
      </w:tr>
      <w:tr>
        <w:trPr>
          <w:trHeight w:val="46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 Liability (Commodity Contracts)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bl>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 estimates the fair value of its derivative instruments based on published forward commodity price curves as of the date of the estimate, less discounts to recognize present values. The Company estimated the fair value of its derivatives using a pricing model which also considered market volatility, counterparty credit risk and additional criteria in determining discount rates. The discount rate used in the discounted cash flow projections was based on published LIBOR rates, Eurodollar futures rates and interest swap rates. The counterparty credit risk was determined by calculating the difference between the derivative counterparty’s bond rate and published bond rates. A credit valuation adjustment (“CVA”) for the Company is incorporated into the derivative valuation when the overall derivative position with a counterparty is in a liability position. A CVA is calculated based on the spread between the Company’s credit curve and a risk-free rate.</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9"/>
          <w:szCs w:val="19"/>
          <w:color w:val="auto"/>
        </w:rPr>
        <w:t>At September 30, 2018 and 2017, the carrying value of cash, restricted cash, receivables and payables reflected in the Company’s consolidated financial statements approximates fair value due to their short-term nature. Additionally, we believe that the carrying value of the Company’s long-term debt under the credit facility approximates fair value because the credit facility carries an interest rate that approximates current market rates. The long-term debt is classified as Level 2.</w:t>
      </w:r>
    </w:p>
    <w:p>
      <w:pPr>
        <w:spacing w:after="0" w:line="140" w:lineRule="exact"/>
        <w:rPr>
          <w:sz w:val="20"/>
          <w:szCs w:val="20"/>
          <w:color w:val="auto"/>
        </w:rPr>
      </w:pPr>
    </w:p>
    <w:p>
      <w:pPr>
        <w:ind w:left="360" w:hanging="352"/>
        <w:spacing w:after="0"/>
        <w:tabs>
          <w:tab w:leader="none" w:pos="360" w:val="left"/>
        </w:tabs>
        <w:numPr>
          <w:ilvl w:val="0"/>
          <w:numId w:val="137"/>
        </w:numPr>
        <w:rPr>
          <w:rFonts w:ascii="Arial" w:cs="Arial" w:eastAsia="Arial" w:hAnsi="Arial"/>
          <w:sz w:val="22"/>
          <w:szCs w:val="22"/>
          <w:b w:val="1"/>
          <w:bCs w:val="1"/>
          <w:color w:val="auto"/>
        </w:rPr>
      </w:pPr>
      <w:r>
        <w:rPr>
          <w:rFonts w:ascii="Arial" w:cs="Arial" w:eastAsia="Arial" w:hAnsi="Arial"/>
          <w:sz w:val="19"/>
          <w:szCs w:val="19"/>
          <w:b w:val="1"/>
          <w:bCs w:val="1"/>
          <w:color w:val="auto"/>
        </w:rPr>
        <w:t>Derivative Contracts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Company periodically utilizes various hedging strategies to manage the price received for a portion of its future oil and natural gas production to reduce exposure to fluctuations in oil and natural gas prices and to achieve a more predictable cash flow.</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9"/>
          <w:szCs w:val="19"/>
          <w:color w:val="auto"/>
        </w:rPr>
        <w:t>During 2018 and 2017, the Company entered into certain derivative contracts to manage the impact of oil and natural gas price fluctuations and as required by the terms of its credit facility. The Company did not designate these transactions as hedges. Accordingly, all gains and losses on the derivative instruments during 2018 and 2017 have been recorded in the consolidated statements of operations.</w:t>
      </w:r>
    </w:p>
    <w:p>
      <w:pPr>
        <w:spacing w:after="0" w:line="179" w:lineRule="exact"/>
        <w:rPr>
          <w:sz w:val="20"/>
          <w:szCs w:val="20"/>
          <w:color w:val="auto"/>
        </w:rPr>
      </w:pPr>
    </w:p>
    <w:p>
      <w:pPr>
        <w:jc w:val="center"/>
        <w:ind w:right="440"/>
        <w:spacing w:after="0" w:line="469" w:lineRule="auto"/>
        <w:rPr>
          <w:sz w:val="20"/>
          <w:szCs w:val="20"/>
          <w:color w:val="auto"/>
        </w:rPr>
      </w:pPr>
      <w:r>
        <w:rPr>
          <w:rFonts w:ascii="Arial" w:cs="Arial" w:eastAsia="Arial" w:hAnsi="Arial"/>
          <w:sz w:val="19"/>
          <w:szCs w:val="19"/>
          <w:color w:val="auto"/>
        </w:rPr>
        <w:t>As of September 30, 2018, all of the Company’s derivative contracts matured and the Company had no open derivative positions.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02"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Gross fair values of the Company’s derivative instruments, prior to netting of assets and liabilities subject to a master netting arrangement,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0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Derivative</w:t>
            </w:r>
          </w:p>
        </w:tc>
        <w:tc>
          <w:tcPr>
            <w:tcW w:w="3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Fair Value as of September 30,</w:t>
            </w:r>
          </w:p>
        </w:tc>
      </w:tr>
      <w:tr>
        <w:trPr>
          <w:trHeight w:val="237"/>
        </w:trPr>
        <w:tc>
          <w:tcPr>
            <w:tcW w:w="3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9"/>
              </w:rPr>
              <w:t>Financial Instruments</w:t>
            </w:r>
          </w:p>
        </w:tc>
        <w:tc>
          <w:tcPr>
            <w:tcW w:w="39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9"/>
              </w:rPr>
              <w:t>Balance Sheet Location</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r>
      <w:tr>
        <w:trPr>
          <w:trHeight w:val="229"/>
        </w:trPr>
        <w:tc>
          <w:tcPr>
            <w:tcW w:w="3700" w:type="dxa"/>
            <w:vAlign w:val="bottom"/>
          </w:tcPr>
          <w:p>
            <w:pPr>
              <w:jc w:val="center"/>
              <w:ind w:left="90"/>
              <w:spacing w:after="0"/>
              <w:rPr>
                <w:sz w:val="20"/>
                <w:szCs w:val="20"/>
                <w:color w:val="auto"/>
              </w:rPr>
            </w:pPr>
            <w:r>
              <w:rPr>
                <w:rFonts w:ascii="Arial" w:cs="Arial" w:eastAsia="Arial" w:hAnsi="Arial"/>
                <w:sz w:val="18"/>
                <w:szCs w:val="18"/>
                <w:color w:val="auto"/>
                <w:w w:val="99"/>
              </w:rPr>
              <w:t>Commodity Contracts</w:t>
            </w:r>
          </w:p>
        </w:tc>
        <w:tc>
          <w:tcPr>
            <w:tcW w:w="3960" w:type="dxa"/>
            <w:vAlign w:val="bottom"/>
          </w:tcPr>
          <w:p>
            <w:pPr>
              <w:jc w:val="center"/>
              <w:ind w:left="470"/>
              <w:spacing w:after="0"/>
              <w:rPr>
                <w:sz w:val="20"/>
                <w:szCs w:val="20"/>
                <w:color w:val="auto"/>
              </w:rPr>
            </w:pPr>
            <w:r>
              <w:rPr>
                <w:rFonts w:ascii="Arial" w:cs="Arial" w:eastAsia="Arial" w:hAnsi="Arial"/>
                <w:sz w:val="18"/>
                <w:szCs w:val="18"/>
                <w:color w:val="auto"/>
                <w:w w:val="99"/>
              </w:rPr>
              <w:t>Current Assets-Derivative Assets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114</w:t>
            </w:r>
          </w:p>
        </w:tc>
      </w:tr>
      <w:tr>
        <w:trPr>
          <w:trHeight w:val="224"/>
        </w:trPr>
        <w:tc>
          <w:tcPr>
            <w:tcW w:w="3700" w:type="dxa"/>
            <w:vAlign w:val="bottom"/>
            <w:tcBorders>
              <w:bottom w:val="single" w:sz="8" w:color="auto"/>
            </w:tcBorders>
          </w:tcPr>
          <w:p>
            <w:pPr>
              <w:jc w:val="center"/>
              <w:ind w:left="90"/>
              <w:spacing w:after="0" w:line="203" w:lineRule="exact"/>
              <w:rPr>
                <w:sz w:val="20"/>
                <w:szCs w:val="20"/>
                <w:color w:val="auto"/>
              </w:rPr>
            </w:pPr>
            <w:r>
              <w:rPr>
                <w:rFonts w:ascii="Arial" w:cs="Arial" w:eastAsia="Arial" w:hAnsi="Arial"/>
                <w:sz w:val="18"/>
                <w:szCs w:val="18"/>
                <w:color w:val="auto"/>
                <w:w w:val="99"/>
              </w:rPr>
              <w:t>Commodity Contracts</w:t>
            </w:r>
          </w:p>
        </w:tc>
        <w:tc>
          <w:tcPr>
            <w:tcW w:w="3960" w:type="dxa"/>
            <w:vAlign w:val="bottom"/>
            <w:tcBorders>
              <w:bottom w:val="single" w:sz="8" w:color="auto"/>
            </w:tcBorders>
          </w:tcPr>
          <w:p>
            <w:pPr>
              <w:jc w:val="center"/>
              <w:ind w:left="490"/>
              <w:spacing w:after="0" w:line="203" w:lineRule="exact"/>
              <w:rPr>
                <w:sz w:val="20"/>
                <w:szCs w:val="20"/>
                <w:color w:val="auto"/>
              </w:rPr>
            </w:pPr>
            <w:r>
              <w:rPr>
                <w:rFonts w:ascii="Arial" w:cs="Arial" w:eastAsia="Arial" w:hAnsi="Arial"/>
                <w:sz w:val="18"/>
                <w:szCs w:val="18"/>
                <w:color w:val="auto"/>
                <w:w w:val="99"/>
              </w:rPr>
              <w:t>Long-Term Assets-Derivative Assets</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12</w:t>
            </w:r>
          </w:p>
        </w:tc>
      </w:tr>
      <w:tr>
        <w:trPr>
          <w:trHeight w:val="237"/>
        </w:trPr>
        <w:tc>
          <w:tcPr>
            <w:tcW w:w="37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w:t>
            </w:r>
          </w:p>
        </w:tc>
      </w:tr>
    </w:tbl>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All of the gains and losses related to derivative contracts are recorded through the “(gains)/losses on derivatives” account in the consolidated statements of operations.</w:t>
      </w:r>
    </w:p>
    <w:p>
      <w:pPr>
        <w:spacing w:after="0" w:line="134" w:lineRule="exact"/>
        <w:rPr>
          <w:sz w:val="20"/>
          <w:szCs w:val="20"/>
          <w:color w:val="auto"/>
        </w:rPr>
      </w:pPr>
    </w:p>
    <w:p>
      <w:pPr>
        <w:ind w:left="360" w:hanging="352"/>
        <w:spacing w:after="0"/>
        <w:tabs>
          <w:tab w:leader="none" w:pos="360" w:val="left"/>
        </w:tabs>
        <w:numPr>
          <w:ilvl w:val="0"/>
          <w:numId w:val="138"/>
        </w:numPr>
        <w:rPr>
          <w:rFonts w:ascii="Arial" w:cs="Arial" w:eastAsia="Arial" w:hAnsi="Arial"/>
          <w:sz w:val="22"/>
          <w:szCs w:val="22"/>
          <w:b w:val="1"/>
          <w:bCs w:val="1"/>
          <w:color w:val="auto"/>
        </w:rPr>
      </w:pPr>
      <w:r>
        <w:rPr>
          <w:rFonts w:ascii="Arial" w:cs="Arial" w:eastAsia="Arial" w:hAnsi="Arial"/>
          <w:sz w:val="19"/>
          <w:szCs w:val="19"/>
          <w:b w:val="1"/>
          <w:bCs w:val="1"/>
          <w:color w:val="auto"/>
        </w:rPr>
        <w:t>Acquisitions and Divestitures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Wood County Disposition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January 1, 2017, the Company closed on the sale of certain oil and natural gas properties located in Texas. The Company received no proceeds, but was relieved of the plugging liability.</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Riverbend Disposition</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On January 5, 2017, the Company closed on the sale of certain oil and gas properties located in Texas for $5.7 million net proceeds.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Harrison County Disposition</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 xml:space="preserve">On </w:t>
      </w:r>
      <w:r>
        <w:rPr>
          <w:rFonts w:ascii="Arial" w:cs="Arial" w:eastAsia="Arial" w:hAnsi="Arial"/>
          <w:sz w:val="17"/>
          <w:szCs w:val="17"/>
          <w:color w:val="auto"/>
        </w:rPr>
        <w:t>February</w:t>
      </w:r>
      <w:r>
        <w:rPr>
          <w:rFonts w:ascii="Arial" w:cs="Arial" w:eastAsia="Arial" w:hAnsi="Arial"/>
          <w:sz w:val="19"/>
          <w:szCs w:val="19"/>
          <w:color w:val="auto"/>
        </w:rPr>
        <w:t xml:space="preserve"> 10, 2017, the Company closed on the sale of certain oil and natural gas properties located in Texas for $15 thousand plus oil in tanks.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Karnes County Disposition</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On May 23, 2017, the Company closed on the sale of certain oil and natural gas properties located in Texas for $0.4 million.</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Rusk County Disposition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June 22, 2017, the Company closed on the sale of undeveloped deep rights in certain oil and gas properties located in Texas for approximately $0.1 million.</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Fayette Acquisition</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Company closed on the purchase of additional acreage in Fayette County, Texas for $0.8 million and $2.0 million in October 2017 and June 2018,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Logansport Dispositions</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March 2018, the Company closed on the sale of certain operated crude oil and natural gas property located in the DeSoto parish of Louisiana for $3.2 million net proceeds (prior to closing adjustments). In June 2018, the Company closed on the sale of certain mineral interests located in the DeSoto parish of Louisiana for $0.6 million.</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Dull Knife Disposition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March 2018, the Company closed on the sale of certain oil and natural gas properties located in Winkler County, Texas for $240 thousand.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Yoakum County Disposition</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In March 2018, the Company leased mineral interest properties located in Yoakum County, Texas for $40 thousand.</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Harris County Disposition</w:t>
      </w:r>
    </w:p>
    <w:p>
      <w:pPr>
        <w:spacing w:after="0" w:line="209"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In March 2018, the Company closed on the sale of certain oil and natural gas properties located in Harris County, Texas for $100 thousand.</w:t>
      </w:r>
    </w:p>
    <w:p>
      <w:pPr>
        <w:spacing w:after="0" w:line="134" w:lineRule="exact"/>
        <w:rPr>
          <w:sz w:val="20"/>
          <w:szCs w:val="20"/>
          <w:color w:val="auto"/>
        </w:rPr>
      </w:pPr>
    </w:p>
    <w:p>
      <w:pPr>
        <w:ind w:left="360" w:hanging="352"/>
        <w:spacing w:after="0"/>
        <w:tabs>
          <w:tab w:leader="none" w:pos="360" w:val="left"/>
        </w:tabs>
        <w:numPr>
          <w:ilvl w:val="0"/>
          <w:numId w:val="139"/>
        </w:numPr>
        <w:rPr>
          <w:rFonts w:ascii="Arial" w:cs="Arial" w:eastAsia="Arial" w:hAnsi="Arial"/>
          <w:sz w:val="22"/>
          <w:szCs w:val="22"/>
          <w:b w:val="1"/>
          <w:bCs w:val="1"/>
          <w:color w:val="auto"/>
        </w:rPr>
      </w:pPr>
      <w:r>
        <w:rPr>
          <w:rFonts w:ascii="Arial" w:cs="Arial" w:eastAsia="Arial" w:hAnsi="Arial"/>
          <w:sz w:val="19"/>
          <w:szCs w:val="19"/>
          <w:b w:val="1"/>
          <w:bCs w:val="1"/>
          <w:color w:val="auto"/>
        </w:rPr>
        <w:t>Drilling Activity</w:t>
      </w:r>
    </w:p>
    <w:p>
      <w:pPr>
        <w:spacing w:after="0" w:line="19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July 2018, the Company began a program to drill four new wells in the Austin Chalk formation, two of which began producing in September and October 2018. Fayette was formed in September 2017 and is an owner in the new wells drilled, and Service was formed in June 2018 to invest in gathering and facilities infrastructure. RAM (dba RAMTex Energy LLC) is the operator of the Fayette wells. As operator, RAM collects revenue and pays expenses for the Fayette wells. RAM also distributes revenue and provides joint interest billings to Fayette and any non-operating partners for their interest in the Fayette wells.</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Fayette holds various ownership interests in the new wells. The joint operating agreements allow for prebilling partners for 100% of their share of the total AFE. Drilling advances received were $3.4 million as of September 30, 2018. Funding for the drilling program will be provided by borrowings on the revolving loan agreement, joint interest billings and production from the new wells.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first Fayette well, the Super T, was completed and producing the last 5 days in September 2018. The second Fayette well, the Tango, was spud August 25, 2018 and was producing in October 2018.</w:t>
      </w:r>
    </w:p>
    <w:p>
      <w:pPr>
        <w:spacing w:after="0" w:line="134" w:lineRule="exact"/>
        <w:rPr>
          <w:sz w:val="20"/>
          <w:szCs w:val="20"/>
          <w:color w:val="auto"/>
        </w:rPr>
      </w:pPr>
    </w:p>
    <w:p>
      <w:pPr>
        <w:ind w:left="360" w:hanging="352"/>
        <w:spacing w:after="0"/>
        <w:tabs>
          <w:tab w:leader="none" w:pos="360" w:val="left"/>
        </w:tabs>
        <w:numPr>
          <w:ilvl w:val="0"/>
          <w:numId w:val="140"/>
        </w:numPr>
        <w:rPr>
          <w:rFonts w:ascii="Arial" w:cs="Arial" w:eastAsia="Arial" w:hAnsi="Arial"/>
          <w:sz w:val="22"/>
          <w:szCs w:val="22"/>
          <w:b w:val="1"/>
          <w:bCs w:val="1"/>
          <w:color w:val="auto"/>
        </w:rPr>
      </w:pPr>
      <w:r>
        <w:rPr>
          <w:rFonts w:ascii="Arial" w:cs="Arial" w:eastAsia="Arial" w:hAnsi="Arial"/>
          <w:sz w:val="19"/>
          <w:szCs w:val="19"/>
          <w:b w:val="1"/>
          <w:bCs w:val="1"/>
          <w:color w:val="auto"/>
        </w:rPr>
        <w:t>Long-Term Debt - Affiliate</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Long-term debt - affiliate consists of the following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September 30,</w:t>
            </w:r>
          </w:p>
        </w:tc>
        <w:tc>
          <w:tcPr>
            <w:tcW w:w="3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2017</w:t>
            </w:r>
          </w:p>
        </w:tc>
      </w:tr>
      <w:tr>
        <w:trPr>
          <w:trHeight w:val="458"/>
        </w:trPr>
        <w:tc>
          <w:tcPr>
            <w:tcW w:w="440" w:type="dxa"/>
            <w:vAlign w:val="bottom"/>
          </w:tcPr>
          <w:p>
            <w:pPr>
              <w:spacing w:after="0"/>
              <w:rPr>
                <w:sz w:val="20"/>
                <w:szCs w:val="20"/>
                <w:color w:val="auto"/>
              </w:rPr>
            </w:pPr>
            <w:r>
              <w:rPr>
                <w:rFonts w:ascii="Arial" w:cs="Arial" w:eastAsia="Arial" w:hAnsi="Arial"/>
                <w:sz w:val="18"/>
                <w:szCs w:val="18"/>
                <w:color w:val="auto"/>
              </w:rPr>
              <w:t>2017</w:t>
            </w:r>
          </w:p>
        </w:tc>
        <w:tc>
          <w:tcPr>
            <w:tcW w:w="4260" w:type="dxa"/>
            <w:vAlign w:val="bottom"/>
          </w:tcPr>
          <w:p>
            <w:pPr>
              <w:ind w:left="20"/>
              <w:spacing w:after="0"/>
              <w:rPr>
                <w:sz w:val="20"/>
                <w:szCs w:val="20"/>
                <w:color w:val="auto"/>
              </w:rPr>
            </w:pPr>
            <w:r>
              <w:rPr>
                <w:rFonts w:ascii="Arial" w:cs="Arial" w:eastAsia="Arial" w:hAnsi="Arial"/>
                <w:sz w:val="18"/>
                <w:szCs w:val="18"/>
                <w:color w:val="auto"/>
              </w:rPr>
              <w:t>Term Loan</w:t>
            </w:r>
          </w:p>
        </w:tc>
        <w:tc>
          <w:tcPr>
            <w:tcW w:w="3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35,000</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35,000</w:t>
            </w:r>
          </w:p>
        </w:tc>
      </w:tr>
      <w:tr>
        <w:trPr>
          <w:trHeight w:val="210"/>
        </w:trPr>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2018</w:t>
            </w:r>
          </w:p>
        </w:tc>
        <w:tc>
          <w:tcPr>
            <w:tcW w:w="42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Revolving Loan</w:t>
            </w:r>
          </w:p>
        </w:tc>
        <w:tc>
          <w:tcPr>
            <w:tcW w:w="3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10,000</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r>
      <w:tr>
        <w:trPr>
          <w:trHeight w:val="466"/>
        </w:trPr>
        <w:tc>
          <w:tcPr>
            <w:tcW w:w="4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45,000</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35,000</w:t>
            </w:r>
          </w:p>
        </w:tc>
      </w:tr>
    </w:tbl>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On September 29, 2017, the Company entered into a term loan of $35 million under a loan agreement with PennantPark. The loan agreement was made effective July 1, 2017 and matures on July 2, 2022. The term loan carries an interest rate of 8% with a 50% paid-in-kind interest election.</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June 5, 2018, the loan agreement was amended to add a revolving loan with a total commitment of $15 million. Borrowings on the revolving loan must be at a minimum of $1 million and in $1 million increments, and carries an interest rate of 8%.</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loan agreement includes representations, warranties, and customary covenants, including certain financial covenants for minimum liquidity and maximum annual capital expenditures. As of September 30, 2018, the Company was in compliance with its financial covenants.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76" w:lineRule="exact"/>
        <w:rPr>
          <w:sz w:val="20"/>
          <w:szCs w:val="20"/>
          <w:color w:val="auto"/>
        </w:rPr>
      </w:pPr>
    </w:p>
    <w:p>
      <w:pPr>
        <w:ind w:left="360" w:hanging="352"/>
        <w:spacing w:after="0"/>
        <w:tabs>
          <w:tab w:leader="none" w:pos="360" w:val="left"/>
        </w:tabs>
        <w:numPr>
          <w:ilvl w:val="0"/>
          <w:numId w:val="141"/>
        </w:numPr>
        <w:rPr>
          <w:rFonts w:ascii="Arial" w:cs="Arial" w:eastAsia="Arial" w:hAnsi="Arial"/>
          <w:sz w:val="22"/>
          <w:szCs w:val="22"/>
          <w:b w:val="1"/>
          <w:bCs w:val="1"/>
          <w:color w:val="auto"/>
        </w:rPr>
      </w:pPr>
      <w:r>
        <w:rPr>
          <w:rFonts w:ascii="Arial" w:cs="Arial" w:eastAsia="Arial" w:hAnsi="Arial"/>
          <w:sz w:val="19"/>
          <w:szCs w:val="19"/>
          <w:b w:val="1"/>
          <w:bCs w:val="1"/>
          <w:color w:val="auto"/>
        </w:rPr>
        <w:t>Member’s Deficit</w:t>
      </w:r>
    </w:p>
    <w:p>
      <w:pPr>
        <w:spacing w:after="0" w:line="19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PennantPark holds all units in Holdings. A debt restructuring in September 2017 included PennantPark contributing the then outstanding Tranche A term loan to Holdings, effectively extinguishing the debt. In exchange, Holdings issued PennantPark 61,606 common units and Holdings entered into a new $35 million term loan with PennantPark. As PennantPark is the sole owner of Holdings, the debt restructuring was deemed a capital transaction at cost basis with no gain or loss recorded. The cost basis of the debt plus interest paid-in-kind immediately prior to the extinguishment was $88 million, resulting in a net equity contribution of approximately $54 million on the conversion of debt.</w:t>
      </w:r>
    </w:p>
    <w:p>
      <w:pPr>
        <w:spacing w:after="0" w:line="140" w:lineRule="exact"/>
        <w:rPr>
          <w:sz w:val="20"/>
          <w:szCs w:val="20"/>
          <w:color w:val="auto"/>
        </w:rPr>
      </w:pPr>
    </w:p>
    <w:p>
      <w:pPr>
        <w:ind w:left="360" w:hanging="352"/>
        <w:spacing w:after="0"/>
        <w:tabs>
          <w:tab w:leader="none" w:pos="360" w:val="left"/>
        </w:tabs>
        <w:numPr>
          <w:ilvl w:val="0"/>
          <w:numId w:val="142"/>
        </w:numPr>
        <w:rPr>
          <w:rFonts w:ascii="Arial" w:cs="Arial" w:eastAsia="Arial" w:hAnsi="Arial"/>
          <w:sz w:val="22"/>
          <w:szCs w:val="22"/>
          <w:b w:val="1"/>
          <w:bCs w:val="1"/>
          <w:color w:val="auto"/>
        </w:rPr>
      </w:pPr>
      <w:r>
        <w:rPr>
          <w:rFonts w:ascii="Arial" w:cs="Arial" w:eastAsia="Arial" w:hAnsi="Arial"/>
          <w:sz w:val="19"/>
          <w:szCs w:val="19"/>
          <w:b w:val="1"/>
          <w:bCs w:val="1"/>
          <w:color w:val="auto"/>
        </w:rPr>
        <w:t>Commitments and Contingencies</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209"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RAM leases office space and certain equipment under non-cancelable operating lease agreements that expire on various dates through 2020. Approximate future minimum lease payments as of September 30, 2018 are as follows (in thousands):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jc w:val="right"/>
              <w:ind w:right="4190"/>
              <w:spacing w:after="0"/>
              <w:rPr>
                <w:sz w:val="20"/>
                <w:szCs w:val="20"/>
                <w:color w:val="auto"/>
              </w:rPr>
            </w:pPr>
            <w:r>
              <w:rPr>
                <w:rFonts w:ascii="Arial" w:cs="Arial" w:eastAsia="Arial" w:hAnsi="Arial"/>
                <w:sz w:val="18"/>
                <w:szCs w:val="18"/>
                <w:color w:val="auto"/>
              </w:rPr>
              <w:t>2019</w:t>
            </w:r>
          </w:p>
        </w:tc>
        <w:tc>
          <w:tcPr>
            <w:tcW w:w="51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530</w:t>
            </w:r>
          </w:p>
        </w:tc>
      </w:tr>
      <w:tr>
        <w:trPr>
          <w:trHeight w:val="224"/>
        </w:trPr>
        <w:tc>
          <w:tcPr>
            <w:tcW w:w="4940" w:type="dxa"/>
            <w:vAlign w:val="bottom"/>
            <w:tcBorders>
              <w:bottom w:val="single" w:sz="8" w:color="auto"/>
            </w:tcBorders>
          </w:tcPr>
          <w:p>
            <w:pPr>
              <w:jc w:val="right"/>
              <w:ind w:right="4190"/>
              <w:spacing w:after="0" w:line="203" w:lineRule="exact"/>
              <w:rPr>
                <w:sz w:val="20"/>
                <w:szCs w:val="20"/>
                <w:color w:val="auto"/>
              </w:rPr>
            </w:pPr>
            <w:r>
              <w:rPr>
                <w:rFonts w:ascii="Arial" w:cs="Arial" w:eastAsia="Arial" w:hAnsi="Arial"/>
                <w:sz w:val="18"/>
                <w:szCs w:val="18"/>
                <w:color w:val="auto"/>
              </w:rPr>
              <w:t>2020</w:t>
            </w:r>
          </w:p>
        </w:tc>
        <w:tc>
          <w:tcPr>
            <w:tcW w:w="5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177</w:t>
            </w:r>
          </w:p>
        </w:tc>
      </w:tr>
      <w:tr>
        <w:trPr>
          <w:trHeight w:val="466"/>
        </w:trPr>
        <w:tc>
          <w:tcPr>
            <w:tcW w:w="49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707</w:t>
            </w:r>
          </w:p>
        </w:tc>
      </w:tr>
    </w:tbl>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Rent expense of approximately $0.5 million and $0.5 million was incurred under operating leases for the years ended September 30, 2018 and 2017, respectively.</w:t>
      </w:r>
    </w:p>
    <w:p>
      <w:pPr>
        <w:spacing w:after="0" w:line="134" w:lineRule="exact"/>
        <w:rPr>
          <w:sz w:val="20"/>
          <w:szCs w:val="20"/>
          <w:color w:val="auto"/>
        </w:rPr>
      </w:pPr>
    </w:p>
    <w:p>
      <w:pPr>
        <w:ind w:left="360" w:hanging="352"/>
        <w:spacing w:after="0"/>
        <w:tabs>
          <w:tab w:leader="none" w:pos="360" w:val="left"/>
        </w:tabs>
        <w:numPr>
          <w:ilvl w:val="0"/>
          <w:numId w:val="143"/>
        </w:numPr>
        <w:rPr>
          <w:rFonts w:ascii="Arial" w:cs="Arial" w:eastAsia="Arial" w:hAnsi="Arial"/>
          <w:sz w:val="22"/>
          <w:szCs w:val="22"/>
          <w:b w:val="1"/>
          <w:bCs w:val="1"/>
          <w:color w:val="auto"/>
        </w:rPr>
      </w:pPr>
      <w:r>
        <w:rPr>
          <w:rFonts w:ascii="Arial" w:cs="Arial" w:eastAsia="Arial" w:hAnsi="Arial"/>
          <w:sz w:val="19"/>
          <w:szCs w:val="19"/>
          <w:b w:val="1"/>
          <w:bCs w:val="1"/>
          <w:color w:val="auto"/>
        </w:rPr>
        <w:t>Related Party Transactions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9"/>
          <w:szCs w:val="19"/>
          <w:color w:val="auto"/>
        </w:rPr>
        <w:t>RAM made certain payments on behalf of an officer totaling $52 thousand in 2018 and $51 thousand in 2017, which are due to the Company as of September 30, 2018 and 2017, respectively. LEL Energy, a company owned by an officer of RAM, made payments on behalf of RAM totaling $0 in 2018 and $12 thousand in 2017, which are payables on RAM’s books as of September 30, 2018 and September 30, 2017, respectively.</w:t>
      </w:r>
    </w:p>
    <w:p>
      <w:pPr>
        <w:spacing w:after="0" w:line="140" w:lineRule="exact"/>
        <w:rPr>
          <w:sz w:val="20"/>
          <w:szCs w:val="20"/>
          <w:color w:val="auto"/>
        </w:rPr>
      </w:pPr>
    </w:p>
    <w:p>
      <w:pPr>
        <w:ind w:left="360" w:hanging="352"/>
        <w:spacing w:after="0"/>
        <w:tabs>
          <w:tab w:leader="none" w:pos="360" w:val="left"/>
        </w:tabs>
        <w:numPr>
          <w:ilvl w:val="0"/>
          <w:numId w:val="144"/>
        </w:numPr>
        <w:rPr>
          <w:rFonts w:ascii="Arial" w:cs="Arial" w:eastAsia="Arial" w:hAnsi="Arial"/>
          <w:sz w:val="22"/>
          <w:szCs w:val="22"/>
          <w:b w:val="1"/>
          <w:bCs w:val="1"/>
          <w:color w:val="auto"/>
        </w:rPr>
      </w:pPr>
      <w:r>
        <w:rPr>
          <w:rFonts w:ascii="Arial" w:cs="Arial" w:eastAsia="Arial" w:hAnsi="Arial"/>
          <w:sz w:val="19"/>
          <w:szCs w:val="19"/>
          <w:b w:val="1"/>
          <w:bCs w:val="1"/>
          <w:color w:val="auto"/>
        </w:rPr>
        <w:t>Subsequent Events</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evaluates events and transactions occurring after the balance sheet date and before the consolidated financial statements are available for issuance. Such events and transactions have been evaluated through November 13, 2018, the date the consolidated financial statements were available to be issued.</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October 12, 2018, the Company borrowed an additional $5 million, bringing the total borrowings on the revolving loan to $15 million.</w:t>
      </w:r>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November 1, 2018, the Company closed on the sale of certain oil and gas properties in Lea County, New Mexico for $228 thousand. The buyer also assumed plugging liability and joint interest billings accounts payable of $8 thousand.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sectPr>
      <w:pgSz w:w="11900" w:h="16838" w:orient="portrait"/>
      <w:cols w:equalWidth="0" w:num="1">
        <w:col w:w="11240"/>
      </w:cols>
      <w:pgMar w:left="320" w:top="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1)"/>
      <w:numFmt w:val="lowerLetter"/>
      <w:start w:val="1"/>
    </w:lvl>
  </w:abstractNum>
  <w:abstractNum w:abstractNumId="4">
    <w:nsid w:val="540A471C"/>
    <w:multiLevelType w:val="hybridMultilevel"/>
    <w:lvl w:ilvl="0">
      <w:lvlJc w:val="left"/>
      <w:lvlText w:val="%1)"/>
      <w:numFmt w:val="lowerLetter"/>
      <w:start w:val="2"/>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1)"/>
      <w:numFmt w:val="lowerLetter"/>
      <w:start w:val="3"/>
    </w:lvl>
  </w:abstractNum>
  <w:abstractNum w:abstractNumId="7">
    <w:nsid w:val="613EFDC5"/>
    <w:multiLevelType w:val="hybridMultilevel"/>
    <w:lvl w:ilvl="0">
      <w:lvlJc w:val="left"/>
      <w:lvlText w:val="%1)"/>
      <w:numFmt w:val="lowerLetter"/>
      <w:start w:val="4"/>
    </w:lvl>
  </w:abstractNum>
  <w:abstractNum w:abstractNumId="8">
    <w:nsid w:val="BF72B14"/>
    <w:multiLevelType w:val="hybridMultilevel"/>
    <w:lvl w:ilvl="0">
      <w:lvlJc w:val="left"/>
      <w:lvlText w:val="%1)"/>
      <w:numFmt w:val="lowerLetter"/>
      <w:start w:val="1"/>
    </w:lvl>
  </w:abstractNum>
  <w:abstractNum w:abstractNumId="9">
    <w:nsid w:val="11447B73"/>
    <w:multiLevelType w:val="hybridMultilevel"/>
    <w:lvl w:ilvl="0">
      <w:lvlJc w:val="left"/>
      <w:lvlText w:val="%1)"/>
      <w:numFmt w:val="lowerLetter"/>
      <w:start w:val="2"/>
    </w:lvl>
  </w:abstractNum>
  <w:abstractNum w:abstractNumId="10">
    <w:nsid w:val="42963E5A"/>
    <w:multiLevelType w:val="hybridMultilevel"/>
    <w:lvl w:ilvl="0">
      <w:lvlJc w:val="left"/>
      <w:lvlText w:val="%1)"/>
      <w:numFmt w:val="lowerLetter"/>
      <w:start w:val="3"/>
    </w:lvl>
  </w:abstractNum>
  <w:abstractNum w:abstractNumId="11">
    <w:nsid w:val="A0382C5"/>
    <w:multiLevelType w:val="hybridMultilevel"/>
    <w:lvl w:ilvl="0">
      <w:lvlJc w:val="left"/>
      <w:lvlText w:val="%1)"/>
      <w:numFmt w:val="lowerLetter"/>
      <w:start w:val="4"/>
    </w:lvl>
  </w:abstractNum>
  <w:abstractNum w:abstractNumId="12">
    <w:nsid w:val="8F2B15E"/>
    <w:multiLevelType w:val="hybridMultilevel"/>
    <w:lvl w:ilvl="0">
      <w:lvlJc w:val="left"/>
      <w:lvlText w:val="%1)"/>
      <w:numFmt w:val="lowerLetter"/>
      <w:start w:val="5"/>
    </w:lvl>
  </w:abstractNum>
  <w:abstractNum w:abstractNumId="13">
    <w:nsid w:val="1A32234B"/>
    <w:multiLevelType w:val="hybridMultilevel"/>
    <w:lvl w:ilvl="0">
      <w:lvlJc w:val="left"/>
      <w:lvlText w:val="%1)"/>
      <w:numFmt w:val="lowerLetter"/>
      <w:start w:val="6"/>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1)"/>
      <w:numFmt w:val="decimal"/>
      <w:start w:val="4"/>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1)"/>
      <w:numFmt w:val="decimal"/>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lvl w:ilvl="1">
      <w:lvlJc w:val="left"/>
      <w:lvlText w:val="="/>
      <w:numFmt w:val="bullet"/>
      <w:start w:val="1"/>
    </w:lvl>
  </w:abstractNum>
  <w:abstractNum w:abstractNumId="23">
    <w:nsid w:val="100F59DC"/>
    <w:multiLevelType w:val="hybridMultilevel"/>
    <w:lvl w:ilvl="0">
      <w:lvlJc w:val="left"/>
      <w:lvlText w:val="(%1)"/>
      <w:numFmt w:val="decimal"/>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lvl w:ilvl="1">
      <w:lvlJc w:val="left"/>
      <w:lvlText w:val="%2)"/>
      <w:numFmt w:val="decimal"/>
      <w:start w:val="1"/>
    </w:lvl>
  </w:abstractNum>
  <w:abstractNum w:abstractNumId="29">
    <w:nsid w:val="76272110"/>
    <w:multiLevelType w:val="hybridMultilevel"/>
    <w:lvl w:ilvl="0">
      <w:lvlJc w:val="left"/>
      <w:lvlText w:val="(%1)"/>
      <w:numFmt w:val="decimal"/>
      <w:start w:val="2"/>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1)"/>
      <w:numFmt w:val="decimal"/>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1."/>
      <w:numFmt w:val="decimal"/>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1)"/>
      <w:numFmt w:val="decimal"/>
      <w:start w:val="1"/>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1)"/>
      <w:numFmt w:val="decimal"/>
      <w:start w:val="1"/>
    </w:lvl>
  </w:abstractNum>
  <w:abstractNum w:abstractNumId="47">
    <w:nsid w:val="7055A5F5"/>
    <w:multiLevelType w:val="hybridMultilevel"/>
    <w:lvl w:ilvl="0">
      <w:lvlJc w:val="left"/>
      <w:lvlText w:val="%1."/>
      <w:numFmt w:val="decimal"/>
      <w:start w:val="1"/>
    </w:lvl>
  </w:abstractNum>
  <w:abstractNum w:abstractNumId="48">
    <w:nsid w:val="5FB8370B"/>
    <w:multiLevelType w:val="hybridMultilevel"/>
    <w:lvl w:ilvl="0">
      <w:lvlJc w:val="left"/>
      <w:lvlText w:val="(%1)"/>
      <w:numFmt w:val="decimal"/>
      <w:start w:val="1"/>
    </w:lvl>
  </w:abstractNum>
  <w:abstractNum w:abstractNumId="49">
    <w:nsid w:val="50801EE1"/>
    <w:multiLevelType w:val="hybridMultilevel"/>
    <w:lvl w:ilvl="0">
      <w:lvlJc w:val="left"/>
      <w:lvlText w:val="(%1)"/>
      <w:numFmt w:val="decimal"/>
      <w:start w:val="1"/>
    </w:lvl>
  </w:abstractNum>
  <w:abstractNum w:abstractNumId="50">
    <w:nsid w:val="488AC1A"/>
    <w:multiLevelType w:val="hybridMultilevel"/>
    <w:lvl w:ilvl="0">
      <w:lvlJc w:val="left"/>
      <w:lvlText w:val="(%1)"/>
      <w:numFmt w:val="decimal"/>
      <w:start w:val="1"/>
    </w:lvl>
  </w:abstractNum>
  <w:abstractNum w:abstractNumId="51">
    <w:nsid w:val="5FB8011C"/>
    <w:multiLevelType w:val="hybridMultilevel"/>
    <w:lvl w:ilvl="0">
      <w:lvlJc w:val="left"/>
      <w:lvlText w:val="\emdash "/>
      <w:numFmt w:val="bullet"/>
      <w:start w:val="1"/>
    </w:lvl>
  </w:abstractNum>
  <w:abstractNum w:abstractNumId="52">
    <w:nsid w:val="6AA78F7F"/>
    <w:multiLevelType w:val="hybridMultilevel"/>
    <w:lvl w:ilvl="0">
      <w:lvlJc w:val="left"/>
      <w:lvlText w:val="(%1)"/>
      <w:numFmt w:val="decimal"/>
      <w:start w:val="1"/>
    </w:lvl>
  </w:abstractNum>
  <w:abstractNum w:abstractNumId="53">
    <w:nsid w:val="7672BD23"/>
    <w:multiLevelType w:val="hybridMultilevel"/>
    <w:lvl w:ilvl="0">
      <w:lvlJc w:val="left"/>
      <w:lvlText w:val="(%1)"/>
      <w:numFmt w:val="lowerLetter"/>
      <w:start w:val="1"/>
    </w:lvl>
  </w:abstractNum>
  <w:abstractNum w:abstractNumId="54">
    <w:nsid w:val="6FC75AF8"/>
    <w:multiLevelType w:val="hybridMultilevel"/>
    <w:lvl w:ilvl="0">
      <w:lvlJc w:val="left"/>
      <w:lvlText w:val="(%1)"/>
      <w:numFmt w:val="decimal"/>
      <w:start w:val="1"/>
    </w:lvl>
  </w:abstractNum>
  <w:abstractNum w:abstractNumId="55">
    <w:nsid w:val="6A5F7029"/>
    <w:multiLevelType w:val="hybridMultilevel"/>
    <w:lvl w:ilvl="0">
      <w:lvlJc w:val="left"/>
      <w:lvlText w:val="(%1)"/>
      <w:numFmt w:val="lowerLetter"/>
      <w:start w:val="2"/>
    </w:lvl>
  </w:abstractNum>
  <w:abstractNum w:abstractNumId="56">
    <w:nsid w:val="7D5E18F8"/>
    <w:multiLevelType w:val="hybridMultilevel"/>
    <w:lvl w:ilvl="0">
      <w:lvlJc w:val="left"/>
      <w:lvlText w:val="(%1)"/>
      <w:numFmt w:val="lowerLetter"/>
      <w:start w:val="3"/>
    </w:lvl>
  </w:abstractNum>
  <w:abstractNum w:abstractNumId="57">
    <w:nsid w:val="5F3534A4"/>
    <w:multiLevelType w:val="hybridMultilevel"/>
    <w:lvl w:ilvl="0">
      <w:lvlJc w:val="left"/>
      <w:lvlText w:val="(%1)"/>
      <w:numFmt w:val="lowerLetter"/>
      <w:start w:val="4"/>
    </w:lvl>
  </w:abstractNum>
  <w:abstractNum w:abstractNumId="58">
    <w:nsid w:val="73A1821B"/>
    <w:multiLevelType w:val="hybridMultilevel"/>
    <w:lvl w:ilvl="0">
      <w:lvlJc w:val="left"/>
      <w:lvlText w:val="(%1)"/>
      <w:numFmt w:val="lowerLetter"/>
      <w:start w:val="5"/>
    </w:lvl>
  </w:abstractNum>
  <w:abstractNum w:abstractNumId="59">
    <w:nsid w:val="7DE67713"/>
    <w:multiLevelType w:val="hybridMultilevel"/>
    <w:lvl w:ilvl="0">
      <w:lvlJc w:val="left"/>
      <w:lvlText w:val="%1."/>
      <w:numFmt w:val="decimal"/>
      <w:start w:val="1"/>
    </w:lvl>
  </w:abstractNum>
  <w:abstractNum w:abstractNumId="60">
    <w:nsid w:val="555C55B5"/>
    <w:multiLevelType w:val="hybridMultilevel"/>
    <w:lvl w:ilvl="0">
      <w:lvlJc w:val="left"/>
      <w:lvlText w:val="(%1)"/>
      <w:numFmt w:val="lowerLetter"/>
      <w:start w:val="6"/>
    </w:lvl>
  </w:abstractNum>
  <w:abstractNum w:abstractNumId="61">
    <w:nsid w:val="3FA62ACA"/>
    <w:multiLevelType w:val="hybridMultilevel"/>
    <w:lvl w:ilvl="0">
      <w:lvlJc w:val="left"/>
      <w:lvlText w:val="(%1)"/>
      <w:numFmt w:val="lowerLetter"/>
      <w:start w:val="7"/>
    </w:lvl>
  </w:abstractNum>
  <w:abstractNum w:abstractNumId="62">
    <w:nsid w:val="14FCE74E"/>
    <w:multiLevelType w:val="hybridMultilevel"/>
    <w:lvl w:ilvl="0">
      <w:lvlJc w:val="left"/>
      <w:lvlText w:val="(%1)"/>
      <w:numFmt w:val="decimal"/>
      <w:start w:val="1"/>
    </w:lvl>
  </w:abstractNum>
  <w:abstractNum w:abstractNumId="63">
    <w:nsid w:val="6A3DD3E8"/>
    <w:multiLevelType w:val="hybridMultilevel"/>
    <w:lvl w:ilvl="0">
      <w:lvlJc w:val="left"/>
      <w:lvlText w:val="(%1)"/>
      <w:numFmt w:val="decimal"/>
      <w:start w:val="1"/>
    </w:lvl>
  </w:abstractNum>
  <w:abstractNum w:abstractNumId="64">
    <w:nsid w:val="71C91298"/>
    <w:multiLevelType w:val="hybridMultilevel"/>
    <w:lvl w:ilvl="0">
      <w:lvlJc w:val="left"/>
      <w:lvlText w:val="(%1)"/>
      <w:numFmt w:val="decimal"/>
      <w:start w:val="1"/>
    </w:lvl>
  </w:abstractNum>
  <w:abstractNum w:abstractNumId="65">
    <w:nsid w:val="9DAF632"/>
    <w:multiLevelType w:val="hybridMultilevel"/>
    <w:lvl w:ilvl="0">
      <w:lvlJc w:val="left"/>
      <w:lvlText w:val="(%1)"/>
      <w:numFmt w:val="decimal"/>
      <w:start w:val="1"/>
    </w:lvl>
  </w:abstractNum>
  <w:abstractNum w:abstractNumId="66">
    <w:nsid w:val="53299938"/>
    <w:multiLevelType w:val="hybridMultilevel"/>
    <w:lvl w:ilvl="0">
      <w:lvlJc w:val="left"/>
      <w:lvlText w:val="(%1)"/>
      <w:numFmt w:val="decimal"/>
      <w:start w:val="1"/>
    </w:lvl>
  </w:abstractNum>
  <w:abstractNum w:abstractNumId="67">
    <w:nsid w:val="1FBFE8E0"/>
    <w:multiLevelType w:val="hybridMultilevel"/>
    <w:lvl w:ilvl="0">
      <w:lvlJc w:val="left"/>
      <w:lvlText w:val="(%1)"/>
      <w:numFmt w:val="decimal"/>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1)"/>
      <w:numFmt w:val="decimal"/>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1)"/>
      <w:numFmt w:val="upperLetter"/>
      <w:start w:val="1"/>
    </w:lvl>
  </w:abstractNum>
  <w:abstractNum w:abstractNumId="72">
    <w:nsid w:val="2A155DBC"/>
    <w:multiLevelType w:val="hybridMultilevel"/>
    <w:lvl w:ilvl="0">
      <w:lvlJc w:val="left"/>
      <w:lvlText w:val="(%1)"/>
      <w:numFmt w:val="upperLetter"/>
      <w:start w:val="10"/>
    </w:lvl>
    <w:lvl w:ilvl="1">
      <w:lvlJc w:val="left"/>
      <w:lvlText w:val="(%2)"/>
      <w:numFmt w:val="upperLetter"/>
      <w:start w:val="2"/>
    </w:lvl>
  </w:abstractNum>
  <w:abstractNum w:abstractNumId="73">
    <w:nsid w:val="1D9F6E5F"/>
    <w:multiLevelType w:val="hybridMultilevel"/>
    <w:lvl w:ilvl="0">
      <w:lvlJc w:val="left"/>
      <w:lvlText w:val="(%1)"/>
      <w:numFmt w:val="lowerRoman"/>
      <w:start w:val="1"/>
    </w:lvl>
  </w:abstractNum>
  <w:abstractNum w:abstractNumId="74">
    <w:nsid w:val="97E1B4E"/>
    <w:multiLevelType w:val="hybridMultilevel"/>
    <w:lvl w:ilvl="0">
      <w:lvlJc w:val="left"/>
      <w:lvlText w:val="(%1)"/>
      <w:numFmt w:val="upperLetter"/>
      <w:start w:val="1"/>
    </w:lvl>
  </w:abstractNum>
  <w:abstractNum w:abstractNumId="75">
    <w:nsid w:val="51088277"/>
    <w:multiLevelType w:val="hybridMultilevel"/>
    <w:lvl w:ilvl="0">
      <w:lvlJc w:val="left"/>
      <w:lvlText w:val="(%1)"/>
      <w:numFmt w:val="upperLetter"/>
      <w:start w:val="1"/>
    </w:lvl>
  </w:abstractNum>
  <w:abstractNum w:abstractNumId="76">
    <w:nsid w:val="1CA0C5FA"/>
    <w:multiLevelType w:val="hybridMultilevel"/>
    <w:lvl w:ilvl="0">
      <w:lvlJc w:val="left"/>
      <w:lvlText w:val="(%1)"/>
      <w:numFmt w:val="upperLetter"/>
      <w:start w:val="2"/>
    </w:lvl>
  </w:abstractNum>
  <w:abstractNum w:abstractNumId="77">
    <w:nsid w:val="53584BCB"/>
    <w:multiLevelType w:val="hybridMultilevel"/>
    <w:lvl w:ilvl="0">
      <w:lvlJc w:val="left"/>
      <w:lvlText w:val="(%1)"/>
      <w:numFmt w:val="decimal"/>
      <w:start w:val="1"/>
    </w:lvl>
  </w:abstractNum>
  <w:abstractNum w:abstractNumId="78">
    <w:nsid w:val="415E286C"/>
    <w:multiLevelType w:val="hybridMultilevel"/>
    <w:lvl w:ilvl="0">
      <w:lvlJc w:val="left"/>
      <w:lvlText w:val="(%1)"/>
      <w:numFmt w:val="upperLetter"/>
      <w:start w:val="3"/>
    </w:lvl>
  </w:abstractNum>
  <w:abstractNum w:abstractNumId="79">
    <w:nsid w:val="7C58FD05"/>
    <w:multiLevelType w:val="hybridMultilevel"/>
    <w:lvl w:ilvl="0">
      <w:lvlJc w:val="left"/>
      <w:lvlText w:val="(%1)"/>
      <w:numFmt w:val="upperLetter"/>
      <w:start w:val="4"/>
    </w:lvl>
  </w:abstractNum>
  <w:abstractNum w:abstractNumId="80">
    <w:nsid w:val="23D86AAC"/>
    <w:multiLevelType w:val="hybridMultilevel"/>
    <w:lvl w:ilvl="0">
      <w:lvlJc w:val="left"/>
      <w:lvlText w:val="(%1)"/>
      <w:numFmt w:val="upperLetter"/>
      <w:start w:val="5"/>
    </w:lvl>
  </w:abstractNum>
  <w:abstractNum w:abstractNumId="81">
    <w:nsid w:val="45E6D486"/>
    <w:multiLevelType w:val="hybridMultilevel"/>
    <w:lvl w:ilvl="0">
      <w:lvlJc w:val="left"/>
      <w:lvlText w:val="(%1)"/>
      <w:numFmt w:val="decimal"/>
      <w:start w:val="1"/>
    </w:lvl>
  </w:abstractNum>
  <w:abstractNum w:abstractNumId="82">
    <w:nsid w:val="5C10FE21"/>
    <w:multiLevelType w:val="hybridMultilevel"/>
    <w:lvl w:ilvl="0">
      <w:lvlJc w:val="left"/>
      <w:lvlText w:val="(%1)"/>
      <w:numFmt w:val="upperLetter"/>
      <w:start w:val="6"/>
    </w:lvl>
  </w:abstractNum>
  <w:abstractNum w:abstractNumId="83">
    <w:nsid w:val="E7FFA2B"/>
    <w:multiLevelType w:val="hybridMultilevel"/>
    <w:lvl w:ilvl="0">
      <w:lvlJc w:val="left"/>
      <w:lvlText w:val="(%1)"/>
      <w:numFmt w:val="upperLetter"/>
      <w:start w:val="7"/>
    </w:lvl>
  </w:abstractNum>
  <w:abstractNum w:abstractNumId="84">
    <w:nsid w:val="3C5991AA"/>
    <w:multiLevelType w:val="hybridMultilevel"/>
    <w:lvl w:ilvl="0">
      <w:lvlJc w:val="left"/>
      <w:lvlText w:val="(%1)"/>
      <w:numFmt w:val="upperLetter"/>
      <w:start w:val="8"/>
    </w:lvl>
  </w:abstractNum>
  <w:abstractNum w:abstractNumId="85">
    <w:nsid w:val="4BD8591A"/>
    <w:multiLevelType w:val="hybridMultilevel"/>
    <w:lvl w:ilvl="0">
      <w:lvlJc w:val="left"/>
      <w:lvlText w:val="(%1)"/>
      <w:numFmt w:val="upperLetter"/>
      <w:start w:val="9"/>
    </w:lvl>
  </w:abstractNum>
  <w:abstractNum w:abstractNumId="86">
    <w:nsid w:val="78DF6A55"/>
    <w:multiLevelType w:val="hybridMultilevel"/>
    <w:lvl w:ilvl="0">
      <w:lvlJc w:val="left"/>
      <w:lvlText w:val="(%1)"/>
      <w:numFmt w:val="upperLetter"/>
      <w:start w:val="10"/>
    </w:lvl>
  </w:abstractNum>
  <w:abstractNum w:abstractNumId="87">
    <w:nsid w:val="39B7AAA2"/>
    <w:multiLevelType w:val="hybridMultilevel"/>
    <w:lvl w:ilvl="0">
      <w:lvlJc w:val="left"/>
      <w:lvlText w:val="(%1)"/>
      <w:numFmt w:val="upperLetter"/>
      <w:start w:val="11"/>
    </w:lvl>
  </w:abstractNum>
  <w:abstractNum w:abstractNumId="88">
    <w:nsid w:val="2B0D8DBE"/>
    <w:multiLevelType w:val="hybridMultilevel"/>
    <w:lvl w:ilvl="0">
      <w:lvlJc w:val="left"/>
      <w:lvlText w:val="(%1)"/>
      <w:numFmt w:val="decimal"/>
      <w:start w:val="1"/>
    </w:lvl>
  </w:abstractNum>
  <w:abstractNum w:abstractNumId="89">
    <w:nsid w:val="6C80EC70"/>
    <w:multiLevelType w:val="hybridMultilevel"/>
    <w:lvl w:ilvl="0">
      <w:lvlJc w:val="left"/>
      <w:lvlText w:val="(%1)"/>
      <w:numFmt w:val="upperLetter"/>
      <w:start w:val="1"/>
    </w:lvl>
  </w:abstractNum>
  <w:abstractNum w:abstractNumId="90">
    <w:nsid w:val="379E21B5"/>
    <w:multiLevelType w:val="hybridMultilevel"/>
    <w:lvl w:ilvl="0">
      <w:lvlJc w:val="left"/>
      <w:lvlText w:val="(%1)"/>
      <w:numFmt w:val="upperLetter"/>
      <w:start w:val="2"/>
    </w:lvl>
  </w:abstractNum>
  <w:abstractNum w:abstractNumId="91">
    <w:nsid w:val="69E373"/>
    <w:multiLevelType w:val="hybridMultilevel"/>
    <w:lvl w:ilvl="0">
      <w:lvlJc w:val="left"/>
      <w:lvlText w:val="(%1)"/>
      <w:numFmt w:val="upperLetter"/>
      <w:start w:val="3"/>
    </w:lvl>
  </w:abstractNum>
  <w:abstractNum w:abstractNumId="92">
    <w:nsid w:val="2C27173B"/>
    <w:multiLevelType w:val="hybridMultilevel"/>
    <w:lvl w:ilvl="0">
      <w:lvlJc w:val="left"/>
      <w:lvlText w:val="(%1)"/>
      <w:numFmt w:val="upperLetter"/>
      <w:start w:val="1"/>
    </w:lvl>
    <w:lvl w:ilvl="1">
      <w:lvlJc w:val="left"/>
      <w:lvlText w:val="(%2)"/>
      <w:numFmt w:val="decimal"/>
      <w:start w:val="1"/>
    </w:lvl>
  </w:abstractNum>
  <w:abstractNum w:abstractNumId="93">
    <w:nsid w:val="4C9B0904"/>
    <w:multiLevelType w:val="hybridMultilevel"/>
    <w:lvl w:ilvl="0">
      <w:lvlJc w:val="left"/>
      <w:lvlText w:val="(%1)"/>
      <w:numFmt w:val="upperLetter"/>
      <w:start w:val="5"/>
    </w:lvl>
  </w:abstractNum>
  <w:abstractNum w:abstractNumId="94">
    <w:nsid w:val="6AA7B75C"/>
    <w:multiLevelType w:val="hybridMultilevel"/>
    <w:lvl w:ilvl="0">
      <w:lvlJc w:val="left"/>
      <w:lvlText w:val="(%1)"/>
      <w:numFmt w:val="upperLetter"/>
      <w:start w:val="1"/>
    </w:lvl>
  </w:abstractNum>
  <w:abstractNum w:abstractNumId="95">
    <w:nsid w:val="1DF029D3"/>
    <w:multiLevelType w:val="hybridMultilevel"/>
    <w:lvl w:ilvl="0">
      <w:lvlJc w:val="left"/>
      <w:lvlText w:val="(%1)"/>
      <w:numFmt w:val="upperLetter"/>
      <w:start w:val="2"/>
    </w:lvl>
  </w:abstractNum>
  <w:abstractNum w:abstractNumId="96">
    <w:nsid w:val="5675FF36"/>
    <w:multiLevelType w:val="hybridMultilevel"/>
    <w:lvl w:ilvl="0">
      <w:lvlJc w:val="left"/>
      <w:lvlText w:val="(%1)"/>
      <w:numFmt w:val="upperLetter"/>
      <w:start w:val="1"/>
    </w:lvl>
  </w:abstractNum>
  <w:abstractNum w:abstractNumId="97">
    <w:nsid w:val="3DD15094"/>
    <w:multiLevelType w:val="hybridMultilevel"/>
    <w:lvl w:ilvl="0">
      <w:lvlJc w:val="left"/>
      <w:lvlText w:val="(%1)"/>
      <w:numFmt w:val="decimal"/>
      <w:start w:val="1"/>
    </w:lvl>
  </w:abstractNum>
  <w:abstractNum w:abstractNumId="98">
    <w:nsid w:val="3DB012B3"/>
    <w:multiLevelType w:val="hybridMultilevel"/>
    <w:lvl w:ilvl="0">
      <w:lvlJc w:val="left"/>
      <w:lvlText w:val="(%1)"/>
      <w:numFmt w:val="upperLetter"/>
      <w:start w:val="3"/>
    </w:lvl>
  </w:abstractNum>
  <w:abstractNum w:abstractNumId="99">
    <w:nsid w:val="2708C9AF"/>
    <w:multiLevelType w:val="hybridMultilevel"/>
    <w:lvl w:ilvl="0">
      <w:lvlJc w:val="left"/>
      <w:lvlText w:val="(%1)"/>
      <w:numFmt w:val="decimal"/>
      <w:start w:val="1"/>
    </w:lvl>
  </w:abstractNum>
  <w:abstractNum w:abstractNumId="100">
    <w:nsid w:val="5B25ACE2"/>
    <w:multiLevelType w:val="hybridMultilevel"/>
    <w:lvl w:ilvl="0">
      <w:lvlJc w:val="left"/>
      <w:lvlText w:val="(%1)"/>
      <w:numFmt w:val="upperLetter"/>
      <w:start w:val="4"/>
    </w:lvl>
  </w:abstractNum>
  <w:abstractNum w:abstractNumId="101">
    <w:nsid w:val="175DFCF0"/>
    <w:multiLevelType w:val="hybridMultilevel"/>
    <w:lvl w:ilvl="0">
      <w:lvlJc w:val="left"/>
      <w:lvlText w:val="(%1)"/>
      <w:numFmt w:val="decimal"/>
      <w:start w:val="1"/>
    </w:lvl>
  </w:abstractNum>
  <w:abstractNum w:abstractNumId="102">
    <w:nsid w:val="4F97E3E4"/>
    <w:multiLevelType w:val="hybridMultilevel"/>
    <w:lvl w:ilvl="0">
      <w:lvlJc w:val="left"/>
      <w:lvlText w:val="%1."/>
      <w:numFmt w:val="decimal"/>
      <w:start w:val="1"/>
    </w:lvl>
    <w:lvl w:ilvl="1">
      <w:lvlJc w:val="left"/>
      <w:lvlText w:val="%2)"/>
      <w:numFmt w:val="lowerLetter"/>
      <w:start w:val="1"/>
    </w:lvl>
  </w:abstractNum>
  <w:abstractNum w:abstractNumId="103">
    <w:nsid w:val="53B0A9E"/>
    <w:multiLevelType w:val="hybridMultilevel"/>
    <w:lvl w:ilvl="0">
      <w:lvlJc w:val="left"/>
      <w:lvlText w:val="%1."/>
      <w:numFmt w:val="decimal"/>
      <w:start w:val="1"/>
    </w:lvl>
    <w:lvl w:ilvl="1">
      <w:lvlJc w:val="left"/>
      <w:lvlText w:val="%2)"/>
      <w:numFmt w:val="lowerLetter"/>
      <w:start w:val="1"/>
    </w:lvl>
  </w:abstractNum>
  <w:abstractNum w:abstractNumId="104">
    <w:nsid w:val="34FD6B4F"/>
    <w:multiLevelType w:val="hybridMultilevel"/>
    <w:lvl w:ilvl="0">
      <w:lvlJc w:val="left"/>
      <w:lvlText w:val="(%1)"/>
      <w:numFmt w:val="decimal"/>
      <w:start w:val="1"/>
    </w:lvl>
  </w:abstractNum>
  <w:abstractNum w:abstractNumId="105">
    <w:nsid w:val="5915FF32"/>
    <w:multiLevelType w:val="hybridMultilevel"/>
    <w:lvl w:ilvl="0">
      <w:lvlJc w:val="left"/>
      <w:lvlText w:val="(%1)"/>
      <w:numFmt w:val="decimal"/>
      <w:start w:val="1"/>
    </w:lvl>
  </w:abstractNum>
  <w:abstractNum w:abstractNumId="106">
    <w:nsid w:val="56438D15"/>
    <w:multiLevelType w:val="hybridMultilevel"/>
    <w:lvl w:ilvl="0">
      <w:lvlJc w:val="left"/>
      <w:lvlText w:val="%1."/>
      <w:numFmt w:val="upperLetter"/>
      <w:start w:val="1"/>
    </w:lvl>
  </w:abstractNum>
  <w:abstractNum w:abstractNumId="107">
    <w:nsid w:val="519E3149"/>
    <w:multiLevelType w:val="hybridMultilevel"/>
    <w:lvl w:ilvl="0">
      <w:lvlJc w:val="left"/>
      <w:lvlText w:val="•"/>
      <w:numFmt w:val="bullet"/>
      <w:start w:val="1"/>
    </w:lvl>
  </w:abstractNum>
  <w:abstractNum w:abstractNumId="108">
    <w:nsid w:val="2C6E4AFD"/>
    <w:multiLevelType w:val="hybridMultilevel"/>
    <w:lvl w:ilvl="0">
      <w:lvlJc w:val="left"/>
      <w:lvlText w:val="•"/>
      <w:numFmt w:val="bullet"/>
      <w:start w:val="1"/>
    </w:lvl>
  </w:abstractNum>
  <w:abstractNum w:abstractNumId="109">
    <w:nsid w:val="17A1B582"/>
    <w:multiLevelType w:val="hybridMultilevel"/>
    <w:lvl w:ilvl="0">
      <w:lvlJc w:val="left"/>
      <w:lvlText w:val="•"/>
      <w:numFmt w:val="bullet"/>
      <w:start w:val="1"/>
    </w:lvl>
  </w:abstractNum>
  <w:abstractNum w:abstractNumId="110">
    <w:nsid w:val="4DF72E4E"/>
    <w:multiLevelType w:val="hybridMultilevel"/>
    <w:lvl w:ilvl="0">
      <w:lvlJc w:val="left"/>
      <w:lvlText w:val="%1."/>
      <w:numFmt w:val="upperLetter"/>
      <w:start w:val="2"/>
    </w:lvl>
  </w:abstractNum>
  <w:abstractNum w:abstractNumId="111">
    <w:nsid w:val="5046B5A9"/>
    <w:multiLevelType w:val="hybridMultilevel"/>
    <w:lvl w:ilvl="0">
      <w:lvlJc w:val="left"/>
      <w:lvlText w:val="•"/>
      <w:numFmt w:val="bullet"/>
      <w:start w:val="1"/>
    </w:lvl>
  </w:abstractNum>
  <w:abstractNum w:abstractNumId="112">
    <w:nsid w:val="5D888A08"/>
    <w:multiLevelType w:val="hybridMultilevel"/>
    <w:lvl w:ilvl="0">
      <w:lvlJc w:val="left"/>
      <w:lvlText w:val="•"/>
      <w:numFmt w:val="bullet"/>
      <w:start w:val="1"/>
    </w:lvl>
  </w:abstractNum>
  <w:abstractNum w:abstractNumId="113">
    <w:nsid w:val="2A082C70"/>
    <w:multiLevelType w:val="hybridMultilevel"/>
    <w:lvl w:ilvl="0">
      <w:lvlJc w:val="left"/>
      <w:lvlText w:val="•"/>
      <w:numFmt w:val="bullet"/>
      <w:start w:val="1"/>
    </w:lvl>
  </w:abstractNum>
  <w:abstractNum w:abstractNumId="114">
    <w:nsid w:val="5EC6AFD4"/>
    <w:multiLevelType w:val="hybridMultilevel"/>
    <w:lvl w:ilvl="0">
      <w:lvlJc w:val="left"/>
      <w:lvlText w:val="•"/>
      <w:numFmt w:val="bullet"/>
      <w:start w:val="1"/>
    </w:lvl>
  </w:abstractNum>
  <w:abstractNum w:abstractNumId="115">
    <w:nsid w:val="19E21BB2"/>
    <w:multiLevelType w:val="hybridMultilevel"/>
    <w:lvl w:ilvl="0">
      <w:lvlJc w:val="left"/>
      <w:lvlText w:val="•"/>
      <w:numFmt w:val="bullet"/>
      <w:start w:val="1"/>
    </w:lvl>
  </w:abstractNum>
  <w:abstractNum w:abstractNumId="116">
    <w:nsid w:val="75E0858A"/>
    <w:multiLevelType w:val="hybridMultilevel"/>
    <w:lvl w:ilvl="0">
      <w:lvlJc w:val="left"/>
      <w:lvlText w:val="•"/>
      <w:numFmt w:val="bullet"/>
      <w:start w:val="1"/>
    </w:lvl>
  </w:abstractNum>
  <w:abstractNum w:abstractNumId="117">
    <w:nsid w:val="57A61A29"/>
    <w:multiLevelType w:val="hybridMultilevel"/>
    <w:lvl w:ilvl="0">
      <w:lvlJc w:val="left"/>
      <w:lvlText w:val="•"/>
      <w:numFmt w:val="bullet"/>
      <w:start w:val="1"/>
    </w:lvl>
  </w:abstractNum>
  <w:abstractNum w:abstractNumId="118">
    <w:nsid w:val="5399C654"/>
    <w:multiLevelType w:val="hybridMultilevel"/>
    <w:lvl w:ilvl="0">
      <w:lvlJc w:val="left"/>
      <w:lvlText w:val="•"/>
      <w:numFmt w:val="bullet"/>
      <w:start w:val="1"/>
    </w:lvl>
  </w:abstractNum>
  <w:abstractNum w:abstractNumId="119">
    <w:nsid w:val="20EE1348"/>
    <w:multiLevelType w:val="hybridMultilevel"/>
    <w:lvl w:ilvl="0">
      <w:lvlJc w:val="left"/>
      <w:lvlText w:val="•"/>
      <w:numFmt w:val="bullet"/>
      <w:start w:val="1"/>
    </w:lvl>
  </w:abstractNum>
  <w:abstractNum w:abstractNumId="120">
    <w:nsid w:val="4427069A"/>
    <w:multiLevelType w:val="hybridMultilevel"/>
    <w:lvl w:ilvl="0">
      <w:lvlJc w:val="left"/>
      <w:lvlText w:val="•"/>
      <w:numFmt w:val="bullet"/>
      <w:start w:val="1"/>
    </w:lvl>
  </w:abstractNum>
  <w:abstractNum w:abstractNumId="121">
    <w:nsid w:val="B37E80A"/>
    <w:multiLevelType w:val="hybridMultilevel"/>
    <w:lvl w:ilvl="0">
      <w:lvlJc w:val="left"/>
      <w:lvlText w:val="•"/>
      <w:numFmt w:val="bullet"/>
      <w:start w:val="1"/>
    </w:lvl>
  </w:abstractNum>
  <w:abstractNum w:abstractNumId="122">
    <w:nsid w:val="2157F6BC"/>
    <w:multiLevelType w:val="hybridMultilevel"/>
    <w:lvl w:ilvl="0">
      <w:lvlJc w:val="left"/>
      <w:lvlText w:val="•"/>
      <w:numFmt w:val="bullet"/>
      <w:start w:val="1"/>
    </w:lvl>
  </w:abstractNum>
  <w:abstractNum w:abstractNumId="123">
    <w:nsid w:val="704E1DD5"/>
    <w:multiLevelType w:val="hybridMultilevel"/>
    <w:lvl w:ilvl="0">
      <w:lvlJc w:val="left"/>
      <w:lvlText w:val="•"/>
      <w:numFmt w:val="bullet"/>
      <w:start w:val="1"/>
    </w:lvl>
  </w:abstractNum>
  <w:abstractNum w:abstractNumId="124">
    <w:nsid w:val="57D2F10E"/>
    <w:multiLevelType w:val="hybridMultilevel"/>
    <w:lvl w:ilvl="0">
      <w:lvlJc w:val="left"/>
      <w:lvlText w:val="•"/>
      <w:numFmt w:val="bullet"/>
      <w:start w:val="1"/>
    </w:lvl>
  </w:abstractNum>
  <w:abstractNum w:abstractNumId="125">
    <w:nsid w:val="BFFAE18"/>
    <w:multiLevelType w:val="hybridMultilevel"/>
    <w:lvl w:ilvl="0">
      <w:lvlJc w:val="left"/>
      <w:lvlText w:val="•"/>
      <w:numFmt w:val="bullet"/>
      <w:start w:val="1"/>
    </w:lvl>
  </w:abstractNum>
  <w:abstractNum w:abstractNumId="126">
    <w:nsid w:val="E3E47A8"/>
    <w:multiLevelType w:val="hybridMultilevel"/>
    <w:lvl w:ilvl="0">
      <w:lvlJc w:val="left"/>
      <w:lvlText w:val="%1."/>
      <w:numFmt w:val="decimal"/>
      <w:start w:val="1"/>
    </w:lvl>
  </w:abstractNum>
  <w:abstractNum w:abstractNumId="127">
    <w:nsid w:val="2E48F044"/>
    <w:multiLevelType w:val="hybridMultilevel"/>
    <w:lvl w:ilvl="0">
      <w:lvlJc w:val="left"/>
      <w:lvlText w:val="%1."/>
      <w:numFmt w:val="decimal"/>
      <w:start w:val="2"/>
    </w:lvl>
  </w:abstractNum>
  <w:abstractNum w:abstractNumId="128">
    <w:nsid w:val="49D0FEAC"/>
    <w:multiLevelType w:val="hybridMultilevel"/>
    <w:lvl w:ilvl="0">
      <w:lvlJc w:val="left"/>
      <w:lvlText w:val="%1."/>
      <w:numFmt w:val="decimal"/>
      <w:start w:val="3"/>
    </w:lvl>
  </w:abstractNum>
  <w:abstractNum w:abstractNumId="129">
    <w:nsid w:val="4BEE5A5B"/>
    <w:multiLevelType w:val="hybridMultilevel"/>
    <w:lvl w:ilvl="0">
      <w:lvlJc w:val="left"/>
      <w:lvlText w:val="%1."/>
      <w:numFmt w:val="decimal"/>
      <w:start w:val="4"/>
    </w:lvl>
  </w:abstractNum>
  <w:abstractNum w:abstractNumId="130">
    <w:nsid w:val="5551B9F3"/>
    <w:multiLevelType w:val="hybridMultilevel"/>
    <w:lvl w:ilvl="0">
      <w:lvlJc w:val="left"/>
      <w:lvlText w:val="%1."/>
      <w:numFmt w:val="decimal"/>
      <w:start w:val="5"/>
    </w:lvl>
  </w:abstractNum>
  <w:abstractNum w:abstractNumId="131">
    <w:nsid w:val="24F6AB8E"/>
    <w:multiLevelType w:val="hybridMultilevel"/>
    <w:lvl w:ilvl="0">
      <w:lvlJc w:val="left"/>
      <w:lvlText w:val="%1."/>
      <w:numFmt w:val="decimal"/>
      <w:start w:val="6"/>
    </w:lvl>
  </w:abstractNum>
  <w:abstractNum w:abstractNumId="132">
    <w:nsid w:val="634C574C"/>
    <w:multiLevelType w:val="hybridMultilevel"/>
    <w:lvl w:ilvl="0">
      <w:lvlJc w:val="left"/>
      <w:lvlText w:val="%1."/>
      <w:numFmt w:val="decimal"/>
      <w:start w:val="7"/>
    </w:lvl>
  </w:abstractNum>
  <w:abstractNum w:abstractNumId="133">
    <w:nsid w:val="24E99DD7"/>
    <w:multiLevelType w:val="hybridMultilevel"/>
    <w:lvl w:ilvl="0">
      <w:lvlJc w:val="left"/>
      <w:lvlText w:val="%1."/>
      <w:numFmt w:val="decimal"/>
      <w:start w:val="8"/>
    </w:lvl>
  </w:abstractNum>
  <w:abstractNum w:abstractNumId="134">
    <w:nsid w:val="2A31B62D"/>
    <w:multiLevelType w:val="hybridMultilevel"/>
    <w:lvl w:ilvl="0">
      <w:lvlJc w:val="left"/>
      <w:lvlText w:val="%1."/>
      <w:numFmt w:val="decimal"/>
      <w:start w:val="9"/>
    </w:lvl>
  </w:abstractNum>
  <w:abstractNum w:abstractNumId="135">
    <w:nsid w:val="1849C29B"/>
    <w:multiLevelType w:val="hybridMultilevel"/>
    <w:lvl w:ilvl="0">
      <w:lvlJc w:val="left"/>
      <w:lvlText w:val="%1."/>
      <w:numFmt w:val="decimal"/>
      <w:start w:val="3"/>
    </w:lvl>
  </w:abstractNum>
  <w:abstractNum w:abstractNumId="136">
    <w:nsid w:val="7DFF9D09"/>
    <w:multiLevelType w:val="hybridMultilevel"/>
    <w:lvl w:ilvl="0">
      <w:lvlJc w:val="left"/>
      <w:lvlText w:val="%1."/>
      <w:numFmt w:val="decimal"/>
      <w:start w:val="4"/>
    </w:lvl>
  </w:abstractNum>
  <w:abstractNum w:abstractNumId="137">
    <w:nsid w:val="754342"/>
    <w:multiLevelType w:val="hybridMultilevel"/>
    <w:lvl w:ilvl="0">
      <w:lvlJc w:val="left"/>
      <w:lvlText w:val="%1."/>
      <w:numFmt w:val="decimal"/>
      <w:start w:val="5"/>
    </w:lvl>
  </w:abstractNum>
  <w:abstractNum w:abstractNumId="138">
    <w:nsid w:val="69E7F3E5"/>
    <w:multiLevelType w:val="hybridMultilevel"/>
    <w:lvl w:ilvl="0">
      <w:lvlJc w:val="left"/>
      <w:lvlText w:val="%1."/>
      <w:numFmt w:val="decimal"/>
      <w:start w:val="6"/>
    </w:lvl>
  </w:abstractNum>
  <w:abstractNum w:abstractNumId="139">
    <w:nsid w:val="2A6DE806"/>
    <w:multiLevelType w:val="hybridMultilevel"/>
    <w:lvl w:ilvl="0">
      <w:lvlJc w:val="left"/>
      <w:lvlText w:val="%1."/>
      <w:numFmt w:val="decimal"/>
      <w:start w:val="7"/>
    </w:lvl>
  </w:abstractNum>
  <w:abstractNum w:abstractNumId="140">
    <w:nsid w:val="1816F8C4"/>
    <w:multiLevelType w:val="hybridMultilevel"/>
    <w:lvl w:ilvl="0">
      <w:lvlJc w:val="left"/>
      <w:lvlText w:val="%1."/>
      <w:numFmt w:val="decimal"/>
      <w:start w:val="8"/>
    </w:lvl>
  </w:abstractNum>
  <w:abstractNum w:abstractNumId="141">
    <w:nsid w:val="37DF2233"/>
    <w:multiLevelType w:val="hybridMultilevel"/>
    <w:lvl w:ilvl="0">
      <w:lvlJc w:val="left"/>
      <w:lvlText w:val="%1."/>
      <w:numFmt w:val="decimal"/>
      <w:start w:val="9"/>
    </w:lvl>
  </w:abstractNum>
  <w:abstractNum w:abstractNumId="142">
    <w:nsid w:val="7AB49DAF"/>
    <w:multiLevelType w:val="hybridMultilevel"/>
    <w:lvl w:ilvl="0">
      <w:lvlJc w:val="left"/>
      <w:lvlText w:val="%1."/>
      <w:numFmt w:val="decimal"/>
      <w:start w:val="10"/>
    </w:lvl>
  </w:abstractNum>
  <w:abstractNum w:abstractNumId="143">
    <w:nsid w:val="759F82C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57"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jpe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141" Type="http://schemas.openxmlformats.org/officeDocument/2006/relationships/hyperlink" Target="http://www.sec.gov/Archives/edgar/data/1383414/000119312507075646/dex99a.htm" TargetMode="External"/><Relationship Id="rId142" Type="http://schemas.openxmlformats.org/officeDocument/2006/relationships/hyperlink" Target="http://www.sec.gov/Archives/edgar/data/1383414/000119312515393210/d59522dex31.htm" TargetMode="External"/><Relationship Id="rId143" Type="http://schemas.openxmlformats.org/officeDocument/2006/relationships/hyperlink" Target="http://www.sec.gov/Archives/edgar/data/1383414/000119312508072557/dex99d1.htm" TargetMode="External"/><Relationship Id="rId144" Type="http://schemas.openxmlformats.org/officeDocument/2006/relationships/hyperlink" Target="http://www.sec.gov/Archives/edgar/data/1383414/000119312513018556/d470556dex99d8.htm" TargetMode="External"/><Relationship Id="rId145" Type="http://schemas.openxmlformats.org/officeDocument/2006/relationships/hyperlink" Target="http://www.sec.gov/Archives/edgar/data/1383414/000119312514349933/d793312dex99d11.htm" TargetMode="External"/><Relationship Id="rId146" Type="http://schemas.openxmlformats.org/officeDocument/2006/relationships/hyperlink" Target="http://www.sec.gov/Archives/edgar/data/1383414/000119312519257341/d812658dex41.htm" TargetMode="External"/><Relationship Id="rId147" Type="http://schemas.openxmlformats.org/officeDocument/2006/relationships/hyperlink" Target="http://www.sec.gov/Archives/edgar/data/1383414/000119312508072557/dex99k1.htm" TargetMode="External"/><Relationship Id="rId148" Type="http://schemas.openxmlformats.org/officeDocument/2006/relationships/hyperlink" Target="http://www.sec.gov/Archives/edgar/data/1383414/000119312508072557/dex99e.htm" TargetMode="External"/><Relationship Id="rId149" Type="http://schemas.openxmlformats.org/officeDocument/2006/relationships/hyperlink" Target="http://www.sec.gov/Archives/edgar/data/1383414/000156459017015976/pnnt-ex101_12.htm" TargetMode="External"/><Relationship Id="rId150" Type="http://schemas.openxmlformats.org/officeDocument/2006/relationships/hyperlink" Target="http://www.sec.gov/Archives/edgar/data/1383414/000119312516773701/d285279dex105.htm" TargetMode="External"/><Relationship Id="rId151" Type="http://schemas.openxmlformats.org/officeDocument/2006/relationships/hyperlink" Target="http://www.sec.gov/Archives/edgar/data/1383414/000119312519052085/d704263dex101.htm" TargetMode="External"/><Relationship Id="rId152" Type="http://schemas.openxmlformats.org/officeDocument/2006/relationships/hyperlink" Target="http://www.sec.gov/Archives/edgar/data/1383414/000119312519052085/d704263dex102.htm" TargetMode="External"/><Relationship Id="rId153" Type="http://schemas.openxmlformats.org/officeDocument/2006/relationships/hyperlink" Target="http://www.sec.gov/Archives/edgar/data/1383414/000119312519052085/d704263dex103.htm" TargetMode="External"/><Relationship Id="rId154" Type="http://schemas.openxmlformats.org/officeDocument/2006/relationships/hyperlink" Target="http://www.sec.gov/Archives/edgar/data/1383414/000119312519052085/d704263dex104.htm" TargetMode="External"/><Relationship Id="rId155" Type="http://schemas.openxmlformats.org/officeDocument/2006/relationships/hyperlink" Target="http://www.sec.gov/Archives/edgar/data/1383414/000119312519105161/d630383dex99g3.htm" TargetMode="External"/><Relationship Id="rId156" Type="http://schemas.openxmlformats.org/officeDocument/2006/relationships/hyperlink" Target="http://www.sec.gov/Archives/edgar/data/1383414/000119312519240958/d761962dex101.htm" TargetMode="External"/><Relationship Id="rId158"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2020-05-05T15:16:25Z</dcterms:created>
  <dcterms:modified xsi:type="dcterms:W3CDTF">2020-05-05T15:16:25Z</dcterms:modified>
</cp:coreProperties>
</file>