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1125.htm"/>
      <w:bookmarkStart w:id="1" w:name="ksf8k_0811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11,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271" w:firstLine="720"/>
        <w:jc w:val="both"/>
        <w:rPr/>
      </w:pPr>
      <w:r>
        <w:rPr/>
        <w:t> </w:t>
      </w:r>
    </w:p>
    <w:p>
      <w:pPr>
        <w:pStyle w:val="TextBody"/>
        <w:bidi w:val="0"/>
        <w:spacing w:before="0" w:after="0"/>
        <w:ind w:left="0" w:right="271" w:firstLine="720"/>
        <w:jc w:val="both"/>
        <w:rPr>
          <w:sz w:val="20"/>
        </w:rPr>
      </w:pPr>
      <w:r>
        <w:rPr>
          <w:sz w:val="20"/>
        </w:rPr>
        <w:t>On August 11, 2025, PennantPark Investment Corporation (the "Company") issued a press release announcing its financial results for the third quarter ended June 30, 2025. A copy of the press release is furnished as Exhibit 99.1 to this report pursuant to Item 2.02 on Form 8-K and Regulation FD.</w:t>
      </w:r>
    </w:p>
    <w:p>
      <w:pPr>
        <w:pStyle w:val="TextBody"/>
        <w:bidi w:val="0"/>
        <w:spacing w:before="0" w:after="0"/>
        <w:ind w:left="0" w:right="271" w:firstLine="720"/>
        <w:jc w:val="both"/>
        <w:rPr/>
      </w:pPr>
      <w:r>
        <w:rPr/>
        <w:t> </w:t>
      </w:r>
    </w:p>
    <w:p>
      <w:pPr>
        <w:pStyle w:val="TextBody"/>
        <w:bidi w:val="0"/>
        <w:spacing w:before="0" w:after="0"/>
        <w:ind w:left="0" w:right="271" w:firstLine="720"/>
        <w:jc w:val="both"/>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jc w:val="left"/>
        <w:rPr/>
      </w:pPr>
      <w:r>
        <w:rPr/>
        <w:t> </w:t>
      </w:r>
    </w:p>
    <w:p>
      <w:pPr>
        <w:pStyle w:val="TextBody"/>
        <w:bidi w:val="0"/>
        <w:spacing w:before="0" w:after="0"/>
        <w:jc w:val="left"/>
        <w:rPr>
          <w:b/>
          <w:sz w:val="20"/>
        </w:rPr>
      </w:pPr>
      <w:r>
        <w:rPr>
          <w:b/>
          <w:sz w:val="20"/>
        </w:rPr>
        <w:t>Forward-Looking Statements</w:t>
      </w:r>
    </w:p>
    <w:p>
      <w:pPr>
        <w:pStyle w:val="TextBody"/>
        <w:bidi w:val="0"/>
        <w:spacing w:before="0" w:after="0"/>
        <w:ind w:left="0" w:right="271" w:firstLine="720"/>
        <w:jc w:val="both"/>
        <w:rPr/>
      </w:pPr>
      <w:r>
        <w:rPr/>
        <w:t> </w:t>
      </w:r>
    </w:p>
    <w:p>
      <w:pPr>
        <w:pStyle w:val="TextBody"/>
        <w:bidi w:val="0"/>
        <w:spacing w:before="0" w:after="0"/>
        <w:ind w:left="0" w:right="271" w:firstLine="720"/>
        <w:jc w:val="both"/>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ind w:left="0" w:right="271" w:firstLine="720"/>
        <w:jc w:val="both"/>
        <w:rPr/>
      </w:pPr>
      <w:r>
        <w:rPr/>
        <w:t> </w:t>
      </w:r>
    </w:p>
    <w:p>
      <w:pPr>
        <w:pStyle w:val="TextBody"/>
        <w:bidi w:val="0"/>
        <w:spacing w:before="0" w:after="0"/>
        <w:ind w:left="0" w:right="271" w:firstLine="720"/>
        <w:jc w:val="both"/>
        <w:rPr>
          <w:sz w:val="20"/>
        </w:rPr>
      </w:pPr>
      <w:r>
        <w:rPr>
          <w:sz w:val="20"/>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305"/>
        <w:gridCol w:w="2180"/>
      </w:tblGrid>
      <w:tr>
        <w:trPr/>
        <w:tc>
          <w:tcPr>
            <w:tcW w:w="305" w:type="dxa"/>
            <w:tcBorders/>
            <w:vAlign w:val="center"/>
          </w:tcPr>
          <w:p>
            <w:pPr>
              <w:pStyle w:val="TableContents"/>
              <w:bidi w:val="0"/>
              <w:spacing w:before="0" w:after="283"/>
              <w:jc w:val="left"/>
              <w:rPr/>
            </w:pPr>
            <w:r>
              <w:rPr>
                <w:rStyle w:val="StrongEmphasis"/>
              </w:rPr>
              <w:t>(a)</w:t>
            </w:r>
          </w:p>
        </w:tc>
        <w:tc>
          <w:tcPr>
            <w:tcW w:w="2180" w:type="dxa"/>
            <w:tcBorders/>
            <w:vAlign w:val="center"/>
          </w:tcPr>
          <w:p>
            <w:pPr>
              <w:pStyle w:val="TableContents"/>
              <w:bidi w:val="0"/>
              <w:spacing w:before="0" w:after="283"/>
              <w:jc w:val="left"/>
              <w:rPr/>
            </w:pPr>
            <w:r>
              <w:rPr>
                <w:rStyle w:val="StrongEmphasis"/>
              </w:rPr>
              <w:t>Financial statements:</w:t>
            </w:r>
          </w:p>
        </w:tc>
      </w:tr>
    </w:tbl>
    <w:p>
      <w:pPr>
        <w:pStyle w:val="TextBody"/>
        <w:bidi w:val="0"/>
        <w:spacing w:before="0" w:after="0"/>
        <w:jc w:val="left"/>
        <w:rPr>
          <w:sz w:val="20"/>
        </w:rPr>
      </w:pPr>
      <w:r>
        <w:rPr>
          <w:sz w:val="20"/>
        </w:rPr>
        <w:t>None</w:t>
      </w:r>
    </w:p>
    <w:tbl>
      <w:tblPr>
        <w:tblW w:w="3370" w:type="dxa"/>
        <w:jc w:val="left"/>
        <w:tblInd w:w="0" w:type="dxa"/>
        <w:tblLayout w:type="fixed"/>
        <w:tblCellMar>
          <w:top w:w="0" w:type="dxa"/>
          <w:left w:w="0" w:type="dxa"/>
          <w:bottom w:w="0" w:type="dxa"/>
          <w:right w:w="0" w:type="dxa"/>
        </w:tblCellMar>
      </w:tblPr>
      <w:tblGrid>
        <w:gridCol w:w="305"/>
        <w:gridCol w:w="3065"/>
      </w:tblGrid>
      <w:tr>
        <w:trPr/>
        <w:tc>
          <w:tcPr>
            <w:tcW w:w="305" w:type="dxa"/>
            <w:tcBorders/>
            <w:vAlign w:val="center"/>
          </w:tcPr>
          <w:p>
            <w:pPr>
              <w:pStyle w:val="TableContents"/>
              <w:bidi w:val="0"/>
              <w:spacing w:before="0" w:after="283"/>
              <w:jc w:val="left"/>
              <w:rPr/>
            </w:pPr>
            <w:r>
              <w:rPr/>
              <w:t>(b)</w:t>
            </w:r>
          </w:p>
        </w:tc>
        <w:tc>
          <w:tcPr>
            <w:tcW w:w="3065" w:type="dxa"/>
            <w:tcBorders/>
            <w:vAlign w:val="center"/>
          </w:tcPr>
          <w:p>
            <w:pPr>
              <w:pStyle w:val="TableContents"/>
              <w:bidi w:val="0"/>
              <w:spacing w:before="0" w:after="283"/>
              <w:jc w:val="left"/>
              <w:rPr/>
            </w:pPr>
            <w:r>
              <w:rPr/>
              <w:t>Pro forma financial information:</w:t>
            </w:r>
          </w:p>
        </w:tc>
      </w:tr>
    </w:tbl>
    <w:p>
      <w:pPr>
        <w:pStyle w:val="TextBody"/>
        <w:bidi w:val="0"/>
        <w:spacing w:before="0" w:after="0"/>
        <w:jc w:val="left"/>
        <w:rPr>
          <w:sz w:val="20"/>
        </w:rPr>
      </w:pPr>
      <w:r>
        <w:rPr>
          <w:sz w:val="20"/>
        </w:rPr>
        <w:t>None</w:t>
      </w:r>
    </w:p>
    <w:tbl>
      <w:tblPr>
        <w:tblW w:w="2965" w:type="dxa"/>
        <w:jc w:val="left"/>
        <w:tblInd w:w="0" w:type="dxa"/>
        <w:tblLayout w:type="fixed"/>
        <w:tblCellMar>
          <w:top w:w="0" w:type="dxa"/>
          <w:left w:w="0" w:type="dxa"/>
          <w:bottom w:w="0" w:type="dxa"/>
          <w:right w:w="0" w:type="dxa"/>
        </w:tblCellMar>
      </w:tblPr>
      <w:tblGrid>
        <w:gridCol w:w="290"/>
        <w:gridCol w:w="2675"/>
      </w:tblGrid>
      <w:tr>
        <w:trPr/>
        <w:tc>
          <w:tcPr>
            <w:tcW w:w="290" w:type="dxa"/>
            <w:tcBorders/>
            <w:vAlign w:val="center"/>
          </w:tcPr>
          <w:p>
            <w:pPr>
              <w:pStyle w:val="TableContents"/>
              <w:bidi w:val="0"/>
              <w:spacing w:before="0" w:after="283"/>
              <w:jc w:val="left"/>
              <w:rPr/>
            </w:pPr>
            <w:r>
              <w:rPr/>
              <w:t>(c)</w:t>
            </w:r>
          </w:p>
        </w:tc>
        <w:tc>
          <w:tcPr>
            <w:tcW w:w="2675" w:type="dxa"/>
            <w:tcBorders/>
            <w:vAlign w:val="center"/>
          </w:tcPr>
          <w:p>
            <w:pPr>
              <w:pStyle w:val="TableContents"/>
              <w:bidi w:val="0"/>
              <w:spacing w:before="0" w:after="283"/>
              <w:jc w:val="left"/>
              <w:rPr/>
            </w:pPr>
            <w:r>
              <w:rPr/>
              <w:t>Shell company transactions:</w:t>
            </w:r>
          </w:p>
        </w:tc>
      </w:tr>
    </w:tbl>
    <w:p>
      <w:pPr>
        <w:pStyle w:val="TextBody"/>
        <w:bidi w:val="0"/>
        <w:spacing w:before="0" w:after="0"/>
        <w:jc w:val="left"/>
        <w:rPr>
          <w:sz w:val="20"/>
        </w:rPr>
      </w:pPr>
      <w:r>
        <w:rPr>
          <w:sz w:val="20"/>
        </w:rPr>
        <w:t>None</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left"/>
              <w:rPr/>
            </w:pPr>
            <w:r>
              <w:rPr/>
              <w:t>Exhibits</w:t>
            </w:r>
          </w:p>
        </w:tc>
      </w:tr>
    </w:tbl>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August 11,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085" w:type="dxa"/>
        <w:jc w:val="left"/>
        <w:tblInd w:w="0" w:type="dxa"/>
        <w:tblLayout w:type="fixed"/>
        <w:tblCellMar>
          <w:top w:w="0" w:type="dxa"/>
          <w:left w:w="0" w:type="dxa"/>
          <w:bottom w:w="0" w:type="dxa"/>
          <w:right w:w="0" w:type="dxa"/>
        </w:tblCellMar>
      </w:tblPr>
      <w:tblGrid>
        <w:gridCol w:w="1850"/>
        <w:gridCol w:w="365"/>
        <w:gridCol w:w="2870"/>
      </w:tblGrid>
      <w:tr>
        <w:trPr/>
        <w:tc>
          <w:tcPr>
            <w:tcW w:w="185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11, 2025</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Financial Results for the Quarter Ended June 30, 2025</w:t>
      </w:r>
    </w:p>
    <w:p>
      <w:pPr>
        <w:pStyle w:val="TextBody"/>
        <w:bidi w:val="0"/>
        <w:jc w:val="both"/>
        <w:rPr/>
      </w:pPr>
      <w:r>
        <w:rPr/>
        <w:t>MIAMI, Aug. 11, 2025 (GLOBE NEWSWIRE) -- PennantPark Investment Corporation (NYSE: PNNT) announced today its financial results for the third quarter ended June 30, 2025.</w:t>
      </w:r>
    </w:p>
    <w:p>
      <w:pPr>
        <w:pStyle w:val="TextBody"/>
        <w:bidi w:val="0"/>
        <w:spacing w:before="0" w:after="283"/>
        <w:jc w:val="left"/>
        <w:rPr/>
      </w:pPr>
      <w:r>
        <w:rPr>
          <w:rStyle w:val="StrongEmphasis"/>
        </w:rPr>
        <w:t>HIGHLIGHTS</w:t>
      </w:r>
      <w:r>
        <w:rPr/>
        <w:t xml:space="preserve">      </w:t>
        <w:br/>
        <w:t>Quarter ended June 30, 2025 (unaudited)</w:t>
        <w:br/>
        <w:t>($ in millions, except per share amounts)                            </w:t>
      </w:r>
    </w:p>
    <w:tbl>
      <w:tblPr>
        <w:tblW w:w="7522" w:type="dxa"/>
        <w:jc w:val="center"/>
        <w:tblInd w:w="0" w:type="dxa"/>
        <w:tblLayout w:type="fixed"/>
        <w:tblCellMar>
          <w:top w:w="28" w:type="dxa"/>
          <w:left w:w="28" w:type="dxa"/>
          <w:bottom w:w="28" w:type="dxa"/>
          <w:right w:w="28" w:type="dxa"/>
        </w:tblCellMar>
      </w:tblPr>
      <w:tblGrid>
        <w:gridCol w:w="5611"/>
        <w:gridCol w:w="146"/>
        <w:gridCol w:w="146"/>
        <w:gridCol w:w="146"/>
        <w:gridCol w:w="226"/>
        <w:gridCol w:w="826"/>
        <w:gridCol w:w="421"/>
      </w:tblGrid>
      <w:tr>
        <w:trPr/>
        <w:tc>
          <w:tcPr>
            <w:tcW w:w="5611" w:type="dxa"/>
            <w:tcBorders/>
            <w:vAlign w:val="center"/>
          </w:tcPr>
          <w:p>
            <w:pPr>
              <w:pStyle w:val="TableContents"/>
              <w:bidi w:val="0"/>
              <w:spacing w:before="0" w:after="283"/>
              <w:jc w:val="left"/>
              <w:rPr/>
            </w:pPr>
            <w:r>
              <w:rPr/>
              <w:t>Assets and Liabilities: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1,171.6</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480.6</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7.36</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Quarterly change in 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(1.6</w:t>
            </w:r>
          </w:p>
        </w:tc>
        <w:tc>
          <w:tcPr>
            <w:tcW w:w="421" w:type="dxa"/>
            <w:tcBorders/>
            <w:vAlign w:val="center"/>
          </w:tcPr>
          <w:p>
            <w:pPr>
              <w:pStyle w:val="TableContents"/>
              <w:bidi w:val="0"/>
              <w:spacing w:before="0" w:after="283"/>
              <w:jc w:val="left"/>
              <w:rPr/>
            </w:pPr>
            <w:r>
              <w:rPr/>
              <w:t>)%</w:t>
            </w:r>
          </w:p>
        </w:tc>
      </w:tr>
      <w:tr>
        <w:trPr/>
        <w:tc>
          <w:tcPr>
            <w:tcW w:w="56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vAlign w:val="center"/>
          </w:tcPr>
          <w:p>
            <w:pPr>
              <w:pStyle w:val="TableContents"/>
              <w:bidi w:val="0"/>
              <w:spacing w:before="0" w:after="283"/>
              <w:jc w:val="left"/>
              <w:rPr/>
            </w:pPr>
            <w:r>
              <w:rPr/>
              <w:t>Credit Facility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316.4</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2026 Notes, net of unamortized deferred financing costs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149.2</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2026-2 Notes, net of unamortized deferred financing costs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163.7</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Regulatory debt to equity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1.31x</w:t>
            </w:r>
          </w:p>
        </w:tc>
        <w:tc>
          <w:tcPr>
            <w:tcW w:w="421" w:type="dxa"/>
            <w:tcBorders/>
            <w:vAlign w:val="center"/>
          </w:tcPr>
          <w:p>
            <w:pPr>
              <w:pStyle w:val="TableContents"/>
              <w:bidi w:val="0"/>
              <w:spacing w:before="0" w:after="283"/>
              <w:jc w:val="right"/>
              <w:rPr/>
            </w:pPr>
            <w:r>
              <w:rPr/>
              <w:t> </w:t>
            </w:r>
          </w:p>
        </w:tc>
      </w:tr>
      <w:tr>
        <w:trPr/>
        <w:tc>
          <w:tcPr>
            <w:tcW w:w="5611" w:type="dxa"/>
            <w:tcBorders/>
            <w:vAlign w:val="center"/>
          </w:tcPr>
          <w:p>
            <w:pPr>
              <w:pStyle w:val="TableContents"/>
              <w:bidi w:val="0"/>
              <w:spacing w:before="0" w:after="283"/>
              <w:jc w:val="left"/>
              <w:rPr/>
            </w:pPr>
            <w:r>
              <w:rPr/>
              <w:t>Weighted average yield on debt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11.5</w:t>
            </w:r>
          </w:p>
        </w:tc>
        <w:tc>
          <w:tcPr>
            <w:tcW w:w="421" w:type="dxa"/>
            <w:tcBorders/>
            <w:vAlign w:val="center"/>
          </w:tcPr>
          <w:p>
            <w:pPr>
              <w:pStyle w:val="TableContents"/>
              <w:bidi w:val="0"/>
              <w:spacing w:before="0" w:after="283"/>
              <w:jc w:val="left"/>
              <w:rPr/>
            </w:pPr>
            <w:r>
              <w:rPr/>
              <w:t>%</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vAlign w:val="center"/>
          </w:tcPr>
          <w:p>
            <w:pPr>
              <w:pStyle w:val="TableContents"/>
              <w:bidi w:val="0"/>
              <w:spacing w:before="0" w:after="283"/>
              <w:jc w:val="left"/>
              <w:rPr/>
            </w:pPr>
            <w:r>
              <w:rPr/>
              <w:t>Operating Results: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11.8</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Net investment income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0.18</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0.18</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0.24</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vAlign w:val="center"/>
          </w:tcPr>
          <w:p>
            <w:pPr>
              <w:pStyle w:val="TableContents"/>
              <w:bidi w:val="0"/>
              <w:spacing w:before="0" w:after="283"/>
              <w:jc w:val="left"/>
              <w:rPr/>
            </w:pPr>
            <w:r>
              <w:rPr/>
              <w:t>Portfolio Activity: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xml:space="preserve">Purchases of investments </w:t>
            </w:r>
            <w:r>
              <w:rPr>
                <w:position w:val="8"/>
                <w:sz w:val="19"/>
              </w:rPr>
              <w:t>(3)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87.7</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xml:space="preserve">Sales and repayments of investments </w:t>
            </w:r>
            <w:r>
              <w:rPr>
                <w:position w:val="8"/>
                <w:sz w:val="19"/>
              </w:rPr>
              <w:t>(3)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132.2</w:t>
            </w:r>
          </w:p>
        </w:tc>
        <w:tc>
          <w:tcPr>
            <w:tcW w:w="421" w:type="dxa"/>
            <w:tcBorders/>
            <w:vAlign w:val="center"/>
          </w:tcPr>
          <w:p>
            <w:pPr>
              <w:pStyle w:val="TableContents"/>
              <w:bidi w:val="0"/>
              <w:spacing w:before="0" w:after="283"/>
              <w:jc w:val="left"/>
              <w:rPr/>
            </w:pPr>
            <w:r>
              <w:rPr/>
              <w:t> </w:t>
            </w:r>
          </w:p>
        </w:tc>
      </w:tr>
      <w:tr>
        <w:trPr/>
        <w:tc>
          <w:tcPr>
            <w:tcW w:w="56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vAlign w:val="center"/>
          </w:tcPr>
          <w:p>
            <w:pPr>
              <w:pStyle w:val="TableContents"/>
              <w:bidi w:val="0"/>
              <w:spacing w:before="0" w:after="283"/>
              <w:jc w:val="left"/>
              <w:rPr/>
            </w:pPr>
            <w:r>
              <w:rPr/>
              <w:t>PSLF Portfolio data: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righ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PSLF investment portfolio</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1,339.1</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22.0</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71.4</w:t>
            </w:r>
          </w:p>
        </w:tc>
        <w:tc>
          <w:tcPr>
            <w:tcW w:w="421" w:type="dxa"/>
            <w:tcBorders/>
            <w:vAlign w:val="center"/>
          </w:tcPr>
          <w:p>
            <w:pPr>
              <w:pStyle w:val="TableContents"/>
              <w:bidi w:val="0"/>
              <w:spacing w:before="0" w:after="283"/>
              <w:jc w:val="left"/>
              <w:rPr/>
            </w:pPr>
            <w:r>
              <w:rPr/>
              <w:t> </w:t>
            </w:r>
          </w:p>
        </w:tc>
      </w:tr>
      <w:tr>
        <w:trPr/>
        <w:tc>
          <w:tcPr>
            <w:tcW w:w="5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421" w:type="dxa"/>
            <w:tcBorders/>
            <w:vAlign w:val="center"/>
          </w:tcPr>
          <w:p>
            <w:pPr>
              <w:pStyle w:val="TableContents"/>
              <w:bidi w:val="0"/>
              <w:spacing w:before="0" w:after="283"/>
              <w:jc w:val="left"/>
              <w:rPr/>
            </w:pPr>
            <w:r>
              <w:rPr/>
              <w:t> </w:t>
            </w:r>
          </w:p>
        </w:tc>
      </w:tr>
    </w:tbl>
    <w:p>
      <w:pPr>
        <w:pStyle w:val="TextBody"/>
        <w:numPr>
          <w:ilvl w:val="0"/>
          <w:numId w:val="2"/>
        </w:numPr>
        <w:tabs>
          <w:tab w:val="clear" w:pos="1134"/>
          <w:tab w:val="left" w:pos="709" w:leader="none"/>
        </w:tabs>
        <w:bidi w:val="0"/>
        <w:spacing w:before="120" w:after="283"/>
        <w:ind w:left="709" w:hanging="283"/>
        <w:jc w:val="both"/>
        <w:rPr/>
      </w:pPr>
      <w:r>
        <w:rPr/>
        <w:t>Includes investments in PennantPark Senior Loan Fund, LLC ("PSLF"), an unconsolidated joint venture, totaling $213.6 million, at fair value.</w:t>
      </w:r>
    </w:p>
    <w:p>
      <w:pPr>
        <w:pStyle w:val="TextBody"/>
        <w:numPr>
          <w:ilvl w:val="0"/>
          <w:numId w:val="2"/>
        </w:numPr>
        <w:tabs>
          <w:tab w:val="clear" w:pos="1134"/>
          <w:tab w:val="left" w:pos="709" w:leader="none"/>
        </w:tabs>
        <w:bidi w:val="0"/>
        <w:spacing w:before="120" w:after="283"/>
        <w:ind w:left="709" w:hanging="283"/>
        <w:jc w:val="both"/>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June 30, 2025, there were no one-time events, resulting in $0.18 of Core NII.</w:t>
      </w:r>
    </w:p>
    <w:p>
      <w:pPr>
        <w:pStyle w:val="TextBody"/>
        <w:numPr>
          <w:ilvl w:val="0"/>
          <w:numId w:val="2"/>
        </w:numPr>
        <w:tabs>
          <w:tab w:val="clear" w:pos="1134"/>
          <w:tab w:val="left" w:pos="709" w:leader="none"/>
        </w:tabs>
        <w:bidi w:val="0"/>
        <w:spacing w:before="120" w:after="283"/>
        <w:ind w:left="709" w:hanging="283"/>
        <w:jc w:val="both"/>
        <w:rPr/>
      </w:pPr>
      <w:r>
        <w:rPr/>
        <w:t>Excludes U.S. Government Securities.</w:t>
      </w:r>
    </w:p>
    <w:p>
      <w:pPr>
        <w:pStyle w:val="TextBody"/>
        <w:bidi w:val="0"/>
        <w:jc w:val="both"/>
        <w:rPr/>
      </w:pPr>
      <w:r>
        <w:rPr>
          <w:rStyle w:val="StrongEmphasis"/>
        </w:rPr>
        <w:t>CONFERENCE CALL AT 12:00 P.M. EST ON AUGUST 12, 2025</w:t>
      </w:r>
    </w:p>
    <w:p>
      <w:pPr>
        <w:pStyle w:val="TextBody"/>
        <w:bidi w:val="0"/>
        <w:jc w:val="both"/>
        <w:rPr/>
      </w:pPr>
      <w:r>
        <w:rPr/>
        <w:t>PennantPark Investment Corporation (“we,” “our,” “us” or the “Company”) will also host a conference call at 12:00 p.m. (Eastern Time) on Tuesday, August 12, 2025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#3278368 or PennantPark Investment Corporation.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 </w:t>
      </w:r>
    </w:p>
    <w:p>
      <w:pPr>
        <w:pStyle w:val="TextBody"/>
        <w:bidi w:val="0"/>
        <w:jc w:val="both"/>
        <w:rPr/>
      </w:pPr>
      <w:r>
        <w:rPr/>
        <w:t>“</w:t>
      </w:r>
      <w:r>
        <w:rPr/>
        <w:t>We are encouraged by the recent resurgence in deal activity, which we anticipate will result in increased new loan originations and potential exits of our equity positions. " said Art Penn, Chairman and CEO. "We remain focused on the plan to rotate out of our equity positions and redeploy that capital into debt investments which will drive growth in our core net investment income.  We will continue to utilize the significant balance of spillover income to cover any shortfall between core net investment income and the dividend as we execute on the plan.”</w:t>
      </w:r>
    </w:p>
    <w:p>
      <w:pPr>
        <w:pStyle w:val="TextBody"/>
        <w:bidi w:val="0"/>
        <w:jc w:val="both"/>
        <w:rPr/>
      </w:pPr>
      <w:r>
        <w:rPr/>
        <w:t>As of June 30, 2025, our portfolio totaled $1,171.6 million and consisted of $476.4 million or 41% of first lien secured debt, $124.7 million or 11% of U.S. Government Securities, $18.0 million or 1% of second lien secured debt, $194.2 million or 16% of subordinated debt (including $140.3 million or 12% in PSLF) and $358.3 million or 31% of preferred and common equity (including $73.3 million or 6% in PSLF). Our interest bearing debt portfolio consisted of 90% variable-rate investments and 10% fixed-rate investments. As of June 30, 2025, we had four portfolio companies on non-accrual, representing 2.8% and 0.7% percent of our overall portfolio on a cost and fair value basis, respectively. Overall, the portfolio had net unrealized appreciation of $40.4 million as of June 30, 2025. Our overall portfolio consisted of 158 companies with an average investment size of $6.6 million (excluding U.S. Government Securities), had a weighted average yield on interest bearing debt investments of 11.5%.</w:t>
      </w:r>
    </w:p>
    <w:p>
      <w:pPr>
        <w:pStyle w:val="TextBody"/>
        <w:bidi w:val="0"/>
        <w:spacing w:before="0" w:after="283"/>
        <w:jc w:val="left"/>
        <w:rPr/>
      </w:pPr>
      <w:r>
        <w:rPr/>
        <w:t>As of September 30, 2024, our portfolio totaled $1,328.1 million and consisted of $667.9 million or 50% of first lien secured debt, $99.6 million or 8% of U.S. Government Securities, $67.2 million or 5% of second lien secured debt, $181.7 million or 14% of subordinated debt (including $115.9 million or 9% in PSLF) and $311.7 million or 23% of preferred and common equity (including $67.9 million or 5% in PSLF). Our interest bearing debt portfolio consisted of 94% variable-rate investments and 6% fixed-rate investments. As of September 30, 2024, we had two portfolio companies on non-accrual, representing 4.1% and 2.3% of our overall portfolio on a cost and fair value basis, respectively. Overall, the portfolio had net unrealized appreciation of $11.2 million as of September 30, 2024. Our overall portfolio consisted of 152 companies with an average investment size of $8.1 million (excluding U.S. Government Securities), had a weighted average yield on interest bearing debt investments of 12.3%.</w:t>
      </w:r>
    </w:p>
    <w:p>
      <w:pPr>
        <w:pStyle w:val="TextBody"/>
        <w:bidi w:val="0"/>
        <w:jc w:val="both"/>
        <w:rPr/>
      </w:pPr>
      <w:r>
        <w:rPr/>
        <w:t>For the three months ended June 30, 2025, we invested $87.7 million in four new and 28 existing portfolio companies with a weighted average yield on debt investments of 10.0%. For the three months ended June 30, 2025, sales and repayments of investments totaled $132.2 million including $21.8 million sold to PSLF. For the nine months ended June 30, 2025, we invested $560.2 million in 19 new and 112 existing portfolio companies with a weighted average yield on debt investments of 10.5%. For the nine months ended June 30, 2025, sales and repayments of investments totaled $749.0 million including $462.8 million sold to PSLF. The investments sales and repayments noted above exclude all purchases and sales of U.S. Government Securities.</w:t>
      </w:r>
    </w:p>
    <w:p>
      <w:pPr>
        <w:pStyle w:val="TextBody"/>
        <w:bidi w:val="0"/>
        <w:jc w:val="both"/>
        <w:rPr/>
      </w:pPr>
      <w:r>
        <w:rPr/>
        <w:t>For the three months ended June 30, 2024, we invested $163.1 million in 11 new and 42 existing portfolio companies with a weighted average yield on debt investments of 12.0%. For the three months ended June 30, 2024, sales and repayments of investments totaled $132.9 million including $37.8 million sold to PSLF. For the nine months ended June 30, 2024, we invested $752.1 million in 29 new and 65 existing portfolio companies with a weighted average yield on debt investments of 11.9%. For the nine months ended June 30, 2024, sales and repayments of investments totaled $380.1 million including $191.8 million sold to PSLF. The investments sales and repayments noted above exclude all purchases and sales of U.S. Government Securities.</w:t>
      </w:r>
    </w:p>
    <w:p>
      <w:pPr>
        <w:pStyle w:val="TextBody"/>
        <w:bidi w:val="0"/>
        <w:jc w:val="both"/>
        <w:rPr/>
      </w:pPr>
      <w:r>
        <w:rPr>
          <w:rStyle w:val="StrongEmphasis"/>
        </w:rPr>
        <w:t>PennantPark Senior Loan Fund, LLC</w:t>
      </w:r>
    </w:p>
    <w:p>
      <w:pPr>
        <w:pStyle w:val="TextBody"/>
        <w:bidi w:val="0"/>
        <w:jc w:val="both"/>
        <w:rPr/>
      </w:pPr>
      <w:r>
        <w:rPr/>
        <w:t>As of June 30, 2025, PSLF’s portfolio totaled $1,339.1 million, consisted of 115 companies with an average investment size of $11.6 million and had a weighted average yield interest bearing debt investments of 10.4%.</w:t>
      </w:r>
    </w:p>
    <w:p>
      <w:pPr>
        <w:pStyle w:val="TextBody"/>
        <w:bidi w:val="0"/>
        <w:jc w:val="both"/>
        <w:rPr/>
      </w:pPr>
      <w:r>
        <w:rPr/>
        <w:t>As of September 30, 2024, PSLF’s portfolio totaled $1,031.2 million, consisted of 102 companies with an average investment size of $10.1 million and had a weighted average yield interest bearing debt investments of 11.3%.</w:t>
      </w:r>
    </w:p>
    <w:p>
      <w:pPr>
        <w:pStyle w:val="TextBody"/>
        <w:bidi w:val="0"/>
        <w:jc w:val="both"/>
        <w:rPr/>
      </w:pPr>
      <w:r>
        <w:rPr/>
        <w:t>For the three months ended June 30, 2025, PSLF invested $22.0 million, including $21.8 million purchased from the Company, in three new and one existing portfolio companies at weighted average yield interest bearing debt investments of 9.8%. PSLF’s sales and repayments of investments for the same period totaled $71.4 million. For the nine months ended June 30, 2025, PSLF invested $545.7 million, including $462.8 million purchased from the Company, in 26 new and 57 existing portfolio companies at weighted average yield interest bearing debt investments of 10.3%. PSLF’s sales and repayments of investments for the same period totaled $228.8 million.</w:t>
      </w:r>
    </w:p>
    <w:p>
      <w:pPr>
        <w:pStyle w:val="TextBody"/>
        <w:bidi w:val="0"/>
        <w:jc w:val="both"/>
        <w:rPr/>
      </w:pPr>
      <w:r>
        <w:rPr/>
        <w:t>For the three months ended June 30, 2024, PSLF invested $56.0. million, including $37.8 million purchased from the Company, in five new and seven existing portfolio companies at weighted average yield on interest bearing debt investments of 11.5%. PSLF’s sales and repayments of investments for the same period totaled $54.9 million. For the nine months ended June 30, 2024, PSLF invested $250.2 million, including $191.8 million purchased from the Company, in 21 new and 16 existing portfolio companies at weighted average yield on interest bearing debt investments of 12.0%. PSLF’s sales and repayments of investments for the same period totaled $133.8 million.</w:t>
      </w:r>
    </w:p>
    <w:p>
      <w:pPr>
        <w:pStyle w:val="TextBody"/>
        <w:bidi w:val="0"/>
        <w:jc w:val="both"/>
        <w:rPr/>
      </w:pPr>
      <w:r>
        <w:rPr>
          <w:rStyle w:val="StrongEmphasis"/>
        </w:rPr>
        <w:t>RESULTS OF OPERATIONS</w:t>
      </w:r>
    </w:p>
    <w:p>
      <w:pPr>
        <w:pStyle w:val="TextBody"/>
        <w:bidi w:val="0"/>
        <w:jc w:val="both"/>
        <w:rPr/>
      </w:pPr>
      <w:r>
        <w:rPr/>
        <w:t>Set forth below are the results of operations for the three and nine months ended June 30, 2025 and 2024.</w:t>
      </w:r>
    </w:p>
    <w:p>
      <w:pPr>
        <w:pStyle w:val="TextBody"/>
        <w:bidi w:val="0"/>
        <w:jc w:val="both"/>
        <w:rPr/>
      </w:pPr>
      <w:r>
        <w:rPr>
          <w:rStyle w:val="StrongEmphasis"/>
        </w:rPr>
        <w:t>Investment Income</w:t>
      </w:r>
    </w:p>
    <w:p>
      <w:pPr>
        <w:pStyle w:val="TextBody"/>
        <w:bidi w:val="0"/>
        <w:jc w:val="both"/>
        <w:rPr/>
      </w:pPr>
      <w:r>
        <w:rPr/>
        <w:t>For the three and nine months ended June 30, 2025, investment income was $29.6 million and $94.4 million, respectively, which was attributable to $21.6 million and $68.9 million from first lien secured debt, $0.4 million and $3.4 million from second lien secured debt, $1.0 million and $3.2 million from subordinated debt and $6.5 million and $18.9 million from other investments, respectively. For the three and nine months ended June 30, 2024, investment income was $37.0 million and $107.3 million, respectively, which was attributable to $25.9 million and $78.5 million from first lien secured debt, $2.1 million and $7.6 million from second lien secured debt, $0.6 million and $1.9 million from subordinated debt and $8.4 million and $19.3 million from other investments, respectively. The decrease in investment income for three and nine months ended June 30, 2025, was primarily due to a decrease in our total portfolio size and a decrease in our weighted average yield on debt investments.</w:t>
      </w:r>
    </w:p>
    <w:p>
      <w:pPr>
        <w:pStyle w:val="TextBody"/>
        <w:bidi w:val="0"/>
        <w:jc w:val="both"/>
        <w:rPr/>
      </w:pPr>
      <w:r>
        <w:rPr>
          <w:rStyle w:val="StrongEmphasis"/>
        </w:rPr>
        <w:t>Expenses</w:t>
      </w:r>
    </w:p>
    <w:p>
      <w:pPr>
        <w:pStyle w:val="TextBody"/>
        <w:bidi w:val="0"/>
        <w:jc w:val="both"/>
        <w:rPr/>
      </w:pPr>
      <w:r>
        <w:rPr/>
        <w:t>For the three and nine months ended June 30, 2025, expenses totaled $17.8 million and $58.2 million, respectively, and were comprised of $9.2 million and $31.6 million of debt related interest and expenses, $3.9 million and $12.2 million of base management fees, $2.5 million and $7.7 million of incentive fees, $1.5 million and $4.8 million of general and administrative expenses and $0.7 million and $1.9 million of provision for excise taxes, respectively. For the three and nine months ended June 30, 2024, expenses totaled $21.3 million and $61.7 million, respectively, and were comprised of; $11.5 million and $32.9 million of debt-related interest and expenses, $4.2 million and $12.4 million of base management fees, $3.3 million and $9.7 million of incentive fees, $1.5 million and $4.8 million of general and administrative expenses and $0.7 million and $1.9 million of provision for excise taxes, respectively. The decrease in expenses for the three and nine months ended June 30, 2025, was primarily due to decreases in interest and expenses on debt and a decrease in incentive fees.</w:t>
      </w:r>
    </w:p>
    <w:p>
      <w:pPr>
        <w:pStyle w:val="TextBody"/>
        <w:bidi w:val="0"/>
        <w:jc w:val="both"/>
        <w:rPr/>
      </w:pPr>
      <w:r>
        <w:rPr>
          <w:rStyle w:val="StrongEmphasis"/>
        </w:rPr>
        <w:t>Net Investment Income</w:t>
      </w:r>
    </w:p>
    <w:p>
      <w:pPr>
        <w:pStyle w:val="TextBody"/>
        <w:bidi w:val="0"/>
        <w:jc w:val="both"/>
        <w:rPr/>
      </w:pPr>
      <w:r>
        <w:rPr/>
        <w:t>For the three and nine months ended June 30, 2025, net investment income totaled $11.8 million and $36.2 million, or $0.18 per share and $0.55 per share, respectively. For the three and nine months ended June 30, 2024, net investment income totaled $15.7 million and $45.7 million, or $0.24 per share and $0.70 per share, respectively. The decrease in net investment income was primarily due to a decrease in investment income and partially offset by a decrease in expenses.</w:t>
      </w:r>
    </w:p>
    <w:p>
      <w:pPr>
        <w:pStyle w:val="TextBody"/>
        <w:bidi w:val="0"/>
        <w:jc w:val="both"/>
        <w:rPr/>
      </w:pPr>
      <w:r>
        <w:rPr>
          <w:rStyle w:val="StrongEmphasis"/>
        </w:rPr>
        <w:t>Net Realized Gains or Losses</w:t>
      </w:r>
    </w:p>
    <w:p>
      <w:pPr>
        <w:pStyle w:val="TextBody"/>
        <w:bidi w:val="0"/>
        <w:jc w:val="both"/>
        <w:rPr/>
      </w:pPr>
      <w:r>
        <w:rPr/>
        <w:t>For the three and nine months ended June 30, 2025, net realized gains (losses) totaled $(0.5) million and $(30.8) million, respectively. For the three and nine months ended June 30, 2024, net realized gains (losses) totaled $(6.9) million and $(36.1) million, respectively. The change in realized gains (losses) was primarily due to changes in the market conditions of our investments and the values at which they were realized.</w:t>
      </w:r>
    </w:p>
    <w:p>
      <w:pPr>
        <w:pStyle w:val="TextBody"/>
        <w:bidi w:val="0"/>
        <w:jc w:val="both"/>
        <w:rPr/>
      </w:pPr>
      <w:r>
        <w:rPr>
          <w:rStyle w:val="StrongEmphasis"/>
        </w:rPr>
        <w:t>Unrealized Appreciation or Depreciation on Investments and Debt</w:t>
      </w:r>
    </w:p>
    <w:p>
      <w:pPr>
        <w:pStyle w:val="TextBody"/>
        <w:bidi w:val="0"/>
        <w:jc w:val="both"/>
        <w:rPr/>
      </w:pPr>
      <w:r>
        <w:rPr/>
        <w:t>For the three and nine months ended June 30, 2025, we reported net change in unrealized appreciation (depreciation) on investments of $(0.2) million and $29.3 million, respectively. For the three and nine months ended June 30, 2024, we reported net change in unrealized appreciation (depreciation) on investments of $(5.1) million and $23.2 million, respectively. As of June 30, 2025 and September 30, 2024, our net unrealized appreciation (depreciation) on investments totaled $40.4 million and $11.2 million, respectively. The net change in unrealized appreciation (depreciation) on our investments was primarily due to changes in the capital market conditions of our investments and the values at which they were realized.</w:t>
      </w:r>
    </w:p>
    <w:p>
      <w:pPr>
        <w:pStyle w:val="TextBody"/>
        <w:bidi w:val="0"/>
        <w:jc w:val="both"/>
        <w:rPr/>
      </w:pPr>
      <w:r>
        <w:rPr/>
        <w:t>For the three and nine months ended June 30, 2025, the Truist Credit Facility had a net change in unrealized appreciation (depreciation) of $(2.9) million and $(1.0) million, respectively. For the three and nine months ended June 30, 2024, the Truist Credit Facility had a net change in unrealized appreciation (depreciation) of $(0.1) million and $(1.6) million, respectively. As of June 30, 2025 and September 30, 2024, the net unrealized appreciation (depreciation) on the Truist Credit Facility totaled $0.1 million and $1.1 million, respectively. The net change in unrealized depreciation compared to the same periods in the prior period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and nine months ended June 30, 2025, net increase (decrease) in net assets resulting from operations totaled $8.2 million and $33.7 million or $0.12 per share and $0.52 per share, respectively. For the three and nine months ended June 30, 2024, net increase (decrease) in net assets resulting from operations totaled $3.7 million and $30.5 million or $0.06 per share and $0.47 per share, respectively. The change in net assets from operations for the nine months ended June 30, 2025 was primarily due to a change in the net realized and unrealized depreciation in the portfolio primarily driven by changes in market conditions and decrease in net investment income.</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w:t>
      </w:r>
    </w:p>
    <w:p>
      <w:pPr>
        <w:pStyle w:val="TextBody"/>
        <w:bidi w:val="0"/>
        <w:jc w:val="both"/>
        <w:rPr/>
      </w:pPr>
      <w:r>
        <w:rPr/>
        <w:t>As of June 30, 2025 and September 30, 2024, we had $316.5 million and $461.5 million, respectively, in outstanding borrowings under the Truist Credit Facility. The Truist Credit Facility had a weighted average interest rate of 6.7% and 7.2%, respectively, exclusive of the fee on undrawn commitment. As of June 30, 2025 and September 30, 2024, we had $183.5 million and $13.5 million of unused borrowing capacity under the Truist Credit Facility, respectively, subject to leverage and borrowing base restrictions.</w:t>
      </w:r>
    </w:p>
    <w:p>
      <w:pPr>
        <w:pStyle w:val="TextBody"/>
        <w:bidi w:val="0"/>
        <w:jc w:val="both"/>
        <w:rPr/>
      </w:pPr>
      <w:r>
        <w:rPr/>
        <w:t>As of June 30, 2025 and September 30, 2024, we had cash and cash equivalents of $70.5 million and $49.9 million, respectively, available for investing and general corporate purposes. We believe our liquidity and capital resources are sufficient to allows us to effectively operate our business.</w:t>
      </w:r>
    </w:p>
    <w:p>
      <w:pPr>
        <w:pStyle w:val="TextBody"/>
        <w:bidi w:val="0"/>
        <w:jc w:val="both"/>
        <w:rPr/>
      </w:pPr>
      <w:r>
        <w:rPr/>
        <w:t>For the nine months ended June 30, 2025, our operating activities provided cash of $212.6 million and our financing activities used cash of $192.0 million. Our operating activities provided cash primarily due to our investment activities and our financing activities used cash primarily for repayments of our credit facility and distributions paid to stockholders.</w:t>
      </w:r>
    </w:p>
    <w:p>
      <w:pPr>
        <w:pStyle w:val="TextBody"/>
        <w:bidi w:val="0"/>
        <w:jc w:val="both"/>
        <w:rPr/>
      </w:pPr>
      <w:r>
        <w:rPr/>
        <w:t>For the nine months ended June 30, 2024, our operating activities used cash of $167.7 million and our financing activities provided cash of $188.1 million. Our operating activities used cash primarily due to our investment activities and our financing activities provided cash primarily from borrowings under the Truist Credit Facility.</w:t>
      </w:r>
    </w:p>
    <w:p>
      <w:pPr>
        <w:pStyle w:val="TextBody"/>
        <w:bidi w:val="0"/>
        <w:jc w:val="both"/>
        <w:rPr/>
      </w:pPr>
      <w:r>
        <w:rPr>
          <w:rStyle w:val="StrongEmphasis"/>
        </w:rPr>
        <w:t>DISTRIBUTIONS</w:t>
      </w:r>
    </w:p>
    <w:p>
      <w:pPr>
        <w:pStyle w:val="TextBody"/>
        <w:bidi w:val="0"/>
        <w:jc w:val="both"/>
        <w:rPr/>
      </w:pPr>
      <w:r>
        <w:rPr/>
        <w:t>During the three and nine months ended June 30, 2025, we declared distributions of $0.24 and $0.72 per share, for total distributions of $15.7 million and $47.0 million, respectively. During the three and nine months ended June 30, 2024, we declared distributions of $0.22 and $0.64 per share, for total distributions of $14.4 million and $41.8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RECENT DEVELOPMENTS</w:t>
      </w:r>
    </w:p>
    <w:p>
      <w:pPr>
        <w:pStyle w:val="TextBody"/>
        <w:bidi w:val="0"/>
        <w:jc w:val="both"/>
        <w:rPr/>
      </w:pPr>
      <w:r>
        <w:rPr/>
        <w:t>In July 2025, PSLF’s wholly-owned and consolidated subsidiary, PennantPark CLO VII, LLC ("CLO VII")  partially refinanced its $300 million debt securitization. The $21.0 million of Class B Loans interest was decreased from SOFR plus 4.05% to SOFR plus 1.95%, the $24.0 million of Class C Loans interest was decreased from SOFR plus 4.70% to SOFR plus 2.30% and the $18.0 million of Class D Loans interest was decreased from SOFR plus 7.00% to SOFR plus 3.35%. As a result of this refinancing, the weighted average cost of capital went from SOFR+3.31% to SOFR+2.63%.</w:t>
      </w:r>
    </w:p>
    <w:p>
      <w:pPr>
        <w:pStyle w:val="TextBody"/>
        <w:bidi w:val="0"/>
        <w:jc w:val="both"/>
        <w:rPr/>
      </w:pPr>
      <w:r>
        <w:rPr>
          <w:rStyle w:val="StrongEmphasis"/>
        </w:rPr>
        <w:t>Dividends Declared:</w:t>
      </w:r>
    </w:p>
    <w:p>
      <w:pPr>
        <w:pStyle w:val="TextBody"/>
        <w:bidi w:val="0"/>
        <w:jc w:val="both"/>
        <w:rPr/>
      </w:pPr>
      <w:r>
        <w:rPr/>
        <w:t>On July 14, 2025, PennantPark Investment Corporation declared the following distributions:</w:t>
      </w:r>
    </w:p>
    <w:tbl>
      <w:tblPr>
        <w:tblW w:w="6058" w:type="dxa"/>
        <w:jc w:val="center"/>
        <w:tblInd w:w="0" w:type="dxa"/>
        <w:tblLayout w:type="fixed"/>
        <w:tblCellMar>
          <w:top w:w="0" w:type="dxa"/>
          <w:left w:w="0" w:type="dxa"/>
          <w:bottom w:w="0" w:type="dxa"/>
          <w:right w:w="0" w:type="dxa"/>
        </w:tblCellMar>
      </w:tblPr>
      <w:tblGrid>
        <w:gridCol w:w="2026"/>
        <w:gridCol w:w="2011"/>
        <w:gridCol w:w="549"/>
        <w:gridCol w:w="1281"/>
        <w:gridCol w:w="191"/>
      </w:tblGrid>
      <w:tr>
        <w:trPr/>
        <w:tc>
          <w:tcPr>
            <w:tcW w:w="2026" w:type="dxa"/>
            <w:tcBorders/>
            <w:vAlign w:val="center"/>
          </w:tcPr>
          <w:p>
            <w:pPr>
              <w:pStyle w:val="TableContents"/>
              <w:bidi w:val="0"/>
              <w:spacing w:before="0" w:after="283"/>
              <w:jc w:val="left"/>
              <w:rPr/>
            </w:pPr>
            <w:r>
              <w:rPr>
                <w:rStyle w:val="StrongEmphasis"/>
                <w:u w:val="single"/>
              </w:rPr>
              <w:t>Record Date</w:t>
            </w:r>
          </w:p>
        </w:tc>
        <w:tc>
          <w:tcPr>
            <w:tcW w:w="2011" w:type="dxa"/>
            <w:tcBorders/>
            <w:tcMar>
              <w:top w:w="28" w:type="dxa"/>
              <w:left w:w="28" w:type="dxa"/>
              <w:bottom w:w="28" w:type="dxa"/>
              <w:right w:w="28" w:type="dxa"/>
            </w:tcMar>
            <w:vAlign w:val="center"/>
          </w:tcPr>
          <w:p>
            <w:pPr>
              <w:pStyle w:val="TableContents"/>
              <w:bidi w:val="0"/>
              <w:spacing w:before="0" w:after="283"/>
              <w:jc w:val="left"/>
              <w:rPr/>
            </w:pPr>
            <w:r>
              <w:rPr>
                <w:rStyle w:val="StrongEmphasis"/>
                <w:u w:val="single"/>
              </w:rPr>
              <w:t>Payment Date</w:t>
            </w:r>
          </w:p>
        </w:tc>
        <w:tc>
          <w:tcPr>
            <w:tcW w:w="1830" w:type="dxa"/>
            <w:gridSpan w:val="2"/>
            <w:tcBorders/>
            <w:tcMar>
              <w:top w:w="28" w:type="dxa"/>
              <w:left w:w="28" w:type="dxa"/>
              <w:bottom w:w="28" w:type="dxa"/>
              <w:right w:w="28" w:type="dxa"/>
            </w:tcMar>
            <w:vAlign w:val="center"/>
          </w:tcPr>
          <w:p>
            <w:pPr>
              <w:pStyle w:val="TableContents"/>
              <w:bidi w:val="0"/>
              <w:spacing w:before="0" w:after="283"/>
              <w:jc w:val="center"/>
              <w:rPr/>
            </w:pPr>
            <w:r>
              <w:rPr>
                <w:rStyle w:val="StrongEmphasis"/>
                <w:u w:val="single"/>
              </w:rPr>
              <w:t>Distributions per</w:t>
              <w:br/>
              <w:t>Common Share</w:t>
            </w:r>
          </w:p>
        </w:tc>
        <w:tc>
          <w:tcPr>
            <w:tcW w:w="191" w:type="dxa"/>
            <w:tcBorders/>
            <w:tcMar>
              <w:top w:w="28" w:type="dxa"/>
              <w:left w:w="28" w:type="dxa"/>
              <w:bottom w:w="28" w:type="dxa"/>
              <w:right w:w="28" w:type="dxa"/>
            </w:tcMar>
            <w:vAlign w:val="center"/>
          </w:tcPr>
          <w:p>
            <w:pPr>
              <w:pStyle w:val="TableContents"/>
              <w:bidi w:val="0"/>
              <w:spacing w:before="0" w:after="283"/>
              <w:jc w:val="center"/>
              <w:rPr/>
            </w:pPr>
            <w:r>
              <w:rPr/>
              <w:t> </w:t>
            </w:r>
          </w:p>
        </w:tc>
      </w:tr>
      <w:tr>
        <w:trPr/>
        <w:tc>
          <w:tcPr>
            <w:tcW w:w="2026" w:type="dxa"/>
            <w:tcBorders/>
            <w:vAlign w:val="center"/>
          </w:tcPr>
          <w:p>
            <w:pPr>
              <w:pStyle w:val="TableContents"/>
              <w:bidi w:val="0"/>
              <w:spacing w:before="0" w:after="283"/>
              <w:jc w:val="left"/>
              <w:rPr/>
            </w:pPr>
            <w:r>
              <w:rPr/>
              <w:t>August 15, 2025</w:t>
            </w:r>
          </w:p>
        </w:tc>
        <w:tc>
          <w:tcPr>
            <w:tcW w:w="2011" w:type="dxa"/>
            <w:tcBorders/>
            <w:tcMar>
              <w:top w:w="28" w:type="dxa"/>
              <w:left w:w="28" w:type="dxa"/>
              <w:bottom w:w="28" w:type="dxa"/>
              <w:right w:w="28" w:type="dxa"/>
            </w:tcMar>
            <w:vAlign w:val="center"/>
          </w:tcPr>
          <w:p>
            <w:pPr>
              <w:pStyle w:val="TableContents"/>
              <w:bidi w:val="0"/>
              <w:spacing w:before="0" w:after="283"/>
              <w:jc w:val="left"/>
              <w:rPr/>
            </w:pPr>
            <w:r>
              <w:rPr/>
              <w:t>September 2, 2025</w:t>
            </w:r>
          </w:p>
        </w:tc>
        <w:tc>
          <w:tcPr>
            <w:tcW w:w="549"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1281" w:type="dxa"/>
            <w:tcBorders/>
            <w:tcMar>
              <w:top w:w="28" w:type="dxa"/>
              <w:left w:w="28" w:type="dxa"/>
              <w:bottom w:w="28" w:type="dxa"/>
              <w:right w:w="28" w:type="dxa"/>
            </w:tcMar>
            <w:vAlign w:val="center"/>
          </w:tcPr>
          <w:p>
            <w:pPr>
              <w:pStyle w:val="TableContents"/>
              <w:bidi w:val="0"/>
              <w:spacing w:before="0" w:after="283"/>
              <w:jc w:val="right"/>
              <w:rPr/>
            </w:pPr>
            <w:r>
              <w:rPr/>
              <w:t>0.08</w:t>
            </w:r>
          </w:p>
        </w:tc>
        <w:tc>
          <w:tcPr>
            <w:tcW w:w="191" w:type="dxa"/>
            <w:tcBorders/>
            <w:tcMar>
              <w:top w:w="28" w:type="dxa"/>
              <w:left w:w="28" w:type="dxa"/>
              <w:bottom w:w="28" w:type="dxa"/>
              <w:right w:w="28" w:type="dxa"/>
            </w:tcMar>
            <w:vAlign w:val="center"/>
          </w:tcPr>
          <w:p>
            <w:pPr>
              <w:pStyle w:val="TableContents"/>
              <w:bidi w:val="0"/>
              <w:spacing w:before="0" w:after="283"/>
              <w:jc w:val="left"/>
              <w:rPr/>
            </w:pPr>
            <w:r>
              <w:rPr/>
              <w:t> </w:t>
            </w:r>
          </w:p>
        </w:tc>
      </w:tr>
      <w:tr>
        <w:trPr/>
        <w:tc>
          <w:tcPr>
            <w:tcW w:w="2026" w:type="dxa"/>
            <w:tcBorders/>
            <w:vAlign w:val="center"/>
          </w:tcPr>
          <w:p>
            <w:pPr>
              <w:pStyle w:val="TableContents"/>
              <w:bidi w:val="0"/>
              <w:spacing w:before="0" w:after="283"/>
              <w:jc w:val="left"/>
              <w:rPr/>
            </w:pPr>
            <w:r>
              <w:rPr/>
              <w:t>September 15, 2025</w:t>
            </w:r>
          </w:p>
        </w:tc>
        <w:tc>
          <w:tcPr>
            <w:tcW w:w="2011" w:type="dxa"/>
            <w:tcBorders/>
            <w:tcMar>
              <w:top w:w="28" w:type="dxa"/>
              <w:left w:w="28" w:type="dxa"/>
              <w:bottom w:w="28" w:type="dxa"/>
              <w:right w:w="28" w:type="dxa"/>
            </w:tcMar>
            <w:vAlign w:val="center"/>
          </w:tcPr>
          <w:p>
            <w:pPr>
              <w:pStyle w:val="TableContents"/>
              <w:bidi w:val="0"/>
              <w:spacing w:before="0" w:after="283"/>
              <w:jc w:val="left"/>
              <w:rPr/>
            </w:pPr>
            <w:r>
              <w:rPr/>
              <w:t>September 30, 2025</w:t>
            </w:r>
          </w:p>
        </w:tc>
        <w:tc>
          <w:tcPr>
            <w:tcW w:w="549" w:type="dxa"/>
            <w:tcBorders/>
            <w:tcMar>
              <w:top w:w="28" w:type="dxa"/>
              <w:left w:w="28" w:type="dxa"/>
              <w:bottom w:w="28" w:type="dxa"/>
              <w:right w:w="28" w:type="dxa"/>
            </w:tcMar>
            <w:vAlign w:val="center"/>
          </w:tcPr>
          <w:p>
            <w:pPr>
              <w:pStyle w:val="TableContents"/>
              <w:bidi w:val="0"/>
              <w:spacing w:before="0" w:after="283"/>
              <w:jc w:val="right"/>
              <w:rPr/>
            </w:pPr>
            <w:r>
              <w:rPr/>
              <w:t>$</w:t>
            </w:r>
          </w:p>
        </w:tc>
        <w:tc>
          <w:tcPr>
            <w:tcW w:w="1281" w:type="dxa"/>
            <w:tcBorders/>
            <w:tcMar>
              <w:top w:w="28" w:type="dxa"/>
              <w:left w:w="28" w:type="dxa"/>
              <w:bottom w:w="28" w:type="dxa"/>
              <w:right w:w="28" w:type="dxa"/>
            </w:tcMar>
            <w:vAlign w:val="center"/>
          </w:tcPr>
          <w:p>
            <w:pPr>
              <w:pStyle w:val="TableContents"/>
              <w:bidi w:val="0"/>
              <w:spacing w:before="0" w:after="283"/>
              <w:jc w:val="right"/>
              <w:rPr/>
            </w:pPr>
            <w:r>
              <w:rPr/>
              <w:t>0.08</w:t>
            </w:r>
          </w:p>
        </w:tc>
        <w:tc>
          <w:tcPr>
            <w:tcW w:w="191" w:type="dxa"/>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jc w:val="both"/>
        <w:rPr/>
      </w:pPr>
      <w:r>
        <w:rPr>
          <w:rStyle w:val="StrongEmphasis"/>
        </w:rPr>
        <w:br/>
        <w:t>AVAILABLE INFORMATION</w:t>
      </w:r>
    </w:p>
    <w:p>
      <w:pPr>
        <w:pStyle w:val="TextBody"/>
        <w:bidi w:val="0"/>
        <w:jc w:val="both"/>
        <w:rPr/>
      </w:pPr>
      <w:r>
        <w:rPr/>
        <w:t xml:space="preserve">The Company makes available on its website its Quarterly Report on Form 10-Q filed with the SEC and stockholders may find the report on our website at </w:t>
      </w:r>
      <w:r>
        <w:rPr>
          <w:u w:val="single"/>
        </w:rPr>
        <w:t>www.pennantpark.com</w:t>
      </w:r>
      <w:r>
        <w:rPr/>
        <w:t>.</w:t>
      </w:r>
    </w:p>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6392"/>
        <w:gridCol w:w="146"/>
        <w:gridCol w:w="244"/>
        <w:gridCol w:w="1155"/>
        <w:gridCol w:w="181"/>
        <w:gridCol w:w="146"/>
        <w:gridCol w:w="299"/>
        <w:gridCol w:w="1413"/>
        <w:gridCol w:w="229"/>
      </w:tblGrid>
      <w:tr>
        <w:trPr/>
        <w:tc>
          <w:tcPr>
            <w:tcW w:w="10205" w:type="dxa"/>
            <w:gridSpan w:val="9"/>
            <w:tcBorders/>
            <w:vAlign w:val="center"/>
          </w:tcPr>
          <w:p>
            <w:pPr>
              <w:pStyle w:val="TableContents"/>
              <w:bidi w:val="0"/>
              <w:spacing w:before="0" w:after="283"/>
              <w:jc w:val="center"/>
              <w:rPr/>
            </w:pPr>
            <w:r>
              <w:rPr/>
              <w:t> </w:t>
            </w:r>
          </w:p>
        </w:tc>
      </w:tr>
      <w:tr>
        <w:trPr/>
        <w:tc>
          <w:tcPr>
            <w:tcW w:w="10205" w:type="dxa"/>
            <w:gridSpan w:val="9"/>
            <w:tcBorders/>
            <w:vAlign w:val="center"/>
          </w:tcPr>
          <w:p>
            <w:pPr>
              <w:pStyle w:val="TableContents"/>
              <w:bidi w:val="0"/>
              <w:spacing w:before="0" w:after="283"/>
              <w:jc w:val="center"/>
              <w:rPr/>
            </w:pPr>
            <w:r>
              <w:rPr>
                <w:rStyle w:val="StrongEmphasis"/>
              </w:rPr>
              <w:t>PENNANTPARK INVESTMENT CORPORATION AND SUBSIDIARIES</w:t>
            </w:r>
            <w:r>
              <w:rPr/>
              <w:br/>
            </w:r>
            <w:r>
              <w:rPr>
                <w:rStyle w:val="StrongEmphasis"/>
              </w:rPr>
              <w:t>CONSOLIDATED STATEMENTS OF ASSETS AND LIABILITIES</w:t>
            </w:r>
            <w:r>
              <w:rPr/>
              <w:br/>
              <w:t>(In thousands, except share data)</w:t>
            </w:r>
          </w:p>
        </w:tc>
      </w:tr>
      <w:tr>
        <w:trPr/>
        <w:tc>
          <w:tcPr>
            <w:tcW w:w="10205" w:type="dxa"/>
            <w:gridSpan w:val="9"/>
            <w:tcBorders/>
            <w:vAlign w:val="center"/>
          </w:tcPr>
          <w:p>
            <w:pPr>
              <w:pStyle w:val="TableContents"/>
              <w:bidi w:val="0"/>
              <w:spacing w:before="0" w:after="283"/>
              <w:jc w:val="center"/>
              <w:rPr/>
            </w:pPr>
            <w:r>
              <w:rPr/>
              <w:t> </w:t>
            </w:r>
          </w:p>
        </w:tc>
      </w:tr>
      <w:tr>
        <w:trPr/>
        <w:tc>
          <w:tcPr>
            <w:tcW w:w="63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pPr>
            <w:r>
              <w:rPr>
                <w:rStyle w:val="StrongEmphasis"/>
              </w:rPr>
              <w:t>June 30, 2025</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712" w:type="dxa"/>
            <w:gridSpan w:val="2"/>
            <w:tcBorders/>
            <w:vAlign w:val="center"/>
          </w:tcPr>
          <w:p>
            <w:pPr>
              <w:pStyle w:val="TableContents"/>
              <w:bidi w:val="0"/>
              <w:spacing w:before="0" w:after="283"/>
              <w:jc w:val="center"/>
              <w:rPr/>
            </w:pPr>
            <w:r>
              <w:rPr>
                <w:rStyle w:val="StrongEmphasis"/>
              </w:rPr>
              <w:t>September 30, 2024</w:t>
            </w:r>
          </w:p>
        </w:tc>
        <w:tc>
          <w:tcPr>
            <w:tcW w:w="229" w:type="dxa"/>
            <w:tcBorders/>
            <w:vAlign w:val="center"/>
          </w:tcPr>
          <w:p>
            <w:pPr>
              <w:pStyle w:val="TableContents"/>
              <w:bidi w:val="0"/>
              <w:spacing w:before="0" w:after="283"/>
              <w:jc w:val="center"/>
              <w:rPr/>
            </w:pPr>
            <w:r>
              <w:rPr/>
              <w:t> </w:t>
            </w:r>
          </w:p>
        </w:tc>
      </w:tr>
      <w:tr>
        <w:trPr/>
        <w:tc>
          <w:tcPr>
            <w:tcW w:w="6392"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7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center"/>
              <w:rPr/>
            </w:pPr>
            <w:r>
              <w:rPr/>
              <w:t> </w:t>
            </w:r>
          </w:p>
        </w:tc>
      </w:tr>
      <w:tr>
        <w:trPr/>
        <w:tc>
          <w:tcPr>
            <w:tcW w:w="6392"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39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392" w:type="dxa"/>
            <w:tcBorders/>
            <w:vAlign w:val="center"/>
          </w:tcPr>
          <w:p>
            <w:pPr>
              <w:pStyle w:val="TableContents"/>
              <w:bidi w:val="0"/>
              <w:spacing w:before="0" w:after="283"/>
              <w:jc w:val="left"/>
              <w:rPr/>
            </w:pPr>
            <w:r>
              <w:rPr/>
              <w:t>Investments at fair value</w:t>
            </w:r>
          </w:p>
        </w:tc>
        <w:tc>
          <w:tcPr>
            <w:tcW w:w="146"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2"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392"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cost—$723,149 and $916,168, respectively)</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155" w:type="dxa"/>
            <w:tcBorders/>
            <w:vAlign w:val="center"/>
          </w:tcPr>
          <w:p>
            <w:pPr>
              <w:pStyle w:val="TableContents"/>
              <w:bidi w:val="0"/>
              <w:spacing w:before="0" w:after="283"/>
              <w:jc w:val="right"/>
              <w:rPr/>
            </w:pPr>
            <w:r>
              <w:rPr/>
              <w:t>729,787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w:t>
            </w:r>
          </w:p>
        </w:tc>
        <w:tc>
          <w:tcPr>
            <w:tcW w:w="1413" w:type="dxa"/>
            <w:tcBorders/>
            <w:vAlign w:val="center"/>
          </w:tcPr>
          <w:p>
            <w:pPr>
              <w:pStyle w:val="TableContents"/>
              <w:bidi w:val="0"/>
              <w:spacing w:before="0" w:after="283"/>
              <w:jc w:val="right"/>
              <w:rPr/>
            </w:pPr>
            <w:r>
              <w:rPr/>
              <w:t>910,323</w:t>
            </w:r>
          </w:p>
        </w:tc>
        <w:tc>
          <w:tcPr>
            <w:tcW w:w="229" w:type="dxa"/>
            <w:tcBorders/>
            <w:vAlign w:val="center"/>
          </w:tcPr>
          <w:p>
            <w:pPr>
              <w:pStyle w:val="TableContents"/>
              <w:bidi w:val="0"/>
              <w:spacing w:before="0" w:after="283"/>
              <w:jc w:val="left"/>
              <w:rPr/>
            </w:pPr>
            <w:r>
              <w:rPr/>
              <w:t> </w:t>
            </w:r>
          </w:p>
        </w:tc>
      </w:tr>
      <w:tr>
        <w:trPr/>
        <w:tc>
          <w:tcPr>
            <w:tcW w:w="6392" w:type="dxa"/>
            <w:tcBorders/>
            <w:tcMar>
              <w:top w:w="0" w:type="dxa"/>
              <w:left w:w="0" w:type="dxa"/>
              <w:bottom w:w="0" w:type="dxa"/>
              <w:right w:w="0" w:type="dxa"/>
            </w:tcMar>
            <w:vAlign w:val="center"/>
          </w:tcPr>
          <w:p>
            <w:pPr>
              <w:pStyle w:val="TableContents"/>
              <w:bidi w:val="0"/>
              <w:spacing w:before="0" w:after="283"/>
              <w:jc w:val="left"/>
              <w:rPr/>
            </w:pPr>
            <w:r>
              <w:rPr/>
              <w:t>Non-controlled, affiliated investments (amortized cost—$58,443 and $56,734, respectively)</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7,484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33,423</w:t>
            </w:r>
          </w:p>
        </w:tc>
        <w:tc>
          <w:tcPr>
            <w:tcW w:w="229" w:type="dxa"/>
            <w:tcBorders/>
            <w:vAlign w:val="center"/>
          </w:tcPr>
          <w:p>
            <w:pPr>
              <w:pStyle w:val="TableContents"/>
              <w:bidi w:val="0"/>
              <w:spacing w:before="0" w:after="283"/>
              <w:jc w:val="left"/>
              <w:rPr/>
            </w:pPr>
            <w:r>
              <w:rPr/>
              <w:t> </w:t>
            </w:r>
          </w:p>
        </w:tc>
      </w:tr>
      <w:tr>
        <w:trPr/>
        <w:tc>
          <w:tcPr>
            <w:tcW w:w="6392"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cost—$349,671 and $343,970, respectively)</w:t>
            </w:r>
          </w:p>
        </w:tc>
        <w:tc>
          <w:tcPr>
            <w:tcW w:w="146"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434,353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384,304</w:t>
            </w:r>
          </w:p>
        </w:tc>
        <w:tc>
          <w:tcPr>
            <w:tcW w:w="229" w:type="dxa"/>
            <w:tcBorders/>
            <w:vAlign w:val="center"/>
          </w:tcPr>
          <w:p>
            <w:pPr>
              <w:pStyle w:val="TableContents"/>
              <w:bidi w:val="0"/>
              <w:spacing w:before="0" w:after="283"/>
              <w:jc w:val="left"/>
              <w:rPr/>
            </w:pPr>
            <w:r>
              <w:rPr/>
              <w:t> </w:t>
            </w:r>
          </w:p>
        </w:tc>
      </w:tr>
      <w:tr>
        <w:trPr/>
        <w:tc>
          <w:tcPr>
            <w:tcW w:w="6392" w:type="dxa"/>
            <w:tcBorders/>
            <w:tcMar>
              <w:top w:w="0" w:type="dxa"/>
              <w:left w:w="0" w:type="dxa"/>
              <w:bottom w:w="0" w:type="dxa"/>
              <w:right w:w="0" w:type="dxa"/>
            </w:tcMar>
            <w:vAlign w:val="center"/>
          </w:tcPr>
          <w:p>
            <w:pPr>
              <w:pStyle w:val="TableContents"/>
              <w:bidi w:val="0"/>
              <w:spacing w:before="0" w:after="283"/>
              <w:jc w:val="left"/>
              <w:rPr/>
            </w:pPr>
            <w:r>
              <w:rPr/>
              <w:t>Total investments (amortized cost—$1,131,263 and $1,316,872, respectively)</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55"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1,171,624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1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1,328,050</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Cash and cash equivalents (cost—$70,408 and $49,833, respectively)</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70,546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49,861</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Interest receivable</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4,600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5,261</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Distribution receivable</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5,832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5,417</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Due from affiliates</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228</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269</w:t>
            </w:r>
          </w:p>
        </w:tc>
        <w:tc>
          <w:tcPr>
            <w:tcW w:w="229" w:type="dxa"/>
            <w:tcBorders/>
            <w:vAlign w:val="center"/>
          </w:tcPr>
          <w:p>
            <w:pPr>
              <w:pStyle w:val="TableContents"/>
              <w:bidi w:val="0"/>
              <w:spacing w:before="0" w:after="283"/>
              <w:jc w:val="left"/>
              <w:rPr/>
            </w:pPr>
            <w:r>
              <w:rPr/>
              <w:t> </w:t>
            </w:r>
          </w:p>
        </w:tc>
      </w:tr>
      <w:tr>
        <w:trPr/>
        <w:tc>
          <w:tcPr>
            <w:tcW w:w="6392"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1,252,888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1,389,086</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rStyle w:val="StrongEmphasis"/>
              </w:rPr>
              <w:t>Liabilities</w:t>
            </w:r>
          </w:p>
        </w:tc>
        <w:tc>
          <w:tcPr>
            <w:tcW w:w="146" w:type="dxa"/>
            <w:tcBorders/>
            <w:vAlign w:val="center"/>
          </w:tcPr>
          <w:p>
            <w:pPr>
              <w:pStyle w:val="TableContents"/>
              <w:bidi w:val="0"/>
              <w:spacing w:before="0" w:after="283"/>
              <w:jc w:val="left"/>
              <w:rPr/>
            </w:pPr>
            <w:r>
              <w:rPr/>
              <w:t> </w:t>
            </w:r>
          </w:p>
        </w:tc>
        <w:tc>
          <w:tcPr>
            <w:tcW w:w="139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392" w:type="dxa"/>
            <w:tcBorders/>
            <w:vAlign w:val="center"/>
          </w:tcPr>
          <w:p>
            <w:pPr>
              <w:pStyle w:val="TableContents"/>
              <w:bidi w:val="0"/>
              <w:spacing w:before="0" w:after="283"/>
              <w:jc w:val="left"/>
              <w:rPr/>
            </w:pPr>
            <w:r>
              <w:rPr/>
              <w:t>Truist Credit Facility payable, at fair value (cost—$316,456 and $461,456, respectively)</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155" w:type="dxa"/>
            <w:tcBorders/>
            <w:vAlign w:val="center"/>
          </w:tcPr>
          <w:p>
            <w:pPr>
              <w:pStyle w:val="TableContents"/>
              <w:bidi w:val="0"/>
              <w:spacing w:before="0" w:after="283"/>
              <w:jc w:val="right"/>
              <w:rPr/>
            </w:pPr>
            <w:r>
              <w:rPr/>
              <w:t>316,384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460,361</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2026 Notes payable (par— $150,000, unamortized deferred financing costs of $753 and $1,429, respectively)</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149,247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148,571</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2026 Notes-2 payable (par— $165,000, unamortized deferred financing cost of $1,280 and $1,920, respectively)</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163,720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163,080</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Payable for investment purchased</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124,720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100,096</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Interest payable on debt</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2,919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6,406</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Distributions payable</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5,224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5,224</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Base management fee payable</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3,889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4,297</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3,698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4,053</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Incentive fee payable</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2,502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3,057</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Due to affiliate</w:t>
            </w:r>
          </w:p>
        </w:tc>
        <w:tc>
          <w:tcPr>
            <w:tcW w:w="146"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w:t>
            </w:r>
          </w:p>
        </w:tc>
        <w:tc>
          <w:tcPr>
            <w:tcW w:w="229" w:type="dxa"/>
            <w:tcBorders/>
            <w:vAlign w:val="center"/>
          </w:tcPr>
          <w:p>
            <w:pPr>
              <w:pStyle w:val="TableContents"/>
              <w:bidi w:val="0"/>
              <w:spacing w:before="0" w:after="283"/>
              <w:jc w:val="left"/>
              <w:rPr/>
            </w:pPr>
            <w:r>
              <w:rPr/>
              <w:t> </w:t>
            </w:r>
          </w:p>
        </w:tc>
      </w:tr>
      <w:tr>
        <w:trPr/>
        <w:tc>
          <w:tcPr>
            <w:tcW w:w="6392"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772,303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895,178</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Commitments and contingencies</w:t>
            </w:r>
          </w:p>
        </w:tc>
        <w:tc>
          <w:tcPr>
            <w:tcW w:w="146" w:type="dxa"/>
            <w:tcBorders/>
            <w:vAlign w:val="center"/>
          </w:tcPr>
          <w:p>
            <w:pPr>
              <w:pStyle w:val="TableContents"/>
              <w:bidi w:val="0"/>
              <w:spacing w:before="0" w:after="283"/>
              <w:jc w:val="left"/>
              <w:rPr/>
            </w:pPr>
            <w:r>
              <w:rPr/>
              <w:t> </w:t>
            </w:r>
          </w:p>
        </w:tc>
        <w:tc>
          <w:tcPr>
            <w:tcW w:w="139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392" w:type="dxa"/>
            <w:tcBorders/>
            <w:vAlign w:val="center"/>
          </w:tcPr>
          <w:p>
            <w:pPr>
              <w:pStyle w:val="TableContents"/>
              <w:bidi w:val="0"/>
              <w:spacing w:before="0" w:after="283"/>
              <w:jc w:val="left"/>
              <w:rPr/>
            </w:pPr>
            <w:r>
              <w:rPr>
                <w:rStyle w:val="StrongEmphasis"/>
              </w:rPr>
              <w:t>Net assets</w:t>
            </w:r>
          </w:p>
        </w:tc>
        <w:tc>
          <w:tcPr>
            <w:tcW w:w="146"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2"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392" w:type="dxa"/>
            <w:tcBorders/>
            <w:vAlign w:val="center"/>
          </w:tcPr>
          <w:p>
            <w:pPr>
              <w:pStyle w:val="TableContents"/>
              <w:bidi w:val="0"/>
              <w:spacing w:before="0" w:after="283"/>
              <w:jc w:val="left"/>
              <w:rPr/>
            </w:pPr>
            <w:r>
              <w:rPr/>
              <w:t>Common stock, 65,296,094 and 65,296,094 shares issued and outstanding, respectively</w:t>
              <w:br/>
              <w:t>Par value $0.001 per share and 200,000,000 shares authorized</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65</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Paid-in capital in excess of par value</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743,968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743,968</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(263,448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1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(250,125</w:t>
            </w:r>
          </w:p>
        </w:tc>
        <w:tc>
          <w:tcPr>
            <w:tcW w:w="229" w:type="dxa"/>
            <w:tcBorders/>
            <w:vAlign w:val="center"/>
          </w:tcPr>
          <w:p>
            <w:pPr>
              <w:pStyle w:val="TableContents"/>
              <w:bidi w:val="0"/>
              <w:spacing w:before="0" w:after="283"/>
              <w:jc w:val="left"/>
              <w:rPr/>
            </w:pPr>
            <w:r>
              <w:rPr/>
              <w:t>)</w:t>
            </w:r>
          </w:p>
        </w:tc>
      </w:tr>
      <w:tr>
        <w:trPr/>
        <w:tc>
          <w:tcPr>
            <w:tcW w:w="6392"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480,585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1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493,908</w:t>
            </w:r>
          </w:p>
        </w:tc>
        <w:tc>
          <w:tcPr>
            <w:tcW w:w="229" w:type="dxa"/>
            <w:tcBorders/>
            <w:vAlign w:val="center"/>
          </w:tcPr>
          <w:p>
            <w:pPr>
              <w:pStyle w:val="TableContents"/>
              <w:bidi w:val="0"/>
              <w:spacing w:before="0" w:after="283"/>
              <w:jc w:val="left"/>
              <w:rPr/>
            </w:pPr>
            <w:r>
              <w:rPr/>
              <w:t> </w:t>
            </w:r>
          </w:p>
        </w:tc>
      </w:tr>
      <w:tr>
        <w:trPr/>
        <w:tc>
          <w:tcPr>
            <w:tcW w:w="6392"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5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1,252,888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1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1,389,086</w:t>
            </w:r>
          </w:p>
        </w:tc>
        <w:tc>
          <w:tcPr>
            <w:tcW w:w="229" w:type="dxa"/>
            <w:tcBorders/>
            <w:vAlign w:val="center"/>
          </w:tcPr>
          <w:p>
            <w:pPr>
              <w:pStyle w:val="TableContents"/>
              <w:bidi w:val="0"/>
              <w:spacing w:before="0" w:after="283"/>
              <w:jc w:val="left"/>
              <w:rPr/>
            </w:pPr>
            <w:r>
              <w:rPr/>
              <w:t> </w:t>
            </w:r>
          </w:p>
        </w:tc>
      </w:tr>
      <w:tr>
        <w:trPr/>
        <w:tc>
          <w:tcPr>
            <w:tcW w:w="6392" w:type="dxa"/>
            <w:tcBorders/>
            <w:vAlign w:val="center"/>
          </w:tcPr>
          <w:p>
            <w:pPr>
              <w:pStyle w:val="TableContents"/>
              <w:bidi w:val="0"/>
              <w:spacing w:before="0" w:after="283"/>
              <w:jc w:val="left"/>
              <w:rPr/>
            </w:pPr>
            <w:r>
              <w:rPr>
                <w:rStyle w:val="StrongEmphasis"/>
              </w:rPr>
              <w:t>Net asset value per share</w:t>
            </w:r>
          </w:p>
        </w:tc>
        <w:tc>
          <w:tcPr>
            <w:tcW w:w="146" w:type="dxa"/>
            <w:tcBorders/>
            <w:vAlign w:val="center"/>
          </w:tcPr>
          <w:p>
            <w:pPr>
              <w:pStyle w:val="TableContents"/>
              <w:bidi w:val="0"/>
              <w:spacing w:before="0" w:after="283"/>
              <w:jc w:val="left"/>
              <w:rPr/>
            </w:pPr>
            <w:r>
              <w:rPr/>
              <w:t> </w:t>
            </w:r>
          </w:p>
        </w:tc>
        <w:tc>
          <w:tcPr>
            <w:tcW w:w="24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5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7.36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13"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7.56</w:t>
            </w:r>
          </w:p>
        </w:tc>
        <w:tc>
          <w:tcPr>
            <w:tcW w:w="229" w:type="dxa"/>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4105"/>
        <w:gridCol w:w="146"/>
        <w:gridCol w:w="254"/>
        <w:gridCol w:w="862"/>
        <w:gridCol w:w="203"/>
        <w:gridCol w:w="164"/>
        <w:gridCol w:w="254"/>
        <w:gridCol w:w="947"/>
        <w:gridCol w:w="181"/>
        <w:gridCol w:w="146"/>
        <w:gridCol w:w="244"/>
        <w:gridCol w:w="910"/>
        <w:gridCol w:w="196"/>
        <w:gridCol w:w="158"/>
        <w:gridCol w:w="244"/>
        <w:gridCol w:w="959"/>
        <w:gridCol w:w="232"/>
      </w:tblGrid>
      <w:tr>
        <w:trPr/>
        <w:tc>
          <w:tcPr>
            <w:tcW w:w="10205" w:type="dxa"/>
            <w:gridSpan w:val="17"/>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center"/>
              <w:rPr/>
            </w:pPr>
            <w:r>
              <w:rPr>
                <w:rStyle w:val="StrongEmphasis"/>
              </w:rPr>
              <w:t>PENNANTPARK INVESTMENT CORPORATION AND SUBSIDIARIES</w:t>
            </w:r>
            <w:r>
              <w:rPr/>
              <w:br/>
            </w:r>
            <w:r>
              <w:rPr>
                <w:rStyle w:val="StrongEmphasis"/>
              </w:rPr>
              <w:t>CONSOLIDATED STATEMENTS OF OPERATIONS</w:t>
            </w:r>
            <w:r>
              <w:rPr/>
              <w:br/>
              <w:t>(In thousands, except share data)</w:t>
              <w:br/>
              <w:t>(Unaudited)</w:t>
            </w:r>
          </w:p>
        </w:tc>
      </w:tr>
      <w:tr>
        <w:trPr/>
        <w:tc>
          <w:tcPr>
            <w:tcW w:w="10205" w:type="dxa"/>
            <w:gridSpan w:val="17"/>
            <w:tcBorders/>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84"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71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June 30,</w:t>
            </w:r>
          </w:p>
        </w:tc>
        <w:tc>
          <w:tcPr>
            <w:tcW w:w="232" w:type="dxa"/>
            <w:tcBorders/>
            <w:vAlign w:val="center"/>
          </w:tcPr>
          <w:p>
            <w:pPr>
              <w:pStyle w:val="TableContents"/>
              <w:bidi w:val="0"/>
              <w:spacing w:before="0" w:after="283"/>
              <w:jc w:val="center"/>
              <w:rPr/>
            </w:pPr>
            <w:r>
              <w:rPr/>
              <w:t> </w:t>
            </w:r>
          </w:p>
        </w:tc>
      </w:tr>
      <w:tr>
        <w:trPr/>
        <w:tc>
          <w:tcPr>
            <w:tcW w:w="410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6"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03" w:type="dxa"/>
            <w:tcBorders/>
            <w:vAlign w:val="center"/>
          </w:tcPr>
          <w:p>
            <w:pPr>
              <w:pStyle w:val="TableContents"/>
              <w:bidi w:val="0"/>
              <w:spacing w:before="0" w:after="283"/>
              <w:jc w:val="center"/>
              <w:rPr/>
            </w:pPr>
            <w:r>
              <w:rPr/>
              <w:t> </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01"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154"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96" w:type="dxa"/>
            <w:tcBorders/>
            <w:vAlign w:val="center"/>
          </w:tcPr>
          <w:p>
            <w:pPr>
              <w:pStyle w:val="TableContents"/>
              <w:bidi w:val="0"/>
              <w:spacing w:before="0" w:after="283"/>
              <w:jc w:val="center"/>
              <w:rPr/>
            </w:pPr>
            <w:r>
              <w:rPr/>
              <w:t> </w:t>
            </w:r>
          </w:p>
        </w:tc>
        <w:tc>
          <w:tcPr>
            <w:tcW w:w="15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203"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2024</w:t>
            </w:r>
          </w:p>
        </w:tc>
        <w:tc>
          <w:tcPr>
            <w:tcW w:w="232" w:type="dxa"/>
            <w:tcBorders/>
            <w:vAlign w:val="center"/>
          </w:tcPr>
          <w:p>
            <w:pPr>
              <w:pStyle w:val="TableContents"/>
              <w:bidi w:val="0"/>
              <w:spacing w:before="0" w:after="283"/>
              <w:jc w:val="center"/>
              <w:rPr/>
            </w:pPr>
            <w:r>
              <w:rPr/>
              <w:t> </w:t>
            </w:r>
          </w:p>
        </w:tc>
      </w:tr>
      <w:tr>
        <w:trPr/>
        <w:tc>
          <w:tcPr>
            <w:tcW w:w="4105" w:type="dxa"/>
            <w:tcBorders/>
            <w:vAlign w:val="center"/>
          </w:tcPr>
          <w:p>
            <w:pPr>
              <w:pStyle w:val="TableContents"/>
              <w:bidi w:val="0"/>
              <w:spacing w:before="0" w:after="283"/>
              <w:jc w:val="left"/>
              <w:rPr/>
            </w:pPr>
            <w:r>
              <w:rPr>
                <w:rStyle w:val="StrongEmphasis"/>
              </w:rPr>
              <w:t>Investment income:</w:t>
            </w:r>
          </w:p>
        </w:tc>
        <w:tc>
          <w:tcPr>
            <w:tcW w:w="146" w:type="dxa"/>
            <w:tcBorders/>
            <w:vAlign w:val="center"/>
          </w:tcPr>
          <w:p>
            <w:pPr>
              <w:pStyle w:val="TableContents"/>
              <w:bidi w:val="0"/>
              <w:spacing w:before="0" w:after="283"/>
              <w:jc w:val="left"/>
              <w:rPr/>
            </w:pPr>
            <w:r>
              <w:rPr/>
              <w:t> </w:t>
            </w:r>
          </w:p>
        </w:tc>
        <w:tc>
          <w:tcPr>
            <w:tcW w:w="1116"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20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5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20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5" w:type="dxa"/>
            <w:tcBorders/>
            <w:vAlign w:val="center"/>
          </w:tcPr>
          <w:p>
            <w:pPr>
              <w:pStyle w:val="TableContents"/>
              <w:bidi w:val="0"/>
              <w:spacing w:before="0" w:after="283"/>
              <w:jc w:val="left"/>
              <w:rPr/>
            </w:pPr>
            <w:r>
              <w:rPr/>
              <w:t>From non-controlled, non-affiliated investments:</w:t>
            </w:r>
          </w:p>
        </w:tc>
        <w:tc>
          <w:tcPr>
            <w:tcW w:w="146"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862" w:type="dxa"/>
            <w:tcBorders/>
            <w:vAlign w:val="center"/>
          </w:tcPr>
          <w:p>
            <w:pPr>
              <w:pStyle w:val="TableContents"/>
              <w:bidi w:val="0"/>
              <w:spacing w:before="0" w:after="283"/>
              <w:jc w:val="right"/>
              <w:rPr/>
            </w:pPr>
            <w:r>
              <w:rPr/>
              <w:t>12,659</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w:t>
            </w:r>
          </w:p>
        </w:tc>
        <w:tc>
          <w:tcPr>
            <w:tcW w:w="947" w:type="dxa"/>
            <w:tcBorders/>
            <w:vAlign w:val="center"/>
          </w:tcPr>
          <w:p>
            <w:pPr>
              <w:pStyle w:val="TableContents"/>
              <w:bidi w:val="0"/>
              <w:spacing w:before="0" w:after="283"/>
              <w:jc w:val="right"/>
              <w:rPr/>
            </w:pPr>
            <w:r>
              <w:rPr/>
              <w:t>17,383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46,411</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959" w:type="dxa"/>
            <w:tcBorders/>
            <w:vAlign w:val="center"/>
          </w:tcPr>
          <w:p>
            <w:pPr>
              <w:pStyle w:val="TableContents"/>
              <w:bidi w:val="0"/>
              <w:spacing w:before="0" w:after="283"/>
              <w:jc w:val="right"/>
              <w:rPr/>
            </w:pPr>
            <w:r>
              <w:rPr/>
              <w:t>61,353</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1,569</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1,904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4,554</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2,093</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560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977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1,566</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2,292</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617</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1,319</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2,595</w:t>
            </w:r>
          </w:p>
        </w:tc>
        <w:tc>
          <w:tcPr>
            <w:tcW w:w="232" w:type="dxa"/>
            <w:tcBorders/>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pPr>
            <w:r>
              <w:rPr/>
              <w:t>From non-controlled, affiliated investments:</w:t>
            </w:r>
          </w:p>
        </w:tc>
        <w:tc>
          <w:tcPr>
            <w:tcW w:w="146"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347</w:t>
            </w:r>
          </w:p>
        </w:tc>
        <w:tc>
          <w:tcPr>
            <w:tcW w:w="232" w:type="dxa"/>
            <w:tcBorders/>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pPr>
            <w:r>
              <w:rPr/>
              <w:t>From controlled, affiliated investments:</w:t>
            </w:r>
          </w:p>
        </w:tc>
        <w:tc>
          <w:tcPr>
            <w:tcW w:w="146"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8,217</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7,966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23,360</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19,389</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355</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995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1,178</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2,484</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5,578</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7,387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16,008</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16,765</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29,555</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37,004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94,423</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107,318</w:t>
            </w:r>
          </w:p>
        </w:tc>
        <w:tc>
          <w:tcPr>
            <w:tcW w:w="232" w:type="dxa"/>
            <w:tcBorders/>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pPr>
            <w:r>
              <w:rPr>
                <w:rStyle w:val="StrongEmphasis"/>
              </w:rPr>
              <w:t>Expenses:</w:t>
            </w:r>
          </w:p>
        </w:tc>
        <w:tc>
          <w:tcPr>
            <w:tcW w:w="146" w:type="dxa"/>
            <w:tcBorders/>
            <w:vAlign w:val="center"/>
          </w:tcPr>
          <w:p>
            <w:pPr>
              <w:pStyle w:val="TableContents"/>
              <w:bidi w:val="0"/>
              <w:spacing w:before="0" w:after="283"/>
              <w:jc w:val="left"/>
              <w:rPr/>
            </w:pPr>
            <w:r>
              <w:rPr/>
              <w:t> </w:t>
            </w:r>
          </w:p>
        </w:tc>
        <w:tc>
          <w:tcPr>
            <w:tcW w:w="1116"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20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5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20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9,196</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11,482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31,254</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32,906</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3,889</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4,216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12,174</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12,357</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Incentive fee</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2,502</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3,345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7,682</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9,684</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1,050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1,030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3,450</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3,623</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1,400</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1,189</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amendment costs, debt issuance costs and provision for taxes</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17,087</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20,523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55,960</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59,759</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6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670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4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1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1,920</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5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1,902</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Credit facility amendment and debt issuance costs</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324</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expenses</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17,757</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21,258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58,204</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61,661</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11,798</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15,746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36,219</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45,657</w:t>
            </w:r>
          </w:p>
        </w:tc>
        <w:tc>
          <w:tcPr>
            <w:tcW w:w="232" w:type="dxa"/>
            <w:tcBorders/>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pPr>
            <w:r>
              <w:rPr>
                <w:rStyle w:val="StrongEmphasis"/>
              </w:rPr>
              <w:t>Realized and unrealized gain (loss) on investments and debt:</w:t>
            </w:r>
          </w:p>
        </w:tc>
        <w:tc>
          <w:tcPr>
            <w:tcW w:w="146" w:type="dxa"/>
            <w:tcBorders/>
            <w:vAlign w:val="center"/>
          </w:tcPr>
          <w:p>
            <w:pPr>
              <w:pStyle w:val="TableContents"/>
              <w:bidi w:val="0"/>
              <w:spacing w:before="0" w:after="283"/>
              <w:jc w:val="left"/>
              <w:rPr/>
            </w:pPr>
            <w:r>
              <w:rPr/>
              <w:t> </w:t>
            </w:r>
          </w:p>
        </w:tc>
        <w:tc>
          <w:tcPr>
            <w:tcW w:w="1116"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20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5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20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5" w:type="dxa"/>
            <w:tcBorders/>
            <w:vAlign w:val="center"/>
          </w:tcPr>
          <w:p>
            <w:pPr>
              <w:pStyle w:val="TableContents"/>
              <w:bidi w:val="0"/>
              <w:spacing w:before="0" w:after="283"/>
              <w:jc w:val="left"/>
              <w:rPr/>
            </w:pPr>
            <w:r>
              <w:rPr/>
              <w:t>Net realized gain (loss) on investments and debt:</w:t>
            </w:r>
          </w:p>
        </w:tc>
        <w:tc>
          <w:tcPr>
            <w:tcW w:w="146"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20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203" w:type="dxa"/>
            <w:gridSpan w:val="2"/>
            <w:tcBorders/>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(475</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(1,590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(30,749</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(444</w:t>
            </w:r>
          </w:p>
        </w:tc>
        <w:tc>
          <w:tcPr>
            <w:tcW w:w="232" w:type="dxa"/>
            <w:tcBorders/>
            <w:vAlign w:val="center"/>
          </w:tcPr>
          <w:p>
            <w:pPr>
              <w:pStyle w:val="TableContents"/>
              <w:bidi w:val="0"/>
              <w:spacing w:before="0" w:after="283"/>
              <w:jc w:val="left"/>
              <w:rPr/>
            </w:pPr>
            <w:r>
              <w:rPr/>
              <w:t>)</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(5,305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(35,474</w:t>
            </w:r>
          </w:p>
        </w:tc>
        <w:tc>
          <w:tcPr>
            <w:tcW w:w="232" w:type="dxa"/>
            <w:tcBorders/>
            <w:vAlign w:val="center"/>
          </w:tcPr>
          <w:p>
            <w:pPr>
              <w:pStyle w:val="TableContents"/>
              <w:bidi w:val="0"/>
              <w:spacing w:before="0" w:after="283"/>
              <w:jc w:val="left"/>
              <w:rPr/>
            </w:pPr>
            <w:r>
              <w:rPr/>
              <w:t>)</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on investments</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(177</w:t>
            </w:r>
          </w:p>
        </w:tc>
        <w:tc>
          <w:tcPr>
            <w:tcW w:w="232" w:type="dxa"/>
            <w:tcBorders/>
            <w:vAlign w:val="center"/>
          </w:tcPr>
          <w:p>
            <w:pPr>
              <w:pStyle w:val="TableContents"/>
              <w:bidi w:val="0"/>
              <w:spacing w:before="0" w:after="283"/>
              <w:jc w:val="left"/>
              <w:rPr/>
            </w:pPr>
            <w:r>
              <w:rPr/>
              <w:t>)</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 and debt</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(476</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(6,895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(30,799</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(36,095</w:t>
            </w:r>
          </w:p>
        </w:tc>
        <w:tc>
          <w:tcPr>
            <w:tcW w:w="232" w:type="dxa"/>
            <w:tcBorders/>
            <w:vAlign w:val="center"/>
          </w:tcPr>
          <w:p>
            <w:pPr>
              <w:pStyle w:val="TableContents"/>
              <w:bidi w:val="0"/>
              <w:spacing w:before="0" w:after="283"/>
              <w:jc w:val="left"/>
              <w:rPr/>
            </w:pPr>
            <w:r>
              <w:rPr/>
              <w:t>)</w:t>
            </w:r>
          </w:p>
        </w:tc>
      </w:tr>
      <w:tr>
        <w:trPr/>
        <w:tc>
          <w:tcPr>
            <w:tcW w:w="4105" w:type="dxa"/>
            <w:tcBorders/>
            <w:vAlign w:val="center"/>
          </w:tcPr>
          <w:p>
            <w:pPr>
              <w:pStyle w:val="TableContents"/>
              <w:bidi w:val="0"/>
              <w:spacing w:before="0" w:after="283"/>
              <w:jc w:val="left"/>
              <w:rPr/>
            </w:pPr>
            <w:r>
              <w:rPr/>
              <w:t>Net change in unrealized appreciation (depreciation) on:</w:t>
            </w:r>
          </w:p>
        </w:tc>
        <w:tc>
          <w:tcPr>
            <w:tcW w:w="146" w:type="dxa"/>
            <w:tcBorders/>
            <w:vAlign w:val="center"/>
          </w:tcPr>
          <w:p>
            <w:pPr>
              <w:pStyle w:val="TableContents"/>
              <w:bidi w:val="0"/>
              <w:spacing w:before="0" w:after="283"/>
              <w:jc w:val="left"/>
              <w:rPr/>
            </w:pPr>
            <w:r>
              <w:rPr/>
              <w:t> </w:t>
            </w:r>
          </w:p>
        </w:tc>
        <w:tc>
          <w:tcPr>
            <w:tcW w:w="1116"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right"/>
              <w:rPr/>
            </w:pPr>
            <w:r>
              <w:rPr/>
              <w:t> </w:t>
            </w:r>
          </w:p>
        </w:tc>
        <w:tc>
          <w:tcPr>
            <w:tcW w:w="164" w:type="dxa"/>
            <w:tcBorders/>
            <w:vAlign w:val="center"/>
          </w:tcPr>
          <w:p>
            <w:pPr>
              <w:pStyle w:val="TableContents"/>
              <w:bidi w:val="0"/>
              <w:spacing w:before="0" w:after="283"/>
              <w:jc w:val="left"/>
              <w:rPr/>
            </w:pPr>
            <w:r>
              <w:rPr/>
              <w:t> </w:t>
            </w:r>
          </w:p>
        </w:tc>
        <w:tc>
          <w:tcPr>
            <w:tcW w:w="120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54"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1203"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32" w:type="dxa"/>
            <w:tcBorders/>
            <w:vAlign w:val="center"/>
          </w:tcPr>
          <w:p>
            <w:pPr>
              <w:pStyle w:val="TableContents"/>
              <w:bidi w:val="0"/>
              <w:spacing w:before="0" w:after="283"/>
              <w:jc w:val="righ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(547</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(1,614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12,594</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(15,412</w:t>
            </w:r>
          </w:p>
        </w:tc>
        <w:tc>
          <w:tcPr>
            <w:tcW w:w="232" w:type="dxa"/>
            <w:tcBorders/>
            <w:vAlign w:val="center"/>
          </w:tcPr>
          <w:p>
            <w:pPr>
              <w:pStyle w:val="TableContents"/>
              <w:bidi w:val="0"/>
              <w:spacing w:before="0" w:after="283"/>
              <w:jc w:val="left"/>
              <w:rPr/>
            </w:pPr>
            <w:r>
              <w:rPr/>
              <w:t>)</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347</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(3,483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16,699</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38,592</w:t>
            </w:r>
          </w:p>
        </w:tc>
        <w:tc>
          <w:tcPr>
            <w:tcW w:w="232" w:type="dxa"/>
            <w:tcBorders/>
            <w:vAlign w:val="center"/>
          </w:tcPr>
          <w:p>
            <w:pPr>
              <w:pStyle w:val="TableContents"/>
              <w:bidi w:val="0"/>
              <w:spacing w:before="0" w:after="283"/>
              <w:jc w:val="left"/>
              <w:rPr/>
            </w:pPr>
            <w:r>
              <w:rPr/>
              <w:t> </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146"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(680</w:t>
            </w:r>
          </w:p>
        </w:tc>
        <w:tc>
          <w:tcPr>
            <w:tcW w:w="232" w:type="dxa"/>
            <w:tcBorders/>
            <w:vAlign w:val="center"/>
          </w:tcPr>
          <w:p>
            <w:pPr>
              <w:pStyle w:val="TableContents"/>
              <w:bidi w:val="0"/>
              <w:spacing w:before="0" w:after="283"/>
              <w:jc w:val="left"/>
              <w:rPr/>
            </w:pPr>
            <w:r>
              <w:rPr/>
              <w:t>)</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146"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(2,972</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(1,023</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 </w:t>
            </w:r>
          </w:p>
        </w:tc>
        <w:tc>
          <w:tcPr>
            <w:tcW w:w="24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(1,578</w:t>
            </w:r>
          </w:p>
        </w:tc>
        <w:tc>
          <w:tcPr>
            <w:tcW w:w="232" w:type="dxa"/>
            <w:tcBorders/>
            <w:vAlign w:val="center"/>
          </w:tcPr>
          <w:p>
            <w:pPr>
              <w:pStyle w:val="TableContents"/>
              <w:bidi w:val="0"/>
              <w:spacing w:before="0" w:after="283"/>
              <w:jc w:val="left"/>
              <w:rPr/>
            </w:pPr>
            <w:r>
              <w:rPr/>
              <w:t>)</w:t>
            </w:r>
          </w:p>
        </w:tc>
      </w:tr>
      <w:tr>
        <w:trPr/>
        <w:tc>
          <w:tcPr>
            <w:tcW w:w="4105"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(3,172</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(5,105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1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28,270</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5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20,922</w:t>
            </w:r>
          </w:p>
        </w:tc>
        <w:tc>
          <w:tcPr>
            <w:tcW w:w="232" w:type="dxa"/>
            <w:tcBorders/>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pPr>
            <w:r>
              <w:rPr>
                <w:rStyle w:val="StrongEmphasis"/>
              </w:rPr>
              <w:t>Net realized and unrealized gain (loss) from investments and debt</w:t>
            </w:r>
          </w:p>
        </w:tc>
        <w:tc>
          <w:tcPr>
            <w:tcW w:w="146" w:type="dxa"/>
            <w:tcBorders/>
            <w:vAlign w:val="center"/>
          </w:tcPr>
          <w:p>
            <w:pPr>
              <w:pStyle w:val="TableContents"/>
              <w:bidi w:val="0"/>
              <w:spacing w:before="0" w:after="283"/>
              <w:jc w:val="left"/>
              <w:rPr/>
            </w:pPr>
            <w:r>
              <w:rPr/>
              <w:t> </w:t>
            </w:r>
          </w:p>
        </w:tc>
        <w:tc>
          <w:tcPr>
            <w:tcW w:w="2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8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(3,648</w:t>
            </w:r>
          </w:p>
        </w:tc>
        <w:tc>
          <w:tcPr>
            <w:tcW w:w="203"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 </w:t>
            </w:r>
          </w:p>
        </w:tc>
        <w:tc>
          <w:tcPr>
            <w:tcW w:w="25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9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(12,000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4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91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(2,529</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 </w:t>
            </w:r>
          </w:p>
        </w:tc>
        <w:tc>
          <w:tcPr>
            <w:tcW w:w="24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95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(15,173</w:t>
            </w:r>
          </w:p>
        </w:tc>
        <w:tc>
          <w:tcPr>
            <w:tcW w:w="232" w:type="dxa"/>
            <w:tcBorders/>
            <w:vAlign w:val="center"/>
          </w:tcPr>
          <w:p>
            <w:pPr>
              <w:pStyle w:val="TableContents"/>
              <w:bidi w:val="0"/>
              <w:spacing w:before="0" w:after="283"/>
              <w:jc w:val="left"/>
              <w:rPr/>
            </w:pPr>
            <w:r>
              <w:rPr/>
              <w:t>)</w:t>
            </w:r>
          </w:p>
        </w:tc>
      </w:tr>
      <w:tr>
        <w:trPr/>
        <w:tc>
          <w:tcPr>
            <w:tcW w:w="4105" w:type="dxa"/>
            <w:tcBorders/>
            <w:vAlign w:val="center"/>
          </w:tcPr>
          <w:p>
            <w:pPr>
              <w:pStyle w:val="TableContents"/>
              <w:bidi w:val="0"/>
              <w:spacing w:before="0" w:after="283"/>
              <w:jc w:val="left"/>
              <w:rPr/>
            </w:pPr>
            <w:r>
              <w:rPr>
                <w:rStyle w:val="StrongEmphasis"/>
              </w:rPr>
              <w:t>Net increase (decrease) in net assets resulting from operations</w:t>
            </w:r>
          </w:p>
        </w:tc>
        <w:tc>
          <w:tcPr>
            <w:tcW w:w="146"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6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8,150</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3,746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1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33,690</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5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30,484</w:t>
            </w:r>
          </w:p>
        </w:tc>
        <w:tc>
          <w:tcPr>
            <w:tcW w:w="232" w:type="dxa"/>
            <w:tcBorders/>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146"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6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0.12</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1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0.52</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5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0.47</w:t>
            </w:r>
          </w:p>
        </w:tc>
        <w:tc>
          <w:tcPr>
            <w:tcW w:w="232" w:type="dxa"/>
            <w:tcBorders/>
            <w:vAlign w:val="center"/>
          </w:tcPr>
          <w:p>
            <w:pPr>
              <w:pStyle w:val="TableContents"/>
              <w:bidi w:val="0"/>
              <w:spacing w:before="0" w:after="283"/>
              <w:jc w:val="left"/>
              <w:rPr/>
            </w:pPr>
            <w:r>
              <w:rPr/>
              <w:t> </w:t>
            </w:r>
          </w:p>
        </w:tc>
      </w:tr>
      <w:tr>
        <w:trPr/>
        <w:tc>
          <w:tcPr>
            <w:tcW w:w="4105" w:type="dxa"/>
            <w:tcBorders/>
            <w:vAlign w:val="center"/>
          </w:tcPr>
          <w:p>
            <w:pPr>
              <w:pStyle w:val="TableContents"/>
              <w:bidi w:val="0"/>
              <w:spacing w:before="0" w:after="283"/>
              <w:jc w:val="left"/>
              <w:rPr/>
            </w:pPr>
            <w:r>
              <w:rPr/>
              <w:t>Net investment income per common share</w:t>
            </w:r>
          </w:p>
        </w:tc>
        <w:tc>
          <w:tcPr>
            <w:tcW w:w="146"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6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0.18</w:t>
            </w:r>
          </w:p>
        </w:tc>
        <w:tc>
          <w:tcPr>
            <w:tcW w:w="203"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25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4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1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0.55</w:t>
            </w:r>
          </w:p>
        </w:tc>
        <w:tc>
          <w:tcPr>
            <w:tcW w:w="196"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44"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95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0.70</w:t>
            </w:r>
          </w:p>
        </w:tc>
        <w:tc>
          <w:tcPr>
            <w:tcW w:w="232"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br/>
        <w:t>ABOUT PENNANTPARK INVESTMENT CORPORATION</w:t>
      </w:r>
    </w:p>
    <w:p>
      <w:pPr>
        <w:pStyle w:val="TextBody"/>
        <w:bidi w:val="0"/>
        <w:jc w:val="both"/>
        <w:rPr/>
      </w:pPr>
      <w:r>
        <w:rPr/>
        <w:t>PennantPark Investment Corporation, or the Company, is a business development company that invests primarily in U.S. middle-market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rStyle w:val="StrongEmphasis"/>
        </w:rPr>
        <w:t xml:space="preserve">ABOUT PENNANTPARK INVESTMENT ADVISERS, LLC </w:t>
      </w:r>
    </w:p>
    <w:p>
      <w:pPr>
        <w:pStyle w:val="TextBody"/>
        <w:bidi w:val="0"/>
        <w:jc w:val="both"/>
        <w:rPr/>
      </w:pPr>
      <w:r>
        <w:rPr/>
        <w:t>PennantPark Investment Advisers, LLC is a leading middle market credit platform, managing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br/>
      </w:r>
      <w:r>
        <w:rPr>
          <w:rStyle w:val="StrongEmphasis"/>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4562" w:type="dxa"/>
        <w:jc w:val="center"/>
        <w:tblInd w:w="0" w:type="dxa"/>
        <w:tblLayout w:type="fixed"/>
        <w:tblCellMar>
          <w:top w:w="28" w:type="dxa"/>
          <w:left w:w="28" w:type="dxa"/>
          <w:bottom w:w="28" w:type="dxa"/>
          <w:right w:w="28" w:type="dxa"/>
        </w:tblCellMar>
      </w:tblPr>
      <w:tblGrid>
        <w:gridCol w:w="916"/>
        <w:gridCol w:w="3646"/>
      </w:tblGrid>
      <w:tr>
        <w:trPr/>
        <w:tc>
          <w:tcPr>
            <w:tcW w:w="916" w:type="dxa"/>
            <w:tcBorders/>
            <w:vAlign w:val="center"/>
          </w:tcPr>
          <w:p>
            <w:pPr>
              <w:pStyle w:val="TableContents"/>
              <w:bidi w:val="0"/>
              <w:spacing w:before="0" w:after="283"/>
              <w:jc w:val="left"/>
              <w:rPr/>
            </w:pPr>
            <w:r>
              <w:rPr/>
              <w:t>Contact:</w:t>
            </w:r>
          </w:p>
        </w:tc>
        <w:tc>
          <w:tcPr>
            <w:tcW w:w="3646" w:type="dxa"/>
            <w:tcBorders/>
            <w:vAlign w:val="center"/>
          </w:tcPr>
          <w:p>
            <w:pPr>
              <w:pStyle w:val="TableContents"/>
              <w:bidi w:val="0"/>
              <w:spacing w:before="0" w:after="283"/>
              <w:jc w:val="left"/>
              <w:rPr/>
            </w:pPr>
            <w:r>
              <w:rPr/>
              <w:t>Richard T. Allorto, Jr.</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PennantPark Investment Corporation</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(212) 905-1000</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u w:val="single"/>
              </w:rPr>
            </w:pPr>
            <w:r>
              <w:rPr>
                <w:u w:val="single"/>
              </w:rPr>
              <w:t>www.pennantpark.com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4733</Words>
  <Characters>26598</Characters>
  <CharactersWithSpaces>31677</CharactersWithSpaces>
  <Paragraphs>1349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