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06, 2008</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95"/>
              </w:rPr>
              <w:t>Maryland</w:t>
            </w:r>
          </w:p>
        </w:tc>
        <w:tc>
          <w:tcPr>
            <w:tcW w:w="2640" w:type="dxa"/>
            <w:vAlign w:val="bottom"/>
          </w:tcPr>
          <w:p>
            <w:pPr>
              <w:jc w:val="center"/>
              <w:ind w:right="3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c>
          <w:tcPr>
            <w:tcW w:w="0" w:type="dxa"/>
            <w:vAlign w:val="bottom"/>
          </w:tcPr>
          <w:p>
            <w:pPr>
              <w:spacing w:after="0"/>
              <w:rPr>
                <w:sz w:val="1"/>
                <w:szCs w:val="1"/>
                <w:color w:val="auto"/>
              </w:rPr>
            </w:pPr>
          </w:p>
        </w:tc>
      </w:tr>
      <w:tr>
        <w:trPr>
          <w:trHeight w:val="243"/>
        </w:trPr>
        <w:tc>
          <w:tcPr>
            <w:tcW w:w="432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90"/>
              </w:rPr>
              <w:t>(State or other jurisdiction</w:t>
            </w:r>
          </w:p>
        </w:tc>
        <w:tc>
          <w:tcPr>
            <w:tcW w:w="264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4"/>
        </w:trPr>
        <w:tc>
          <w:tcPr>
            <w:tcW w:w="4320" w:type="dxa"/>
            <w:vAlign w:val="bottom"/>
          </w:tcPr>
          <w:p>
            <w:pPr>
              <w:jc w:val="center"/>
              <w:ind w:right="172"/>
              <w:spacing w:after="0"/>
              <w:rPr>
                <w:sz w:val="20"/>
                <w:szCs w:val="20"/>
                <w:color w:val="auto"/>
              </w:rPr>
            </w:pPr>
            <w:r>
              <w:rPr>
                <w:rFonts w:ascii="Arial" w:cs="Arial" w:eastAsia="Arial" w:hAnsi="Arial"/>
                <w:sz w:val="22"/>
                <w:szCs w:val="22"/>
                <w:color w:val="auto"/>
                <w:w w:val="93"/>
              </w:rPr>
              <w:t>of incorporation)</w:t>
            </w:r>
          </w:p>
        </w:tc>
        <w:tc>
          <w:tcPr>
            <w:tcW w:w="2640" w:type="dxa"/>
            <w:vAlign w:val="bottom"/>
          </w:tcPr>
          <w:p>
            <w:pPr>
              <w:jc w:val="center"/>
              <w:ind w:right="3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c>
          <w:tcPr>
            <w:tcW w:w="0" w:type="dxa"/>
            <w:vAlign w:val="bottom"/>
          </w:tcPr>
          <w:p>
            <w:pPr>
              <w:spacing w:after="0"/>
              <w:rPr>
                <w:sz w:val="1"/>
                <w:szCs w:val="1"/>
                <w:color w:val="auto"/>
              </w:rPr>
            </w:pPr>
          </w:p>
        </w:tc>
      </w:tr>
      <w:tr>
        <w:trPr>
          <w:trHeight w:val="449"/>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88"/>
              </w:rPr>
              <w:t>590 Madison Avenue, 15th Floor, New York,</w:t>
            </w:r>
          </w:p>
        </w:tc>
        <w:tc>
          <w:tcPr>
            <w:tcW w:w="2640" w:type="dxa"/>
            <w:vAlign w:val="bottom"/>
          </w:tcPr>
          <w:p>
            <w:pPr>
              <w:spacing w:after="0"/>
              <w:rPr>
                <w:sz w:val="24"/>
                <w:szCs w:val="24"/>
                <w:color w:val="auto"/>
              </w:rPr>
            </w:pP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b w:val="1"/>
                <w:bCs w:val="1"/>
                <w:color w:val="auto"/>
              </w:rPr>
              <w:t>10022</w:t>
            </w:r>
          </w:p>
        </w:tc>
        <w:tc>
          <w:tcPr>
            <w:tcW w:w="0" w:type="dxa"/>
            <w:vAlign w:val="bottom"/>
          </w:tcPr>
          <w:p>
            <w:pPr>
              <w:spacing w:after="0"/>
              <w:rPr>
                <w:sz w:val="1"/>
                <w:szCs w:val="1"/>
                <w:color w:val="auto"/>
              </w:rPr>
            </w:pPr>
          </w:p>
        </w:tc>
      </w:tr>
      <w:tr>
        <w:trPr>
          <w:trHeight w:val="127"/>
        </w:trPr>
        <w:tc>
          <w:tcPr>
            <w:tcW w:w="4320" w:type="dxa"/>
            <w:vAlign w:val="bottom"/>
            <w:vMerge w:val="restart"/>
          </w:tcPr>
          <w:p>
            <w:pPr>
              <w:jc w:val="center"/>
              <w:ind w:right="172"/>
              <w:spacing w:after="0" w:line="249" w:lineRule="exact"/>
              <w:rPr>
                <w:sz w:val="20"/>
                <w:szCs w:val="20"/>
                <w:color w:val="auto"/>
              </w:rPr>
            </w:pPr>
            <w:r>
              <w:rPr>
                <w:rFonts w:ascii="Arial" w:cs="Arial" w:eastAsia="Arial" w:hAnsi="Arial"/>
                <w:sz w:val="22"/>
                <w:szCs w:val="22"/>
                <w:b w:val="1"/>
                <w:bCs w:val="1"/>
                <w:color w:val="auto"/>
                <w:w w:val="91"/>
              </w:rPr>
              <w:t>New York</w:t>
            </w:r>
          </w:p>
        </w:tc>
        <w:tc>
          <w:tcPr>
            <w:tcW w:w="264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vMerge w:val="restart"/>
          </w:tcPr>
          <w:p>
            <w:pPr>
              <w:jc w:val="center"/>
              <w:ind w:left="69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4320" w:type="dxa"/>
            <w:vAlign w:val="bottom"/>
            <w:vMerge w:val="restart"/>
          </w:tcPr>
          <w:p>
            <w:pPr>
              <w:jc w:val="center"/>
              <w:ind w:right="192"/>
              <w:spacing w:after="0"/>
              <w:rPr>
                <w:sz w:val="20"/>
                <w:szCs w:val="20"/>
                <w:color w:val="auto"/>
              </w:rPr>
            </w:pPr>
            <w:r>
              <w:rPr>
                <w:rFonts w:ascii="Arial" w:cs="Arial" w:eastAsia="Arial" w:hAnsi="Arial"/>
                <w:sz w:val="22"/>
                <w:szCs w:val="22"/>
                <w:color w:val="auto"/>
                <w:w w:val="90"/>
              </w:rPr>
              <w:t>(Address of principal executive offices)</w:t>
            </w:r>
          </w:p>
        </w:tc>
        <w:tc>
          <w:tcPr>
            <w:tcW w:w="2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60"/>
        <w:spacing w:after="0" w:line="250" w:lineRule="auto"/>
        <w:rPr>
          <w:sz w:val="20"/>
          <w:szCs w:val="20"/>
          <w:color w:val="auto"/>
        </w:rPr>
      </w:pPr>
      <w:r>
        <w:rPr>
          <w:rFonts w:ascii="Arial" w:cs="Arial" w:eastAsia="Arial" w:hAnsi="Arial"/>
          <w:sz w:val="22"/>
          <w:szCs w:val="22"/>
          <w:color w:val="auto"/>
        </w:rPr>
        <w:t>On June 6, 2008, PennantPark Investment Corporation issued a press release announcing the declaration of its third fiscal quarter distribution. A copy of the press release is furnished as Exhibit 99.1 to this form 8-K.</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June 06,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4920" w:val="left"/>
        </w:tabs>
        <w:rPr>
          <w:sz w:val="20"/>
          <w:szCs w:val="20"/>
          <w:color w:val="auto"/>
        </w:rPr>
      </w:pPr>
      <w:r>
        <w:rPr>
          <w:rFonts w:ascii="Arial" w:cs="Arial" w:eastAsia="Arial" w:hAnsi="Arial"/>
          <w:sz w:val="22"/>
          <w:szCs w:val="22"/>
          <w:color w:val="auto"/>
        </w:rPr>
        <w:t>Dated: June 06, 2008</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80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106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100" w:type="dxa"/>
            <w:vAlign w:val="bottom"/>
            <w:gridSpan w:val="5"/>
          </w:tcPr>
          <w:p>
            <w:pPr>
              <w:ind w:left="106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gridSpan w:val="5"/>
          </w:tcPr>
          <w:p>
            <w:pPr>
              <w:ind w:left="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jc w:val="center"/>
              <w:ind w:left="19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600" w:type="dxa"/>
            <w:vAlign w:val="bottom"/>
            <w:gridSpan w:val="3"/>
            <w:vMerge w:val="restart"/>
          </w:tcPr>
          <w:p>
            <w:pPr>
              <w:jc w:val="center"/>
              <w:ind w:right="2040"/>
              <w:spacing w:after="0"/>
              <w:rPr>
                <w:sz w:val="20"/>
                <w:szCs w:val="20"/>
                <w:color w:val="auto"/>
              </w:rPr>
            </w:pPr>
            <w:r>
              <w:rPr>
                <w:rFonts w:ascii="Arial" w:cs="Arial" w:eastAsia="Arial" w:hAnsi="Arial"/>
                <w:sz w:val="22"/>
                <w:szCs w:val="22"/>
                <w:color w:val="auto"/>
                <w:w w:val="86"/>
              </w:rPr>
              <w:t>June 06, 2008</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$0.22 per Share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NEW YORK, NY -- 06/06/2008 -- PennantPark Investment Corporation (the "Company") (NASDAQ: PNNT) declares its third</w:t>
      </w:r>
    </w:p>
    <w:p>
      <w:pPr>
        <w:spacing w:after="0" w:line="43" w:lineRule="exact"/>
        <w:rPr>
          <w:sz w:val="20"/>
          <w:szCs w:val="20"/>
          <w:color w:val="auto"/>
        </w:rPr>
      </w:pPr>
    </w:p>
    <w:p>
      <w:pPr>
        <w:jc w:val="center"/>
        <w:ind w:left="360" w:right="140"/>
        <w:spacing w:after="0" w:line="233" w:lineRule="auto"/>
        <w:rPr>
          <w:sz w:val="20"/>
          <w:szCs w:val="20"/>
          <w:color w:val="auto"/>
        </w:rPr>
      </w:pPr>
      <w:r>
        <w:rPr>
          <w:rFonts w:ascii="Arial" w:cs="Arial" w:eastAsia="Arial" w:hAnsi="Arial"/>
          <w:sz w:val="22"/>
          <w:szCs w:val="22"/>
          <w:color w:val="auto"/>
        </w:rPr>
        <w:t>fiscal quarter 2008 distribution of $0.22 per share, payable on June 30, 2008 to stockholders of record as of June 23, 2008. Distributions are being paid from taxable earnings and from other sources, including return of capital, whose specific tax characteristics will be reported to stockholders on Form 1099 after the end of the calendar year. The Company is a business development company that invests primarily in U.S. middle-market companies in the form of mezzanine loans, senior secured loans and equity.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49" w:lineRule="auto"/>
        <w:rPr>
          <w:sz w:val="20"/>
          <w:szCs w:val="20"/>
          <w:color w:val="auto"/>
        </w:rPr>
      </w:pPr>
      <w:r>
        <w:rPr>
          <w:rFonts w:ascii="Arial" w:cs="Arial" w:eastAsia="Arial" w:hAnsi="Arial"/>
          <w:sz w:val="21"/>
          <w:szCs w:val="21"/>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9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For More Information 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00"/>
      </w:cols>
      <w:pgMar w:left="34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2020-05-05T15:06:48Z</dcterms:created>
  <dcterms:modified xsi:type="dcterms:W3CDTF">2020-05-05T15:06:48Z</dcterms:modified>
</cp:coreProperties>
</file>