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14, 2021, PennantPark Investment Corporation issued a press release announcing that it has priced an underwritten public offering of $165 million in aggregate principal amount of its 4.00% unsecured notes due 2026. A copy of the press release is furnished as Exhibit 99.1 to this Current Report on Form 8-K.</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Investment Corporation dated October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20" w:type="dxa"/>
            <w:vAlign w:val="bottom"/>
            <w:gridSpan w:val="3"/>
          </w:tcPr>
          <w:p>
            <w:pPr>
              <w:ind w:left="18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October 14, 2021</w:t>
            </w:r>
          </w:p>
        </w:tc>
        <w:tc>
          <w:tcPr>
            <w:tcW w:w="4820" w:type="dxa"/>
            <w:vAlign w:val="bottom"/>
            <w:gridSpan w:val="3"/>
          </w:tcPr>
          <w:p>
            <w:pPr>
              <w:ind w:left="1880"/>
              <w:spacing w:after="0"/>
              <w:rPr>
                <w:sz w:val="20"/>
                <w:szCs w:val="20"/>
                <w:color w:val="auto"/>
              </w:rPr>
            </w:pPr>
            <w:r>
              <w:rPr>
                <w:rFonts w:ascii="Arial" w:cs="Arial" w:eastAsia="Arial" w:hAnsi="Arial"/>
                <w:sz w:val="18"/>
                <w:szCs w:val="18"/>
                <w:color w:val="auto"/>
              </w:rPr>
              <w:t>By: /s/ Richard Cheung</w:t>
            </w: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Investment Corporation Prices Public Offering of $165 Million 4.00% Unsecured Notes Due 2026</w:t>
      </w:r>
    </w:p>
    <w:p>
      <w:pPr>
        <w:spacing w:after="0" w:line="224"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 xml:space="preserve">NEW YORK, Oct. 14, 2021 (GLOBE NEWSWIRE) -- PennantPark Investment Corporation (the “Company”) (NASDAQ: PNNT) announced that it has priced an underwritten public offering of $165 million in aggregate principal amount of its 4.00% unsecured notes due 2026 (the “Notes”). The Notes will mature on November 1, 2026 and may be redeemed in whole or in part at the Company’s option at any time at par plus a “make-whole” premium, if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Notes may be redeemed at par three months prior to their maturity. The Notes will bear interest at a rate of 4.00% per year payable semi-annually on May 1 and November 1 of each year, beginning May 1, 2022.</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offering is expected to close on October 21, 2021, subject to customary closing conditions.</w:t>
      </w:r>
    </w:p>
    <w:p>
      <w:pPr>
        <w:spacing w:after="0" w:line="206" w:lineRule="exact"/>
        <w:rPr>
          <w:sz w:val="20"/>
          <w:szCs w:val="20"/>
          <w:color w:val="auto"/>
        </w:rPr>
      </w:pPr>
    </w:p>
    <w:p>
      <w:pPr>
        <w:ind w:right="580"/>
        <w:spacing w:after="0" w:line="297" w:lineRule="auto"/>
        <w:rPr>
          <w:sz w:val="20"/>
          <w:szCs w:val="20"/>
          <w:color w:val="auto"/>
        </w:rPr>
      </w:pPr>
      <w:r>
        <w:rPr>
          <w:rFonts w:ascii="Arial" w:cs="Arial" w:eastAsia="Arial" w:hAnsi="Arial"/>
          <w:sz w:val="19"/>
          <w:szCs w:val="19"/>
          <w:color w:val="auto"/>
        </w:rPr>
        <w:t xml:space="preserve">Raymond James &amp; Associates, Inc., Keefe, Bruyette &amp; Woods, </w:t>
      </w:r>
      <w:r>
        <w:rPr>
          <w:rFonts w:ascii="Arial" w:cs="Arial" w:eastAsia="Arial" w:hAnsi="Arial"/>
          <w:sz w:val="19"/>
          <w:szCs w:val="19"/>
          <w:i w:val="1"/>
          <w:iCs w:val="1"/>
          <w:color w:val="auto"/>
        </w:rPr>
        <w:t>A Stifel Company</w:t>
      </w:r>
      <w:r>
        <w:rPr>
          <w:rFonts w:ascii="Arial" w:cs="Arial" w:eastAsia="Arial" w:hAnsi="Arial"/>
          <w:sz w:val="19"/>
          <w:szCs w:val="19"/>
          <w:color w:val="auto"/>
        </w:rPr>
        <w:t>, Truist Securities, Inc. and J.P. Morgan Securities LLC are acting as joint book-running managers for this offering. Compass Point Research &amp; Trading, LLC, JMP Securities LLC, Ladenburg Thalmann &amp; Co. Inc. and Oppenheimer &amp; Co. Inc. are acting as co-managers for this offering.</w:t>
      </w:r>
    </w:p>
    <w:p>
      <w:pPr>
        <w:spacing w:after="0" w:line="134"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The Company expects to use a portion of the net proceeds from this offering to redeem all of the aggregate principal amount outstanding under its 5.50% Notes due 2024 and the remaining net proceeds to invest in new or existing portfolio companies or for other general corporate or strategic purposes, including repaying amounts outstanding under its other existing indebtedness.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06"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b w:val="1"/>
          <w:bCs w:val="1"/>
          <w:color w:val="auto"/>
        </w:rPr>
        <w:t>Investors are advised to carefully consider the investment objectives, risks, charges and expenses of the Company before investing. The pricing term sheet, dated October 14, 2021, the preliminary prospectus supplement, dated October 14, 2021, and the accompanying prospectus, dated January 30, 2020, each of which has been filed with the Securities and Exchange Commission (the “SEC”), contain this and other information about the Company and should be read carefully before investing.</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the Company and are not soliciting an offer to buy such securities in any state or jurisdiction where such offer and sale is not permitted.</w:t>
      </w:r>
    </w:p>
    <w:p>
      <w:pPr>
        <w:spacing w:after="0" w:line="136" w:lineRule="exact"/>
        <w:rPr>
          <w:sz w:val="20"/>
          <w:szCs w:val="20"/>
          <w:color w:val="auto"/>
        </w:rPr>
      </w:pPr>
    </w:p>
    <w:p>
      <w:pPr>
        <w:ind w:right="380"/>
        <w:spacing w:after="0" w:line="334" w:lineRule="auto"/>
        <w:rPr>
          <w:sz w:val="20"/>
          <w:szCs w:val="20"/>
          <w:color w:val="auto"/>
        </w:rPr>
      </w:pPr>
      <w:r>
        <w:rPr>
          <w:rFonts w:ascii="Arial" w:cs="Arial" w:eastAsia="Arial" w:hAnsi="Arial"/>
          <w:sz w:val="19"/>
          <w:szCs w:val="19"/>
          <w:b w:val="1"/>
          <w:bCs w:val="1"/>
          <w:color w:val="auto"/>
        </w:rPr>
        <w:t>The Company’s shelf registration statement is on file and has been declared effective by the SEC. The offering may be made only by means of a preliminary prospectus supplement and an accompanying prospectus.</w:t>
      </w:r>
    </w:p>
    <w:p>
      <w:pPr>
        <w:spacing w:after="0" w:line="94"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b w:val="1"/>
          <w:bCs w:val="1"/>
          <w:color w:val="auto"/>
        </w:rPr>
        <w:t xml:space="preserve">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website at </w:t>
      </w:r>
      <w:r>
        <w:rPr>
          <w:rFonts w:ascii="Arial" w:cs="Arial" w:eastAsia="Arial" w:hAnsi="Arial"/>
          <w:sz w:val="19"/>
          <w:szCs w:val="19"/>
          <w:b w:val="1"/>
          <w:bCs w:val="1"/>
          <w:i w:val="1"/>
          <w:iCs w:val="1"/>
          <w:color w:val="auto"/>
        </w:rPr>
        <w:t>www.sec.gov</w:t>
      </w:r>
      <w:r>
        <w:rPr>
          <w:rFonts w:ascii="Arial" w:cs="Arial" w:eastAsia="Arial" w:hAnsi="Arial"/>
          <w:sz w:val="19"/>
          <w:szCs w:val="19"/>
          <w:b w:val="1"/>
          <w:bCs w:val="1"/>
          <w:color w:val="auto"/>
        </w:rPr>
        <w:t xml:space="preserve">. </w:t>
      </w:r>
      <w:r>
        <w:rPr>
          <w:rFonts w:ascii="Arial" w:cs="Arial" w:eastAsia="Arial" w:hAnsi="Arial"/>
          <w:sz w:val="19"/>
          <w:szCs w:val="19"/>
          <w:color w:val="auto"/>
        </w:rPr>
        <w:t>Alternatively, you</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obtain copies of the preliminary prospectus supplement and the accompanying prospectus from: Raymond James &amp; Associates, Inc., 880 Carillon Parkway, St. Petersburg, FL 33716, email: prospectus@raymondjames.com, telephone: 800-248-8863; Keefe, Bruyette &amp; Woods, </w:t>
      </w:r>
      <w:r>
        <w:rPr>
          <w:rFonts w:ascii="Arial" w:cs="Arial" w:eastAsia="Arial" w:hAnsi="Arial"/>
          <w:sz w:val="19"/>
          <w:szCs w:val="19"/>
          <w:i w:val="1"/>
          <w:iCs w:val="1"/>
          <w:color w:val="auto"/>
        </w:rPr>
        <w:t>A Stifel Company</w:t>
      </w:r>
      <w:r>
        <w:rPr>
          <w:rFonts w:ascii="Arial" w:cs="Arial" w:eastAsia="Arial" w:hAnsi="Arial"/>
          <w:sz w:val="19"/>
          <w:szCs w:val="19"/>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(2)(B) of the Securities Exchange Act of 1934, as amended (the “Exchange Act”), the “safe harbor” provisions of the Private</w:t>
      </w:r>
    </w:p>
    <w:p>
      <w:pPr>
        <w:sectPr>
          <w:pgSz w:w="11900" w:h="16863" w:orient="portrait"/>
          <w:cols w:equalWidth="0" w:num="1">
            <w:col w:w="11240"/>
          </w:cols>
          <w:pgMar w:left="320" w:top="112" w:right="339" w:bottom="0" w:gutter="0" w:footer="0" w:header="0"/>
        </w:sectPr>
      </w:pPr>
    </w:p>
    <w:bookmarkStart w:id="4" w:name="page5"/>
    <w:bookmarkEnd w:id="4"/>
    <w:p>
      <w:pPr>
        <w:spacing w:after="0" w:line="247" w:lineRule="auto"/>
        <w:rPr>
          <w:sz w:val="20"/>
          <w:szCs w:val="20"/>
          <w:color w:val="auto"/>
        </w:rPr>
      </w:pPr>
      <w:r>
        <w:rPr>
          <w:rFonts w:ascii="Arial" w:cs="Arial" w:eastAsia="Arial" w:hAnsi="Arial"/>
          <w:sz w:val="21"/>
          <w:szCs w:val="21"/>
          <w:color w:val="auto"/>
        </w:rPr>
        <w:t>Securities Litigation Reform Act of 1995 do not apply to forward-looking statements made in periodic reports the Company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78"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Cheung</w:t>
      </w:r>
    </w:p>
    <w:p>
      <w:pPr>
        <w:spacing w:after="0" w:line="238" w:lineRule="auto"/>
        <w:rPr>
          <w:sz w:val="20"/>
          <w:szCs w:val="20"/>
          <w:color w:val="auto"/>
        </w:rPr>
      </w:pPr>
      <w:r>
        <w:rPr>
          <w:rFonts w:ascii="Arial" w:cs="Arial" w:eastAsia="Arial" w:hAnsi="Arial"/>
          <w:sz w:val="22"/>
          <w:szCs w:val="22"/>
          <w:color w:val="auto"/>
        </w:rPr>
        <w:t>PennantPark Investment Corporation</w:t>
      </w:r>
    </w:p>
    <w:p>
      <w:pPr>
        <w:spacing w:after="0"/>
        <w:rPr>
          <w:sz w:val="20"/>
          <w:szCs w:val="20"/>
          <w:color w:val="auto"/>
        </w:rPr>
      </w:pPr>
      <w:r>
        <w:rPr>
          <w:rFonts w:ascii="Arial" w:cs="Arial" w:eastAsia="Arial" w:hAnsi="Arial"/>
          <w:sz w:val="22"/>
          <w:szCs w:val="22"/>
          <w:color w:val="auto"/>
        </w:rPr>
        <w:t>(212) 905-1000</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2021-10-14T16:24:26Z</dcterms:created>
  <dcterms:modified xsi:type="dcterms:W3CDTF">2021-10-14T16:24:26Z</dcterms:modified>
</cp:coreProperties>
</file>