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06,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95"/>
              </w:rPr>
              <w:t>Maryland</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00"/>
        <w:spacing w:after="0"/>
        <w:rPr>
          <w:sz w:val="20"/>
          <w:szCs w:val="20"/>
          <w:color w:val="auto"/>
        </w:rPr>
      </w:pPr>
      <w:r>
        <w:rPr>
          <w:rFonts w:ascii="Arial" w:cs="Arial" w:eastAsia="Arial" w:hAnsi="Arial"/>
          <w:sz w:val="22"/>
          <w:szCs w:val="22"/>
          <w:color w:val="auto"/>
        </w:rPr>
        <w:t>On February 6, 2013, PennantPark Investment Corporation issued a press release announcing its financial results for the first fiscal quarter ended December 31, 2012. A copy of the press release is furnished as Exhibit 99.1 to this report pursuant to Item 2.02 on Form 8-K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February 06, 2013</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06, 2013</w:t>
            </w:r>
          </w:p>
        </w:tc>
        <w:tc>
          <w:tcPr>
            <w:tcW w:w="6520" w:type="dxa"/>
            <w:vAlign w:val="bottom"/>
            <w:gridSpan w:val="3"/>
          </w:tcPr>
          <w:p>
            <w:pPr>
              <w:ind w:left="17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20" w:type="dxa"/>
            <w:vAlign w:val="bottom"/>
          </w:tcPr>
          <w:p>
            <w:pPr>
              <w:spacing w:after="0"/>
              <w:rPr>
                <w:sz w:val="24"/>
                <w:szCs w:val="24"/>
                <w:color w:val="auto"/>
              </w:rPr>
            </w:pPr>
          </w:p>
        </w:tc>
        <w:tc>
          <w:tcPr>
            <w:tcW w:w="652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52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52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February 06, 2013</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Investment Corporation Announces Financial Results for the Quarter Ended December 31, 2012</w:t>
      </w:r>
    </w:p>
    <w:p>
      <w:pPr>
        <w:spacing w:after="0" w:line="224"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NEW YORK, NY -- (Marketwire - February 06, 2013) - PennantPark Investment Corporation (NASDAQ: PNNT) announced today financial results for its first fiscal quarter ended December 31, 2012.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38" w:lineRule="auto"/>
        <w:rPr>
          <w:sz w:val="20"/>
          <w:szCs w:val="20"/>
          <w:color w:val="auto"/>
        </w:rPr>
      </w:pPr>
      <w:r>
        <w:rPr>
          <w:rFonts w:ascii="Arial" w:cs="Arial" w:eastAsia="Arial" w:hAnsi="Arial"/>
          <w:sz w:val="22"/>
          <w:szCs w:val="22"/>
          <w:color w:val="auto"/>
        </w:rPr>
        <w:t>Quarter Ended December 31, 2012</w:t>
      </w:r>
    </w:p>
    <w:p>
      <w:pPr>
        <w:spacing w:after="0"/>
        <w:rPr>
          <w:sz w:val="20"/>
          <w:szCs w:val="20"/>
          <w:color w:val="auto"/>
        </w:rPr>
      </w:pPr>
      <w:r>
        <w:rPr>
          <w:rFonts w:ascii="Arial" w:cs="Arial" w:eastAsia="Arial" w:hAnsi="Arial"/>
          <w:sz w:val="22"/>
          <w:szCs w:val="22"/>
          <w:color w:val="auto"/>
        </w:rPr>
        <w:t>($ in millions,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1,064.4</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Net assets</w:t>
            </w:r>
          </w:p>
        </w:tc>
        <w:tc>
          <w:tcPr>
            <w:tcW w:w="47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688.5</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10.38</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Credit Facility (cost $211.5)</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211.5</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SBA debentures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0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13.3%</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Operating Results:</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18.2</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6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168.4</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110.8</w:t>
            </w:r>
          </w:p>
        </w:tc>
      </w:tr>
      <w:tr>
        <w:trPr>
          <w:trHeight w:val="405"/>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780" w:type="dxa"/>
            <w:vAlign w:val="bottom"/>
          </w:tcPr>
          <w:p>
            <w:pPr>
              <w:spacing w:after="0"/>
              <w:rPr>
                <w:sz w:val="20"/>
                <w:szCs w:val="20"/>
                <w:color w:val="auto"/>
              </w:rPr>
            </w:pPr>
            <w:r>
              <w:rPr>
                <w:rFonts w:ascii="Courier New" w:cs="Courier New" w:eastAsia="Courier New" w:hAnsi="Courier New"/>
                <w:sz w:val="18"/>
                <w:szCs w:val="18"/>
                <w:color w:val="auto"/>
              </w:rPr>
              <w:t>new portfolio companies invested</w:t>
            </w:r>
          </w:p>
        </w:tc>
        <w:tc>
          <w:tcPr>
            <w:tcW w:w="10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portfolio companies invested</w:t>
            </w:r>
          </w:p>
        </w:tc>
        <w:tc>
          <w:tcPr>
            <w:tcW w:w="10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780" w:type="dxa"/>
            <w:vAlign w:val="bottom"/>
          </w:tcPr>
          <w:p>
            <w:pPr>
              <w:spacing w:after="0" w:line="203" w:lineRule="exact"/>
              <w:rPr>
                <w:sz w:val="20"/>
                <w:szCs w:val="20"/>
                <w:color w:val="auto"/>
              </w:rPr>
            </w:pPr>
            <w:r>
              <w:rPr>
                <w:rFonts w:ascii="Courier New" w:cs="Courier New" w:eastAsia="Courier New" w:hAnsi="Courier New"/>
                <w:sz w:val="18"/>
                <w:szCs w:val="18"/>
                <w:color w:val="auto"/>
              </w:rPr>
              <w:t>portfolio companies at quarter-end</w:t>
            </w:r>
          </w:p>
        </w:tc>
        <w:tc>
          <w:tcPr>
            <w:tcW w:w="10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7, 2013</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PennantPark Investment Corporation ("we," "our," "us" or "Company") will host a conference call at 10:00 a.m. (Eastern Time) on Thursday, February 7, 2013 to discuss its financial results. All interested parties are welcome to participate. You can access the conference call by dialing (888) 287-5529 approximately 5-10 minutes prior to the call. International callers should dial (719)</w:t>
      </w:r>
    </w:p>
    <w:p>
      <w:pPr>
        <w:spacing w:after="0" w:line="1" w:lineRule="exact"/>
        <w:rPr>
          <w:sz w:val="20"/>
          <w:szCs w:val="20"/>
          <w:color w:val="auto"/>
        </w:rPr>
      </w:pPr>
    </w:p>
    <w:p>
      <w:pPr>
        <w:jc w:val="both"/>
        <w:ind w:right="420"/>
        <w:spacing w:after="0" w:line="234" w:lineRule="auto"/>
        <w:rPr>
          <w:sz w:val="20"/>
          <w:szCs w:val="20"/>
          <w:color w:val="auto"/>
        </w:rPr>
      </w:pPr>
      <w:r>
        <w:rPr>
          <w:rFonts w:ascii="Arial" w:cs="Arial" w:eastAsia="Arial" w:hAnsi="Arial"/>
          <w:sz w:val="22"/>
          <w:szCs w:val="22"/>
          <w:color w:val="auto"/>
        </w:rPr>
        <w:t>325-2131. All callers should reference PennantPark Investment Corporation. An archived replay of the call will be available through February 21, 2013 by calling (888) 203-1112. International callers please dial (719) 457-0820. For all phone replays, please reference conference ID #2035347.</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As of December 31, 2012, our portfolio totaled $1,064.4 million and consisted of $312.7 million of senior secured loans, $212.8 million of second lien secured debt, $411.0 million of subordinated debt and $127.9 million of preferred and common equity investments. Our debt portfolio consisted of 66% fixed-rate and 34% variable-rate investments (including 29% with a London Interbank Offered Rate, or LIBOR, or prime floor). Our overall portfolio consisted of 56 companies with an average investment size of $19.0 million, a weighted average yield on debt investments of 13.3%, and was invested 29% in senior secured loans, 20% in second lien secured debt, 39% in subordinated debt and 12% in preferred and common equity investments.</w:t>
      </w:r>
    </w:p>
    <w:p>
      <w:pPr>
        <w:spacing w:after="0" w:line="150"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52"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For the three months ended December 31, 2012, we invested $168.4 million in five new and seven existing portfolio companies with a weighted average yield on debt investments of 12.7%. Sales and repayments of investments for the three months ended December 31, 2012 totaled $110.8 million.</w:t>
      </w:r>
    </w:p>
    <w:p>
      <w:pPr>
        <w:spacing w:after="0" w:line="186"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For the three months ended December 31, 2011, we invested $43.0 million in one new portfolio company and seven existing portfolio companies with a weighted average yield on debt investments of 16.4%. Sales and repayments of investments for the three months ended December 31, 2011 totaled $69.3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2012 and 2011.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Investment income for the three months ended December 31, 2012 was $33.0 million and was primarily attributable to $8.8</w:t>
      </w:r>
    </w:p>
    <w:p>
      <w:pPr>
        <w:sectPr>
          <w:pgSz w:w="11900" w:h="16838" w:orient="portrait"/>
          <w:cols w:equalWidth="0" w:num="1">
            <w:col w:w="11240"/>
          </w:cols>
          <w:pgMar w:left="320" w:top="111" w:right="339" w:bottom="0" w:gutter="0" w:footer="0" w:header="0"/>
        </w:sectPr>
      </w:pPr>
    </w:p>
    <w:bookmarkStart w:id="3" w:name="page4"/>
    <w:bookmarkEnd w:id="3"/>
    <w:p>
      <w:pPr>
        <w:ind w:right="40"/>
        <w:spacing w:after="0" w:line="282" w:lineRule="auto"/>
        <w:rPr>
          <w:sz w:val="20"/>
          <w:szCs w:val="20"/>
          <w:color w:val="auto"/>
        </w:rPr>
      </w:pPr>
      <w:r>
        <w:rPr>
          <w:rFonts w:ascii="Arial" w:cs="Arial" w:eastAsia="Arial" w:hAnsi="Arial"/>
          <w:sz w:val="19"/>
          <w:szCs w:val="19"/>
          <w:color w:val="auto"/>
        </w:rPr>
        <w:t>million from senior secured loans, $6.4 million from second lien secured debt investments, $16.5 million from subordinated debt investments and $1.3 million from common equity investments. This compares to investment income for the three months ended December 31, 2011, which was $26.8 million, and was primarily attributable to $11.0 million from senior secured loans, $4.1 million from second lien secured debt investments and $11.7 million from subordinated debt investments. The increase in investment income compared with the same period in the prior year is due to the growth of our portfolio.</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14"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Expenses for the three months ended December 31, 2012 totaled $14.8 million. Base management fees for the same period totaled $5.1 million, performance-based incentive fees totaled $4.5 million, our senior secured revolving credit facility, or the Credit Facility, and Small Business Administration, or SBA, debentures related interest and expenses totaled $3.1 million, general and administrative expenses and excise tax totaled $2.1 million. This compares to expenses for the three months ended December 31, 2011, which totaled $11.8 million. Base management fees for the same period totaled $4.0 million, performance-based incentive fees totaled $3.7 million, Credit Facility and SBA debentures related interest and expenses totaled $2.4 million, general and administrative expenses totaled $1.7 million. The increase in expenses is due to the growth of the portfolio as well as the higher cost of debt capital.</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14"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Net investment income totaled $18.2 million, or $0.28 per share, for the three months ended December 31, 2012, and $15.0 million, or $0.33 per share, for the three months ended December 31, 2011. The increase in net investment income over the prior period was due to the growth of our portfolio. The decrease in per share net investment income over the prior period was the result of issuance of shares.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Sales and repayments of investments for the three months ended December 31, 2012 totaled $110.8 million and realized gains totaled $0.9 million. Sales and repayments of investments totaled $69.3 million and net realized gains totaled $8.0 million for the three months ended December 31, 2011.</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14" w:lineRule="exact"/>
        <w:rPr>
          <w:sz w:val="20"/>
          <w:szCs w:val="20"/>
          <w:color w:val="auto"/>
        </w:rPr>
      </w:pPr>
    </w:p>
    <w:p>
      <w:pPr>
        <w:ind w:right="140"/>
        <w:spacing w:after="0" w:line="280" w:lineRule="auto"/>
        <w:rPr>
          <w:sz w:val="20"/>
          <w:szCs w:val="20"/>
          <w:color w:val="auto"/>
        </w:rPr>
      </w:pPr>
      <w:r>
        <w:rPr>
          <w:rFonts w:ascii="Arial" w:cs="Arial" w:eastAsia="Arial" w:hAnsi="Arial"/>
          <w:sz w:val="19"/>
          <w:szCs w:val="19"/>
          <w:color w:val="auto"/>
        </w:rPr>
        <w:t>For both the three months ended December 31, 2012 and 2011, we reported unrealized appreciation on investments of $10.0 million. As of December 31, 2012 and September 30, 2012, net unrealized depreciation on investments totaled $8.1 million and $18.1 million, respectively. The change in unrealized depreciation on investments from September 30, 2012 to December 31, 2012 was the result of the realization of unrealized gains upon exiting our investments and changes in market values.</w:t>
      </w:r>
    </w:p>
    <w:p>
      <w:pPr>
        <w:spacing w:after="0" w:line="150"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For the three months ended December 31, 2012 and 2011 our Credit Facility value increased by $0.5 million and $1.1 million, respectively. The change from the prior period was primarily the result of the renewal of the Credit Facility. As of December 31, 2012 and September 30, 2012, net unrealized depreciation on our Credit Facility totaled zero and $0.5 million, respectively. Net change in unrealized appreciation on the Credit Facility over the prior year was due to changes in the leveraged finance markets.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14"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Net increase in net assets resulting from operations totaled $28.5 million, or $0.44 per share, for the three months ended December 31, 2012. This compares to a net increase in net assets resulting from operations which totaled $15.8 million, or $0.34 per share, for the three months ended December 31, 2011. This increase in net assets resulting from operations compared to the prior period was due to the continued growth in net investment income as a result of growing our portfolio and appreciation of our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Our liquidity and capital resources are derived primarily from proceeds of securities offerings,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SBA debentures, proceeds from the rotation of our portfolio and proceeds from public and private offerings of securities to finance our investment objectives.</w:t>
      </w:r>
    </w:p>
    <w:p>
      <w:pPr>
        <w:spacing w:after="0" w:line="147" w:lineRule="exact"/>
        <w:rPr>
          <w:sz w:val="20"/>
          <w:szCs w:val="20"/>
          <w:color w:val="auto"/>
        </w:rPr>
      </w:pPr>
    </w:p>
    <w:p>
      <w:pPr>
        <w:ind w:right="140"/>
        <w:spacing w:after="0" w:line="257" w:lineRule="auto"/>
        <w:rPr>
          <w:sz w:val="20"/>
          <w:szCs w:val="20"/>
          <w:color w:val="auto"/>
        </w:rPr>
      </w:pPr>
      <w:r>
        <w:rPr>
          <w:rFonts w:ascii="Arial" w:cs="Arial" w:eastAsia="Arial" w:hAnsi="Arial"/>
          <w:sz w:val="21"/>
          <w:szCs w:val="21"/>
          <w:color w:val="auto"/>
        </w:rPr>
        <w:t>As of December 31, 2012 and September 30, 2012, we had $211.5 million and $145.0 million (including a temporary draw of $35.5 million), respectively, in outstanding borrowings under the Credit Facility, with a weighted average interest rate of 3.00% and 3.49%, respectively, exclusive of the fee on undrawn commitments of 0.50%.</w:t>
      </w:r>
    </w:p>
    <w:p>
      <w:pPr>
        <w:spacing w:after="0" w:line="169"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As of December 31, 2012 and September 30, 2012, $150.0 million in SBA debt commitments were fully drawn with a weighted average interest rate of 3.70%, exclusive of the 3.43% in upfront fees (4.04% after upfront fees). The SBA debentures upfront fees of 3.43% consist of a commitment fee of 1.00% and an issuance discount of 2.43%. Both fees are being amortized over the lives of the loans.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Our operating activities used cash of $35.8 million for the three months ended December 31, 2012, primarily for net purchases of investments. Our financing activities provided cash of $59.5 million for the same period, primarily from net borrowings under our Credit Facility and proceeds from our capital stock offering.</w:t>
      </w:r>
    </w:p>
    <w:p>
      <w:pPr>
        <w:spacing w:after="0" w:line="186"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Our operating activities provided cash of $31.7 million for the three months ended December 31, 2011, primarily from net proceeds from the disposition of investments. Our financing activities used cash of $61.2 million for the same period, primarily from net repayments under our Credit Facility.</w:t>
      </w:r>
    </w:p>
    <w:p>
      <w:pPr>
        <w:sectPr>
          <w:pgSz w:w="11900" w:h="16838" w:orient="portrait"/>
          <w:cols w:equalWidth="0" w:num="1">
            <w:col w:w="11180"/>
          </w:cols>
          <w:pgMar w:left="320" w:top="118" w:right="399" w:bottom="0" w:gutter="0" w:footer="0" w:header="0"/>
        </w:sectPr>
      </w:pPr>
    </w:p>
    <w:bookmarkStart w:id="4" w:name="page5"/>
    <w:bookmarkEnd w:id="4"/>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During the three months ended December 31, 2012 and 2011, we declared dividends of $0.28 and $0.28 per share, respectively, for total dividends of $18.6 million and $12.8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Securities and Exchange Commission.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On January 22, 2013, we issued $67.5 million in aggregate principal amount of 6.25% senior notes due 2025 for net proceeds of $65.2 million (the "2025 Notes") after underwriting discounts and offering costs. Interest on the 2025 Notes is paid quarterly on February 1, May 1, August 1 and November 1, at a rate of 6.25% per year, commencing on May 1, 2013. The 2025 Notes mature on February 1, 2025. We may redeem the Notes in whole or in part at any time or from time to time on or after February 1, 2016. The 2025 Notes are general, unsecured obligations and will rank equal in right of payment with all of our existing and future senior unsecured indebtedness. The proceeds from the sale of the 2025 Notes are being used to repay indebtedness owed under the Credit Facility, to invest in new or existing portfolio companies, or for other general corporate or strategic purposes.</w:t>
      </w:r>
    </w:p>
    <w:p>
      <w:pPr>
        <w:spacing w:after="0" w:line="15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Effective January 24, 2013, our wholly-owned subsidiary, PennantPark SBIC II LP, received a license from the SBA to operate as a small business investment company ("SBIC") under the Small Business Investment Act of 1958, as amended. As an SBIC, PennantPark SBIC II LP will be subject to a variety of regulations and oversight by the SBA concerning, among other things, the size and nature of the companies in which it may invest as well as the structure of those investments.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Securities and Exchange Commission and stockholders may find the report on our website at www.pennantpark.com.</w:t>
      </w:r>
    </w:p>
    <w:p>
      <w:pPr>
        <w:spacing w:after="0" w:line="396"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10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1780" w:type="dxa"/>
            <w:vAlign w:val="bottom"/>
          </w:tcPr>
          <w:p>
            <w:pPr>
              <w:ind w:left="300"/>
              <w:spacing w:after="0"/>
              <w:rPr>
                <w:sz w:val="20"/>
                <w:szCs w:val="20"/>
                <w:color w:val="auto"/>
              </w:rPr>
            </w:pPr>
            <w:r>
              <w:rPr>
                <w:rFonts w:ascii="Courier New" w:cs="Courier New" w:eastAsia="Courier New" w:hAnsi="Courier New"/>
                <w:sz w:val="18"/>
                <w:szCs w:val="18"/>
                <w:color w:val="auto"/>
              </w:rPr>
              <w:t>December 31,</w:t>
            </w:r>
          </w:p>
        </w:tc>
        <w:tc>
          <w:tcPr>
            <w:tcW w:w="220" w:type="dxa"/>
            <w:vAlign w:val="bottom"/>
          </w:tcPr>
          <w:p>
            <w:pPr>
              <w:spacing w:after="0"/>
              <w:rPr>
                <w:sz w:val="17"/>
                <w:szCs w:val="17"/>
                <w:color w:val="auto"/>
              </w:rPr>
            </w:pP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4440" w:type="dxa"/>
            <w:vAlign w:val="bottom"/>
          </w:tcPr>
          <w:p>
            <w:pPr>
              <w:spacing w:after="0"/>
              <w:rPr>
                <w:sz w:val="17"/>
                <w:szCs w:val="17"/>
                <w:color w:val="auto"/>
              </w:rPr>
            </w:pPr>
          </w:p>
        </w:tc>
        <w:tc>
          <w:tcPr>
            <w:tcW w:w="17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2012</w:t>
            </w:r>
          </w:p>
        </w:tc>
        <w:tc>
          <w:tcPr>
            <w:tcW w:w="220" w:type="dxa"/>
            <w:vAlign w:val="bottom"/>
          </w:tcPr>
          <w:p>
            <w:pPr>
              <w:spacing w:after="0"/>
              <w:rPr>
                <w:sz w:val="17"/>
                <w:szCs w:val="17"/>
                <w:color w:val="auto"/>
              </w:rPr>
            </w:pP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440" w:type="dxa"/>
            <w:vAlign w:val="bottom"/>
          </w:tcPr>
          <w:p>
            <w:pPr>
              <w:spacing w:after="0"/>
              <w:rPr>
                <w:sz w:val="17"/>
                <w:szCs w:val="17"/>
                <w:color w:val="auto"/>
              </w:rPr>
            </w:pP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at fair value (cost--</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$902,897,172 and $871,867,953,</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931,419,104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871,892,745</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Non-controlled, affiliated investments,</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fair value (cost--$105,925,644 and</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$72,576,858, respectively)</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93,671,686</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80,955,257</w:t>
            </w:r>
          </w:p>
        </w:tc>
      </w:tr>
      <w:tr>
        <w:trPr>
          <w:trHeight w:val="202"/>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 at</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fair value (cost--$63,680,393 and</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$64,167,051, respectively)</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39,316,805</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37,631,708</w:t>
            </w:r>
          </w:p>
        </w:tc>
      </w:tr>
      <w:tr>
        <w:trPr>
          <w:trHeight w:val="203"/>
        </w:trPr>
        <w:tc>
          <w:tcPr>
            <w:tcW w:w="4440" w:type="dxa"/>
            <w:vAlign w:val="bottom"/>
          </w:tcPr>
          <w:p>
            <w:pPr>
              <w:spacing w:after="0"/>
              <w:rPr>
                <w:sz w:val="17"/>
                <w:szCs w:val="17"/>
                <w:color w:val="auto"/>
              </w:rPr>
            </w:pP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at fair value</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 $1,072,503,209 and</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$1,008,611,862, respectively)</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1,064,407,595</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990,479,710</w:t>
            </w:r>
          </w:p>
        </w:tc>
      </w:tr>
      <w:tr>
        <w:trPr>
          <w:trHeight w:val="202"/>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31,291,517</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7,559,453</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10,815,263</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14,928,862</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5,635,205</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5,999,506</w:t>
            </w:r>
          </w:p>
        </w:tc>
      </w:tr>
      <w:tr>
        <w:trPr>
          <w:trHeight w:val="203"/>
        </w:trPr>
        <w:tc>
          <w:tcPr>
            <w:tcW w:w="4440" w:type="dxa"/>
            <w:vAlign w:val="bottom"/>
          </w:tcPr>
          <w:p>
            <w:pPr>
              <w:spacing w:after="0"/>
              <w:rPr>
                <w:sz w:val="17"/>
                <w:szCs w:val="17"/>
                <w:color w:val="auto"/>
              </w:rPr>
            </w:pP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1,112,149,580</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1,018,967,531</w:t>
            </w:r>
          </w:p>
        </w:tc>
      </w:tr>
      <w:tr>
        <w:trPr>
          <w:trHeight w:val="203"/>
        </w:trPr>
        <w:tc>
          <w:tcPr>
            <w:tcW w:w="4440" w:type="dxa"/>
            <w:vAlign w:val="bottom"/>
          </w:tcPr>
          <w:p>
            <w:pPr>
              <w:spacing w:after="0"/>
              <w:rPr>
                <w:sz w:val="17"/>
                <w:szCs w:val="17"/>
                <w:color w:val="auto"/>
              </w:rPr>
            </w:pP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18,579,935</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15,824,061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1,357,840</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26,801,667</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26,935,270</w:t>
            </w:r>
          </w:p>
        </w:tc>
      </w:tr>
      <w:tr>
        <w:trPr>
          <w:trHeight w:val="202"/>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$211,500,000 and $145,000,000,</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211,500,000</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144,452,500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(cost--</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$150,000,000)</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150,000,000</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 and</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SBA debentures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2,451,109</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854,725</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5,128,611</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4,791,913</w:t>
            </w:r>
          </w:p>
        </w:tc>
      </w:tr>
      <w:tr>
        <w:trPr>
          <w:trHeight w:val="202"/>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4,545,254</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4,206,989</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3,282,743</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2,185,026</w:t>
            </w:r>
          </w:p>
        </w:tc>
      </w:tr>
      <w:tr>
        <w:trPr>
          <w:trHeight w:val="203"/>
        </w:trPr>
        <w:tc>
          <w:tcPr>
            <w:tcW w:w="4440" w:type="dxa"/>
            <w:vAlign w:val="bottom"/>
          </w:tcPr>
          <w:p>
            <w:pPr>
              <w:spacing w:after="0"/>
              <w:rPr>
                <w:sz w:val="17"/>
                <w:szCs w:val="17"/>
                <w:color w:val="auto"/>
              </w:rPr>
            </w:pP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423,647,159</w:t>
            </w:r>
          </w:p>
        </w:tc>
        <w:tc>
          <w:tcPr>
            <w:tcW w:w="22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349,250,484</w:t>
            </w:r>
          </w:p>
        </w:tc>
      </w:tr>
      <w:tr>
        <w:trPr>
          <w:trHeight w:val="202"/>
        </w:trPr>
        <w:tc>
          <w:tcPr>
            <w:tcW w:w="4440" w:type="dxa"/>
            <w:vAlign w:val="bottom"/>
          </w:tcPr>
          <w:p>
            <w:pPr>
              <w:spacing w:after="0"/>
              <w:rPr>
                <w:sz w:val="17"/>
                <w:szCs w:val="17"/>
                <w:color w:val="auto"/>
              </w:rPr>
            </w:pP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916" w:orient="portrait"/>
          <w:cols w:equalWidth="0" w:num="1">
            <w:col w:w="11220"/>
          </w:cols>
          <w:pgMar w:left="320" w:top="112" w:right="3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66,356,911 and 65,514,503</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 Par value $0.001 per share</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100,000,000 shares authorized.</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66,356</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65,514</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753,528,106</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744,704,825</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2,405,478</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2,804,397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on</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2"/>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3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(59,401,905)</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(60,273,037)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unrealized depreciation on investments</w:t>
            </w:r>
          </w:p>
        </w:tc>
        <w:tc>
          <w:tcPr>
            <w:tcW w:w="3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(8,095,614)</w:t>
            </w:r>
          </w:p>
        </w:tc>
        <w:tc>
          <w:tcPr>
            <w:tcW w:w="3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(18,132,152)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Credit</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3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547,500</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688,502,421</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669,717,047</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$ 1,112,149,580</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$ 1,018,967,531</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10.38</w:t>
            </w:r>
          </w:p>
        </w:tc>
        <w:tc>
          <w:tcPr>
            <w:tcW w:w="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10.22</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2219"/>
        <w:spacing w:after="0" w:line="238" w:lineRule="auto"/>
        <w:rPr>
          <w:sz w:val="20"/>
          <w:szCs w:val="20"/>
          <w:color w:val="auto"/>
        </w:rPr>
      </w:pPr>
      <w:r>
        <w:rPr>
          <w:rFonts w:ascii="Courier New" w:cs="Courier New" w:eastAsia="Courier New" w:hAnsi="Courier New"/>
          <w:sz w:val="18"/>
          <w:szCs w:val="18"/>
          <w:color w:val="auto"/>
        </w:rPr>
        <w:t>CONSOLIDATED STATEMENTS OF OPERATIONS (Unaudited)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5120" w:type="dxa"/>
            <w:vAlign w:val="bottom"/>
          </w:tcPr>
          <w:p>
            <w:pPr>
              <w:spacing w:after="0"/>
              <w:rPr>
                <w:sz w:val="17"/>
                <w:szCs w:val="17"/>
                <w:color w:val="auto"/>
              </w:rPr>
            </w:pPr>
          </w:p>
        </w:tc>
        <w:tc>
          <w:tcPr>
            <w:tcW w:w="290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2012</w:t>
            </w:r>
          </w:p>
        </w:tc>
        <w:tc>
          <w:tcPr>
            <w:tcW w:w="22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From non-controlled, non-affiliated investments: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$ 25,768,617</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$ 24,020,424</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 and dividends</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4,366,274</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1,870,514</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affiliated investments: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1,392,503</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572,931</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227,800</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 affiliated investments: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1,202,707</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374,889</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32,957,901</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26,838,758</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5,128,611</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4,043,281</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4,545,254</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3,749,128</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Credit Facility and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SBA debentures</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3,094,865</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2,375,123</w:t>
            </w:r>
          </w:p>
        </w:tc>
      </w:tr>
      <w:tr>
        <w:trPr>
          <w:trHeight w:val="202"/>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1,172,322</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797,353</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760,532</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842,345</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excise taxes</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14,701,584</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11,807,230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Excise tax</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75,301</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35,000</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14,776,885</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11,842,230</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18,181,016</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14,996,528</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 (loss)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realized gain (loss) on non-controlled, non-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871,132</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(8,029,555)</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6,062,321</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8,064,782</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and controlled, affiliated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3,974,217</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1,961,644</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(appreciation)</w:t>
            </w: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(547,500)</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(1,147,875)</w:t>
            </w:r>
          </w:p>
        </w:tc>
      </w:tr>
      <w:tr>
        <w:trPr>
          <w:trHeight w:val="202"/>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9,489,038</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8,878,551</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gain from</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10,360,170</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848,996</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$ 28,541,186</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$ 15,845,524</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 basic and diluted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0.44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0.34</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0.28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0.33</w:t>
            </w:r>
          </w:p>
        </w:tc>
      </w:tr>
    </w:tbl>
    <w:p>
      <w:pPr>
        <w:sectPr>
          <w:pgSz w:w="11900" w:h="16838" w:orient="portrait"/>
          <w:cols w:equalWidth="0" w:num="1">
            <w:col w:w="10139"/>
          </w:cols>
          <w:pgMar w:left="320" w:top="136" w:right="1440" w:bottom="0" w:gutter="0" w:footer="0" w:header="0"/>
        </w:sectPr>
      </w:pPr>
    </w:p>
    <w:bookmarkStart w:id="6" w:name="page7"/>
    <w:bookmarkEnd w:id="6"/>
    <w:p>
      <w:pPr>
        <w:ind w:left="5160"/>
        <w:spacing w:after="0"/>
        <w:tabs>
          <w:tab w:leader="none" w:pos="6620" w:val="left"/>
        </w:tabs>
        <w:rPr>
          <w:sz w:val="20"/>
          <w:szCs w:val="20"/>
          <w:color w:val="auto"/>
        </w:rPr>
      </w:pPr>
      <w:r>
        <w:rPr>
          <w:rFonts w:ascii="Courier New" w:cs="Courier New" w:eastAsia="Courier New" w:hAnsi="Courier New"/>
          <w:sz w:val="18"/>
          <w:szCs w:val="18"/>
          <w:color w:val="auto"/>
        </w:rPr>
        <w:t>------------</w:t>
        <w:tab/>
        <w:t>------------</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2020-05-05T15:07:18Z</dcterms:created>
  <dcterms:modified xsi:type="dcterms:W3CDTF">2020-05-05T15:07:18Z</dcterms:modified>
</cp:coreProperties>
</file>