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March 30, 2015</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040" w:type="dxa"/>
            <w:vAlign w:val="bottom"/>
          </w:tcPr>
          <w:p>
            <w:pPr>
              <w:jc w:val="center"/>
              <w:ind w:right="2341"/>
              <w:spacing w:after="0"/>
              <w:rPr>
                <w:sz w:val="20"/>
                <w:szCs w:val="20"/>
                <w:color w:val="auto"/>
              </w:rPr>
            </w:pPr>
            <w:r>
              <w:rPr>
                <w:rFonts w:ascii="Arial" w:cs="Arial" w:eastAsia="Arial" w:hAnsi="Arial"/>
                <w:sz w:val="18"/>
                <w:szCs w:val="18"/>
                <w:b w:val="1"/>
                <w:bCs w:val="1"/>
                <w:color w:val="auto"/>
                <w:w w:val="98"/>
              </w:rPr>
              <w:t>Maryland</w:t>
            </w:r>
          </w:p>
        </w:tc>
        <w:tc>
          <w:tcPr>
            <w:tcW w:w="2380" w:type="dxa"/>
            <w:vAlign w:val="bottom"/>
          </w:tcPr>
          <w:p>
            <w:pPr>
              <w:ind w:left="220"/>
              <w:spacing w:after="0"/>
              <w:rPr>
                <w:sz w:val="20"/>
                <w:szCs w:val="20"/>
                <w:color w:val="auto"/>
              </w:rPr>
            </w:pPr>
            <w:r>
              <w:rPr>
                <w:rFonts w:ascii="Arial" w:cs="Arial" w:eastAsia="Arial" w:hAnsi="Arial"/>
                <w:sz w:val="18"/>
                <w:szCs w:val="18"/>
                <w:b w:val="1"/>
                <w:bCs w:val="1"/>
                <w:color w:val="auto"/>
              </w:rPr>
              <w:t>814-00736</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40" w:type="dxa"/>
            <w:vAlign w:val="bottom"/>
          </w:tcPr>
          <w:p>
            <w:pPr>
              <w:jc w:val="center"/>
              <w:ind w:right="23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341"/>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4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91"/>
              </w:rPr>
              <w:t>590 Madison Avenue, 15th Floor, New York, NY</w:t>
            </w: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2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30, 2015, PennantPark Investment Corporation (the “Company”) held a reconvened annual meeting of stockholders (the “Annual Meeting”) and submitted one matter to the vote of stockholders. The proposal is described in detail in the Company’s definitive joint proxy statement filed with the Securities and Exchange Commission on November 26, 2014. As of December 1, 2014, the record date, 75,092,911 shares of common stock were eligible to vote. A summary of the matter voted upon by the stockholders is set forth below.</w:t>
      </w:r>
    </w:p>
    <w:p>
      <w:pPr>
        <w:spacing w:after="0" w:line="18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Mr. Adam Bernstein and Mr. Jeffrey Flug each as a Class II director of the Company, each of whom will</w:t>
      </w:r>
      <w:r>
        <w:rPr>
          <w:rFonts w:ascii="Arial" w:cs="Arial" w:eastAsia="Arial" w:hAnsi="Arial"/>
          <w:sz w:val="18"/>
          <w:szCs w:val="18"/>
          <w:b w:val="1"/>
          <w:bCs w:val="1"/>
          <w:color w:val="auto"/>
        </w:rPr>
        <w:t xml:space="preserve"> </w:t>
      </w:r>
      <w:r>
        <w:rPr>
          <w:rFonts w:ascii="Arial" w:cs="Arial" w:eastAsia="Arial" w:hAnsi="Arial"/>
          <w:sz w:val="18"/>
          <w:szCs w:val="18"/>
          <w:color w:val="auto"/>
        </w:rPr>
        <w:t>serve until the 2018 Annual Meeting, or until his successor is duly elected and qualifies.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are set forth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For</w:t>
            </w: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Withheld</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Non Voted</w:t>
            </w: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Class II</w:t>
            </w: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Adam Bernstein</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37,653,790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3,018,356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34,420,765</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Shares Voted</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92.58%</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Jeffrey Flug</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39,026,729</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1,645,417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34,420,765</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Shares Voted</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95.95%</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bl>
    <w:p>
      <w:pPr>
        <w:sectPr>
          <w:pgSz w:w="11900" w:h="16838" w:orient="portrait"/>
          <w:cols w:equalWidth="0" w:num="1">
            <w:col w:w="11180"/>
          </w:cols>
          <w:pgMar w:left="320" w:top="270"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color w:val="auto"/>
        </w:rPr>
        <w:t>Date: March 31, 2015</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2020-05-05T15:11:03Z</dcterms:created>
  <dcterms:modified xsi:type="dcterms:W3CDTF">2020-05-05T15:11:03Z</dcterms:modified>
</cp:coreProperties>
</file>