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27, 2019 (September 24,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040" w:type="dxa"/>
            <w:vAlign w:val="bottom"/>
          </w:tcPr>
          <w:p>
            <w:pPr>
              <w:jc w:val="center"/>
              <w:ind w:right="2299"/>
              <w:spacing w:after="0"/>
              <w:rPr>
                <w:sz w:val="20"/>
                <w:szCs w:val="20"/>
                <w:color w:val="auto"/>
              </w:rPr>
            </w:pPr>
            <w:r>
              <w:rPr>
                <w:rFonts w:ascii="Arial" w:cs="Arial" w:eastAsia="Arial" w:hAnsi="Arial"/>
                <w:sz w:val="18"/>
                <w:szCs w:val="18"/>
                <w:b w:val="1"/>
                <w:bCs w:val="1"/>
                <w:color w:val="auto"/>
                <w:w w:val="98"/>
              </w:rPr>
              <w:t>Maryland</w:t>
            </w:r>
          </w:p>
        </w:tc>
        <w:tc>
          <w:tcPr>
            <w:tcW w:w="2200" w:type="dxa"/>
            <w:vAlign w:val="bottom"/>
          </w:tcPr>
          <w:p>
            <w:pPr>
              <w:ind w:left="140"/>
              <w:spacing w:after="0"/>
              <w:rPr>
                <w:sz w:val="20"/>
                <w:szCs w:val="20"/>
                <w:color w:val="auto"/>
              </w:rPr>
            </w:pPr>
            <w:r>
              <w:rPr>
                <w:rFonts w:ascii="Arial" w:cs="Arial" w:eastAsia="Arial" w:hAnsi="Arial"/>
                <w:sz w:val="18"/>
                <w:szCs w:val="18"/>
                <w:b w:val="1"/>
                <w:bCs w:val="1"/>
                <w:color w:val="auto"/>
              </w:rPr>
              <w:t>814-00736</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404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040" w:type="dxa"/>
            <w:vAlign w:val="bottom"/>
          </w:tcPr>
          <w:p>
            <w:pPr>
              <w:jc w:val="center"/>
              <w:ind w:left="1159"/>
              <w:spacing w:after="0"/>
              <w:rPr>
                <w:sz w:val="20"/>
                <w:szCs w:val="20"/>
                <w:color w:val="auto"/>
              </w:rPr>
            </w:pPr>
            <w:r>
              <w:rPr>
                <w:rFonts w:ascii="Arial" w:cs="Arial" w:eastAsia="Arial" w:hAnsi="Arial"/>
                <w:sz w:val="18"/>
                <w:szCs w:val="18"/>
                <w:b w:val="1"/>
                <w:bCs w:val="1"/>
                <w:color w:val="auto"/>
                <w:w w:val="89"/>
              </w:rPr>
              <w:t>590 Madison Avenue, 15th Floor,</w:t>
            </w: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5"/>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3"/>
              </w:rPr>
              <w:t>New York, NY</w:t>
            </w:r>
          </w:p>
        </w:tc>
        <w:tc>
          <w:tcPr>
            <w:tcW w:w="2200" w:type="dxa"/>
            <w:vAlign w:val="bottom"/>
          </w:tcPr>
          <w:p>
            <w:pPr>
              <w:spacing w:after="0"/>
              <w:rPr>
                <w:sz w:val="19"/>
                <w:szCs w:val="19"/>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4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0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212-905-1000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PNNT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14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Underwriting Agreement</w:t>
      </w:r>
    </w:p>
    <w:p>
      <w:pPr>
        <w:spacing w:after="0" w:line="117"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color w:val="auto"/>
        </w:rPr>
        <w:t>On September 24, 2019, PennantPark Investment Corporation (the “Company”) entered into an underwriting agreement (the “Underwriting Agreement”) by and among the Company, PennantPark Investment Advisers, LLC, PennantPark Investment Administration, LLC, and Keefe, Bruyette &amp; Woods, Inc. and Morgan Stanley &amp; Co. LLC, as representatives of the several underwriters named on Schedule A to the Underwriting Agreement, in connection with the issuance and sale of $75,000,000 aggregate principal amount of the Company’s 5.50% Notes due 2024 (the “Offering”).</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Offering was made pursuant to the Company’s effective shelf registration statement on Form N-2 (Registration No. 333-230014) previously filed with the Securities and Exchange Commission (the “Registration Statement”), as supplemented by a preliminary prospectus supplement dated September 24, 2019 (the “Preliminary Prospectus Supplement”) and a final prospectus supplement dated September 24, 2019 (the “Final Prospectus Supplement”).</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foregoing description of the Underwriting Agreement does not purport to be complete and is qualified in its entirety by reference to the full text of the Underwriting Agreement filed with this report as Exhibit 1.1 and which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Third Supplemental Indenture</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September 27, 2019, the Company and American Stock Transfer &amp; Trust Company, LLC (the “Trustee”), entered into a Third Supplemental Indenture (the “Third Supplemental Indenture”) to the Indenture, dated January 22, 2013, between the Company and the Trustee (the “Base Indenture”; and together with the Third Supplemental Indenture, the “Indenture”). The Third Supplemental Indenture relates to the Offering.</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5.50% notes due 2024 (the “Notes”) will mature on October 15, 2024 and may be redeemed in whole or in part at the Company’s option on or after October 15, 2021 at a redemption price of 100% of the outstanding principal amount of the Notes plus accrued and unpaid interest. The Notes bear interest at a rate of 5.50% per year payable quarterly on January 15, April 15, July 15 and October 15 of each year, commencing January 15, 2020.</w:t>
      </w:r>
    </w:p>
    <w:p>
      <w:pPr>
        <w:spacing w:after="0" w:line="2"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 xml:space="preserve">The Notes will be the Company’s direct unsecured obligations and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Company’s future unsecured unsubordinated indebtedness, senior to any of the Company’s future indebtedness that expressly states it is subordinated in right of payment to the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w:t>
      </w:r>
    </w:p>
    <w:p>
      <w:pPr>
        <w:spacing w:after="0" w:line="19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Indenture contains certain covenants, including covenants requiring the Company to comply with the asset coverage requirements of Section 18(a) (1)(A) as modified by Section 61(a)(1) and (2) of the Investment Company Act of 1940, as amended, to provide financial information to the holders of the Notes and the Trustee if the Company is no longer subject to the reporting requirements under the Securities Exchange Act of 1934, as amended, and to use its best efforts to effect, within 30 days of issuance and delivery of the Notes, the listing of the Notes on the Nasdaq Global Stock Exchange and to maintain such listing. These covenants are subject to important limitations and exceptions that are described in the Indenture.</w:t>
      </w:r>
    </w:p>
    <w:p>
      <w:pPr>
        <w:spacing w:after="0" w:line="1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Notes were offered and sold in an offering registered under the Securities Act of 1933, as amended, pursuant to the Registration Statement, the Preliminary Prospectus Supplement, and the Final Prospectus Supplement. The transaction closed on September 27, 2019. The net proceeds to the Company were approximately $72.3 million, after deducting the underwriting discounts and commissions of approximately $2.3 million payable by the Company and estimated offering expenses of approximately $500,000 payable by the Company. The Company intends to use the net proceeds to reduce outstanding obligations under its credit facilities and/or Small Business Association debentures, to invest in new or existing portfolio companies, or for other general corporate or strategic purposes.</w:t>
      </w:r>
    </w:p>
    <w:p>
      <w:pPr>
        <w:spacing w:after="0" w:line="19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foregoing descriptions of the Third Supplemental Indenture and the Notes do not purport to be complete and are qualified in their entirety by reference to the full text of the Third Supplemental Indenture and the Notes, respectively, each filed as exhibits hereto and incorporated by reference herein.</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to this current report on Form 8-K is by this reference incorporated in this Item 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Shell company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364" w:lineRule="exact"/>
        <w:rPr>
          <w:sz w:val="20"/>
          <w:szCs w:val="20"/>
          <w:color w:val="auto"/>
        </w:rPr>
      </w:pPr>
    </w:p>
    <w:p>
      <w:pPr>
        <w:jc w:val="both"/>
        <w:ind w:left="660" w:right="460" w:hanging="660"/>
        <w:spacing w:after="0" w:line="263"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w:anchor="page5">
        <w:r>
          <w:rPr>
            <w:rFonts w:ascii="Arial" w:cs="Arial" w:eastAsia="Arial" w:hAnsi="Arial"/>
            <w:sz w:val="18"/>
            <w:szCs w:val="18"/>
            <w:u w:val="single" w:color="auto"/>
            <w:color w:val="0000EE"/>
          </w:rPr>
          <w:t>Underwriting Agreement, dated September 24, 2019, by and among the Company, PennantPark Investment Advisers, LLC, PennantPark</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Investment Administration, LLC, and Keefe, Bruyette &amp; Woods, Inc. and Morgan Stanley &amp; Co. LLC, as representatives of the several</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underwriters named on Schedule A thereto.</w:t>
        </w:r>
      </w:hyperlink>
    </w:p>
    <w:p>
      <w:pPr>
        <w:spacing w:after="0" w:line="76" w:lineRule="exact"/>
        <w:rPr>
          <w:rFonts w:ascii="Arial" w:cs="Arial" w:eastAsia="Arial" w:hAnsi="Arial"/>
          <w:sz w:val="18"/>
          <w:szCs w:val="18"/>
          <w:u w:val="single" w:color="auto"/>
          <w:color w:val="0000EE"/>
        </w:rPr>
      </w:pPr>
    </w:p>
    <w:p>
      <w:pPr>
        <w:ind w:left="660" w:hanging="660"/>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w:anchor="page44">
        <w:r>
          <w:rPr>
            <w:rFonts w:ascii="Arial" w:cs="Arial" w:eastAsia="Arial" w:hAnsi="Arial"/>
            <w:sz w:val="18"/>
            <w:szCs w:val="18"/>
            <w:u w:val="single" w:color="auto"/>
            <w:color w:val="0000EE"/>
          </w:rPr>
          <w:t>Third Supplemental Indenture, dated as of September 27, 2019, by and between the Company and American Stock Transfer &amp; Trust Company,</w:t>
        </w:r>
      </w:hyperlink>
      <w:r>
        <w:rPr>
          <w:rFonts w:ascii="Arial" w:cs="Arial" w:eastAsia="Arial" w:hAnsi="Arial"/>
          <w:sz w:val="18"/>
          <w:szCs w:val="18"/>
          <w:u w:val="single" w:color="auto"/>
          <w:color w:val="0000EE"/>
        </w:rPr>
        <w:t xml:space="preserve"> </w:t>
      </w:r>
      <w:hyperlink w:anchor="page44">
        <w:r>
          <w:rPr>
            <w:rFonts w:ascii="Arial" w:cs="Arial" w:eastAsia="Arial" w:hAnsi="Arial"/>
            <w:sz w:val="18"/>
            <w:szCs w:val="18"/>
            <w:u w:val="single" w:color="auto"/>
            <w:color w:val="0000EE"/>
          </w:rPr>
          <w:t>LLC, as trustee.</w:t>
        </w:r>
      </w:hyperlink>
    </w:p>
    <w:p>
      <w:pPr>
        <w:spacing w:after="0" w:line="6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w:anchor="page44">
        <w:r>
          <w:rPr>
            <w:rFonts w:ascii="Arial" w:cs="Arial" w:eastAsia="Arial" w:hAnsi="Arial"/>
            <w:sz w:val="16"/>
            <w:szCs w:val="16"/>
            <w:u w:val="single" w:color="auto"/>
            <w:color w:val="0000EE"/>
          </w:rPr>
          <w:t>Form of 5.50% Notes due 2024 (Incorporated by reference to Exhibit 4.1 hereto).</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57">
        <w:r>
          <w:rPr>
            <w:rFonts w:ascii="Arial" w:cs="Arial" w:eastAsia="Arial" w:hAnsi="Arial"/>
            <w:sz w:val="16"/>
            <w:szCs w:val="16"/>
            <w:u w:val="single" w:color="auto"/>
            <w:color w:val="0000EE"/>
          </w:rPr>
          <w:t>Opinion of Dechert LLP.</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5.2</w:t>
      </w:r>
      <w:r>
        <w:rPr>
          <w:sz w:val="20"/>
          <w:szCs w:val="20"/>
          <w:color w:val="auto"/>
        </w:rPr>
        <w:tab/>
      </w:r>
      <w:hyperlink w:anchor="page61">
        <w:r>
          <w:rPr>
            <w:rFonts w:ascii="Arial" w:cs="Arial" w:eastAsia="Arial" w:hAnsi="Arial"/>
            <w:sz w:val="16"/>
            <w:szCs w:val="16"/>
            <w:u w:val="single" w:color="auto"/>
            <w:color w:val="0000EE"/>
          </w:rPr>
          <w:t>Opinion of Venable LLP</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57">
        <w:r>
          <w:rPr>
            <w:rFonts w:ascii="Arial" w:cs="Arial" w:eastAsia="Arial" w:hAnsi="Arial"/>
            <w:sz w:val="16"/>
            <w:szCs w:val="16"/>
            <w:u w:val="single" w:color="auto"/>
            <w:color w:val="0000EE"/>
          </w:rPr>
          <w:t>Consent of Dechert LLP (included in Exhibit 5.1)</w:t>
        </w:r>
        <w:r>
          <w:rPr>
            <w:rFonts w:ascii="Arial" w:cs="Arial" w:eastAsia="Arial" w:hAnsi="Arial"/>
            <w:sz w:val="16"/>
            <w:szCs w:val="16"/>
            <w:color w:val="0000EE"/>
          </w:rPr>
          <w:t>.</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61">
        <w:r>
          <w:rPr>
            <w:rFonts w:ascii="Arial" w:cs="Arial" w:eastAsia="Arial" w:hAnsi="Arial"/>
            <w:sz w:val="16"/>
            <w:szCs w:val="16"/>
            <w:u w:val="single" w:color="auto"/>
            <w:color w:val="0000EE"/>
          </w:rPr>
          <w:t>Consent of Venable LLP (included in Exhibit 5.2).</w:t>
        </w:r>
      </w:hyperlink>
    </w:p>
    <w:p>
      <w:pPr>
        <w:sectPr>
          <w:pgSz w:w="11900" w:h="16838" w:orient="portrait"/>
          <w:cols w:equalWidth="0" w:num="1">
            <w:col w:w="10960"/>
          </w:cols>
          <w:pgMar w:left="440" w:top="270" w:right="49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September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&amp; Treasurer</w:t>
      </w:r>
    </w:p>
    <w:p>
      <w:pPr>
        <w:sectPr>
          <w:pgSz w:w="11900" w:h="16838" w:orient="portrait"/>
          <w:cols w:equalWidth="0" w:num="1">
            <w:col w:w="10880"/>
          </w:cols>
          <w:pgMar w:left="440" w:top="270" w:right="5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$75,000,000 Aggregate Principal Amount of 5.50% Notes due 2024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24,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PennantPark Investment Corporation, a Maryland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proposes to issue and sell to the several Underwriters named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for whom Keefe, Bruyette &amp; Woods, Inc. and Morgan Stanley &amp; Co. LLC shall act as joint book-running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managers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$75,000,000 aggregate principal amount of 5.50% Notes due 2024 (the “</w:t>
      </w:r>
      <w:r>
        <w:rPr>
          <w:rFonts w:ascii="Arial" w:cs="Arial" w:eastAsia="Arial" w:hAnsi="Arial"/>
          <w:sz w:val="16"/>
          <w:szCs w:val="16"/>
          <w:b w:val="1"/>
          <w:bCs w:val="1"/>
          <w:i w:val="1"/>
          <w:iCs w:val="1"/>
          <w:color w:val="auto"/>
        </w:rPr>
        <w:t>Notes</w:t>
      </w:r>
      <w:r>
        <w:rPr>
          <w:rFonts w:ascii="Arial" w:cs="Arial" w:eastAsia="Arial" w:hAnsi="Arial"/>
          <w:sz w:val="16"/>
          <w:szCs w:val="16"/>
          <w:color w:val="auto"/>
        </w:rPr>
        <w:t>”). The Company also proposes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issue and sell to the several Underwriters not more than an additional $11,250,000 aggregate principal amount of 5.50% Notes due 2024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Additional Notes</w:t>
      </w:r>
      <w:r>
        <w:rPr>
          <w:rFonts w:ascii="Arial" w:cs="Arial" w:eastAsia="Arial" w:hAnsi="Arial"/>
          <w:sz w:val="16"/>
          <w:szCs w:val="16"/>
          <w:color w:val="auto"/>
        </w:rPr>
        <w:t>”), if and to the extent that the Representatives shall have determined to exercise, on behalf of the Underwriters, the right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pursuant an overallotment option such notes granted to the Underwriters in Section 1 hereof. The Notes and the Additional Notes are hereinafter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collectively referred to as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w:t>
      </w:r>
    </w:p>
    <w:p>
      <w:pPr>
        <w:spacing w:after="0" w:line="21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The Securities will be issued under an indenture dated as of January 22, 2013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Base Indenture</w:t>
      </w:r>
      <w:r>
        <w:rPr>
          <w:rFonts w:ascii="Arial" w:cs="Arial" w:eastAsia="Arial" w:hAnsi="Arial"/>
          <w:sz w:val="17"/>
          <w:szCs w:val="17"/>
          <w:color w:val="auto"/>
        </w:rPr>
        <w:t xml:space="preserve">”), as supplemented by the Third Supplemental Indenture to be dated as of September 27, 2019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Third 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between the Company and American Stock Transfer &amp; Trust Company, LLC, as trustee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The Securities will be issued to Cede &amp; Co., as nominee of the Depository Trust Company (“</w:t>
      </w:r>
      <w:r>
        <w:rPr>
          <w:rFonts w:ascii="Arial" w:cs="Arial" w:eastAsia="Arial" w:hAnsi="Arial"/>
          <w:sz w:val="17"/>
          <w:szCs w:val="17"/>
          <w:b w:val="1"/>
          <w:bCs w:val="1"/>
          <w:i w:val="1"/>
          <w:iCs w:val="1"/>
          <w:color w:val="auto"/>
        </w:rPr>
        <w:t>DTC</w:t>
      </w:r>
      <w:r>
        <w:rPr>
          <w:rFonts w:ascii="Arial" w:cs="Arial" w:eastAsia="Arial" w:hAnsi="Arial"/>
          <w:sz w:val="17"/>
          <w:szCs w:val="17"/>
          <w:color w:val="auto"/>
        </w:rPr>
        <w:t xml:space="preserve">”), pursuant to a blanket letter of representations between the Company and DTC. The Indenture has been qualified under the Trust Indenture Act of 1939, as amended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Trust Indenture Act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w:t>
      </w:r>
    </w:p>
    <w:p>
      <w:pPr>
        <w:sectPr>
          <w:pgSz w:w="11900" w:h="16838" w:orient="portrait"/>
          <w:cols w:equalWidth="0" w:num="1">
            <w:col w:w="11020"/>
          </w:cols>
          <w:pgMar w:left="440" w:top="121" w:right="439" w:bottom="1440" w:gutter="0" w:footer="0" w:header="0"/>
        </w:sectPr>
      </w:pPr>
    </w:p>
    <w:bookmarkStart w:id="5" w:name="page6"/>
    <w:bookmarkEnd w:id="5"/>
    <w:p>
      <w:pPr>
        <w:ind w:right="34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filed, in accordance with the provisions of the Securities Act of 1933, as amended, and the rules and regulations thereunder (collectively,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a registration statement on Form N-2 (File</w:t>
      </w:r>
    </w:p>
    <w:p>
      <w:pPr>
        <w:spacing w:after="0" w:line="283" w:lineRule="auto"/>
        <w:rPr>
          <w:sz w:val="20"/>
          <w:szCs w:val="20"/>
          <w:color w:val="auto"/>
        </w:rPr>
      </w:pPr>
      <w:r>
        <w:rPr>
          <w:rFonts w:ascii="Arial" w:cs="Arial" w:eastAsia="Arial" w:hAnsi="Arial"/>
          <w:sz w:val="16"/>
          <w:szCs w:val="16"/>
          <w:color w:val="auto"/>
        </w:rPr>
        <w:t>No. 333-230014) relating to the Securities. The registration statement, as amended by pre-effective amendment No. 1, filed by the Company with the Commission on April 12, 2019, and as it may have heretofore been amended subsequently at the time it became effective, including all documents filed as a part thereof, and all documents incorporated or deemed to be incorporated therein by reference pursuant to the Small Business Credit Availability Act (the “</w:t>
      </w:r>
      <w:r>
        <w:rPr>
          <w:rFonts w:ascii="Arial" w:cs="Arial" w:eastAsia="Arial" w:hAnsi="Arial"/>
          <w:sz w:val="16"/>
          <w:szCs w:val="16"/>
          <w:b w:val="1"/>
          <w:bCs w:val="1"/>
          <w:i w:val="1"/>
          <w:iCs w:val="1"/>
          <w:color w:val="auto"/>
        </w:rPr>
        <w:t>SBCAA</w:t>
      </w:r>
      <w:r>
        <w:rPr>
          <w:rFonts w:ascii="Arial" w:cs="Arial" w:eastAsia="Arial" w:hAnsi="Arial"/>
          <w:sz w:val="16"/>
          <w:szCs w:val="16"/>
          <w:color w:val="auto"/>
        </w:rPr>
        <w:t xml:space="preserve">”) or the rules of the Commission promulgated thereunder or otherwise, and including the information (if any) deemed to be part of the registration statement at the time of effectiveness pursuant to Rule 430B or Rule 430C and Rule 497 promulgated under the Act and also including any registration statement filed pursuant to Rule 462(b) under the Act, is hereinafter referred to as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xml:space="preserve">.” The prospectus, dated as of April 12, 2019, included in the Registration Statement at the time it became effective on April 29, 2019 (including all documents incorporated or deemed to be incorporated therein by reference pursuant to the SBCAA or the rules of the Commission promulgated thereunder or otherwise, and the information, if any, deemed to be part of the Registration Statement at the time of effectiveness pursuant to Rule 430B or Rule 430C and Rule 497 under the Act), in the form in which it was distributed, is hereinafter referred to as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xml:space="preserve">”; the prospectus supplement dated September 24, 2019 filed with the Commission pursuant to Rule 497 under the Act is hereinafter referred to as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Pricing 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Pricing Prospectus</w:t>
      </w:r>
      <w:r>
        <w:rPr>
          <w:rFonts w:ascii="Arial" w:cs="Arial" w:eastAsia="Arial" w:hAnsi="Arial"/>
          <w:sz w:val="16"/>
          <w:szCs w:val="16"/>
          <w:color w:val="auto"/>
        </w:rPr>
        <w:t>”). The prospectus supplement to be filed with the Commission pursuant to Rule 497 under the Act after the Applicable Time (as defined below) and to be used to confirm sales is hereinafter referred to as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certain information relating to the pricing of the Securities omitted from the Pricing Prospectus that will be included in the Prospectus Supplement and set forth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is hereinafter referred to as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Pricing Information</w:t>
      </w:r>
      <w:r>
        <w:rPr>
          <w:rFonts w:ascii="Arial" w:cs="Arial" w:eastAsia="Arial" w:hAnsi="Arial"/>
          <w:sz w:val="16"/>
          <w:szCs w:val="16"/>
          <w:color w:val="auto"/>
        </w:rPr>
        <w:t>.” All references in this Agreement to financial statements and schedules and other information which is “included” or “stated” in the Registration Statement, the Pricing Prospectus Supplement or the Prospectus (and all other references of like import) shall be deemed to mean and include all such financial statements and schedules and other information which is or is deemed to be incorporated by reference in or otherwise deemed under the SBCAA or the rules of the Commission promulgated thereunder or otherwise to be a part of or included in the Registration Statement or the Prospectus, as the case may be, as of any specified date; and all references in this Agreement to amendments or supplements to the Registration Statement or the Prospectus, including those made pursuant to Rule 497 under the Act or such other rule under the Act as may be applicable to the Company, shall be deemed to mean and include, without limitation, the filing of any document under the Exchange Act (as defined below) which is or is deemed to be incorporated by reference in or otherwise deemed under the SBCAA or the rules of the Commission promulgated thereunder or otherwise to be a part of or included in the Registration Statement or the Prospectus, as the case may be, as of any specified date.</w:t>
      </w:r>
    </w:p>
    <w:p>
      <w:pPr>
        <w:spacing w:after="0" w:line="17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A Notification of Election to be subject to Sections 55 through 65 of the Investment Company Act of 1940 was filed with the Commission on Form N-54A (File No. 814-00743)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Notification of Election</w:t>
      </w:r>
      <w:r>
        <w:rPr>
          <w:rFonts w:ascii="Arial" w:cs="Arial" w:eastAsia="Arial" w:hAnsi="Arial"/>
          <w:sz w:val="18"/>
          <w:szCs w:val="18"/>
          <w:color w:val="auto"/>
        </w:rPr>
        <w:t xml:space="preserve">”) on April 19, 2007 pursuant to Section 54(a) of the Investment Company Act of 1940, as amended, and the rules and regulations thereunder (collectively,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Investment Company Act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As used herein,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mean a day on which the New York Stock Exchange is open for trading.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 w:name="page7"/>
    <w:bookmarkEnd w:id="6"/>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entered into an amended and restated investment advisory and management agreement, dated as of April 12, 2019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Investment Advisory Agreement</w:t>
      </w:r>
      <w:r>
        <w:rPr>
          <w:rFonts w:ascii="Arial" w:cs="Arial" w:eastAsia="Arial" w:hAnsi="Arial"/>
          <w:sz w:val="16"/>
          <w:szCs w:val="16"/>
          <w:color w:val="auto"/>
        </w:rPr>
        <w:t>”), with PennantPark Investment Advisers, LLC, a Delaware limited liability company registered as an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adviser (the </w:t>
      </w:r>
      <w:r>
        <w:rPr>
          <w:rFonts w:ascii="Arial" w:cs="Arial" w:eastAsia="Arial" w:hAnsi="Arial"/>
          <w:sz w:val="16"/>
          <w:szCs w:val="16"/>
          <w:b w:val="1"/>
          <w:bCs w:val="1"/>
          <w:i w:val="1"/>
          <w:iCs w:val="1"/>
          <w:color w:val="auto"/>
        </w:rPr>
        <w:t>“Adviser”)</w:t>
      </w:r>
      <w:r>
        <w:rPr>
          <w:rFonts w:ascii="Arial" w:cs="Arial" w:eastAsia="Arial" w:hAnsi="Arial"/>
          <w:sz w:val="16"/>
          <w:szCs w:val="16"/>
          <w:color w:val="auto"/>
        </w:rPr>
        <w:t xml:space="preserve"> under the Investment Advisers Act of 1940, as amended, and the rules and regulations thereunder (collectively, the “</w:t>
      </w:r>
      <w:r>
        <w:rPr>
          <w:rFonts w:ascii="Arial" w:cs="Arial" w:eastAsia="Arial" w:hAnsi="Arial"/>
          <w:sz w:val="16"/>
          <w:szCs w:val="16"/>
          <w:b w:val="1"/>
          <w:bCs w:val="1"/>
          <w:i w:val="1"/>
          <w:iCs w:val="1"/>
          <w:color w:val="auto"/>
        </w:rPr>
        <w:t>Advisers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w:t>
      </w:r>
      <w:r>
        <w:rPr>
          <w:rFonts w:ascii="Arial" w:cs="Arial" w:eastAsia="Arial" w:hAnsi="Arial"/>
          <w:sz w:val="18"/>
          <w:szCs w:val="18"/>
          <w:color w:val="auto"/>
        </w:rPr>
        <w:t>”).</w:t>
      </w:r>
    </w:p>
    <w:p>
      <w:pPr>
        <w:spacing w:after="0" w:line="211"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The Company has entered into an administration agreement, dated as of April 17, 2007, as renewed in February 2019 (the “</w:t>
      </w: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with PennantPark Investment Administration, LLC, a Delaware limited liability company (the “</w:t>
      </w:r>
      <w:r>
        <w:rPr>
          <w:rFonts w:ascii="Arial" w:cs="Arial" w:eastAsia="Arial" w:hAnsi="Arial"/>
          <w:sz w:val="16"/>
          <w:szCs w:val="16"/>
          <w:b w:val="1"/>
          <w:bCs w:val="1"/>
          <w:i w:val="1"/>
          <w:iCs w:val="1"/>
          <w:color w:val="auto"/>
        </w:rPr>
        <w:t>Administrator</w:t>
      </w:r>
      <w:r>
        <w:rPr>
          <w:rFonts w:ascii="Arial" w:cs="Arial" w:eastAsia="Arial" w:hAnsi="Arial"/>
          <w:sz w:val="16"/>
          <w:szCs w:val="16"/>
          <w:color w:val="auto"/>
        </w:rPr>
        <w: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the Adviser, the Administrator and the Underwriters agree as follows:</w:t>
      </w:r>
    </w:p>
    <w:p>
      <w:pPr>
        <w:spacing w:after="0" w:line="117" w:lineRule="exact"/>
        <w:rPr>
          <w:sz w:val="20"/>
          <w:szCs w:val="20"/>
          <w:color w:val="auto"/>
        </w:rPr>
      </w:pPr>
    </w:p>
    <w:p>
      <w:pPr>
        <w:ind w:firstLine="436"/>
        <w:spacing w:after="0" w:line="284"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Sale and Purchase</w:t>
      </w:r>
      <w:r>
        <w:rPr>
          <w:rFonts w:ascii="Arial" w:cs="Arial" w:eastAsia="Arial" w:hAnsi="Arial"/>
          <w:sz w:val="16"/>
          <w:szCs w:val="16"/>
          <w:color w:val="auto"/>
        </w:rPr>
        <w:t xml:space="preserve">. Upon the basis of the representations and warranties and subject to the terms and conditions herein set forth, the Company agrees to issue and sell to the respective Underwriters and each of the Underwriters, severally and not jointly, agrees to purchase from the Company at the price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xml:space="preserve">”) to be paid by the several Underwriters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the aggregate principal amount of Securities set forth opposite the name of such Underwriter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subject to adjustment in accordance with Section 8 hereof. The Company is advised by the Representatives that the Underwriters propose to make public offering of their respective portions of the Securities as soon after this Agreement has become effective as in the Representatives’ judgment is advisable. The Company is further advised by the Representatives that the Securities are to be offered to the public from time to time, in one or more negotiated transactions, at prices that may be different than par. These sales may occur at market prices prevailing at the time of sale, at prices related to such prevailing market prices or at negotiated prices. 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Notes to be purchased by each of them, all or a portion of the Additional Notes as may be necessary to cover overallotments made in connection with the offering of the Notes, at the same purchase price to be paid by the Underwriters to the Company for the Notes (without giving effect to any accrued interest from the time of purchase to the additional time of purchase, as those terms are defined herein) solely to cover overallotments made in connection with the offering of the Notes. This overallotment option may be exercised by the Representatives on behalf of the several Underwriters in whole or from time to time in part at any time (but not more than twice) on or before the thirtieth day following the date of the Prospectus, by written notice to the Company. Such notice shall set forth the aggregate principal amount of Additional Notes as to which the overallotment option is being exercised, and the date and time when the Additional Notes are to be delivered (such date and time being herein referred to as the “</w:t>
      </w:r>
      <w:r>
        <w:rPr>
          <w:rFonts w:ascii="Arial" w:cs="Arial" w:eastAsia="Arial" w:hAnsi="Arial"/>
          <w:sz w:val="16"/>
          <w:szCs w:val="16"/>
          <w:b w:val="1"/>
          <w:bCs w:val="1"/>
          <w:i w:val="1"/>
          <w:iCs w:val="1"/>
          <w:color w:val="auto"/>
        </w:rPr>
        <w:t>additional time of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additional time of purchase shall not be earlier than the time of purchase (as defined below) nor later than three business days after the date of such notice. The aggregate principal amount of Additional Notes to be sold to each Underwriter shall be the aggregate principal amount which bears the same proportion to the aggregate principal amount of Additional Notes being purchased as the number of Notes set forth opposite the name of such Underwriter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bears to the total aggregate principal amount of Notes, subject to adjustment in accordance with Section 8 hereof.</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 w:name="page8"/>
    <w:bookmarkEnd w:id="7"/>
    <w:p>
      <w:pPr>
        <w:ind w:right="60" w:firstLine="436"/>
        <w:spacing w:after="0" w:line="27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and Delivery</w:t>
      </w:r>
      <w:r>
        <w:rPr>
          <w:rFonts w:ascii="Arial" w:cs="Arial" w:eastAsia="Arial" w:hAnsi="Arial"/>
          <w:sz w:val="17"/>
          <w:szCs w:val="17"/>
          <w:color w:val="auto"/>
        </w:rPr>
        <w:t xml:space="preserve">. Payment of the purchase price for the Securities shall be made to the Company by Federal Funds wire transfer, against delivery of the Securities to you through the facilities of DTC for the respective accounts of the Underwriters. Such payment and delivery shall be made at 10:00 A.M., New York City time, on September 27, 2019 (unless another time shall be agreed to by you and the Company or unless postponed in accordance with the provisions of Section 8 hereof). The time at which such payment and delivery are to be made is hereinafter sometimes called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the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time of purchase</w:t>
      </w:r>
      <w:r>
        <w:rPr>
          <w:rFonts w:ascii="Arial" w:cs="Arial" w:eastAsia="Arial" w:hAnsi="Arial"/>
          <w:sz w:val="17"/>
          <w:szCs w:val="17"/>
          <w:color w:val="auto"/>
        </w:rPr>
        <w:t>.” Electronic transfer of the Securities shall be made to you at the time of purchase in such names and in such denominations as you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specify. Payment of the purchase price for the Additional Notes shall be made at the additional time of purchase, if any, in the same manner and at the same office as the payment for the Notes. Electronic transfer of the Additional Notes shall be made to you at the additional time of purchase in such names and in such denominations as you shall specify.</w:t>
      </w:r>
    </w:p>
    <w:p>
      <w:pPr>
        <w:spacing w:after="0" w:line="178"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Deliveries of the documents described in Section 6 hereof with respect to the purchase of the Securities shall be made at the offices of Ropes &amp; Gray LLP, 1211 Avenue of the Americas, New York, N.Y. 10036 at 10:00 A.M., New York City time, on the date of the closing of the purchase of the Securities.</w:t>
      </w:r>
    </w:p>
    <w:p>
      <w:pPr>
        <w:spacing w:after="0" w:line="76" w:lineRule="exact"/>
        <w:rPr>
          <w:sz w:val="20"/>
          <w:szCs w:val="20"/>
          <w:color w:val="auto"/>
        </w:rPr>
      </w:pPr>
    </w:p>
    <w:p>
      <w:pPr>
        <w:ind w:right="60" w:firstLine="436"/>
        <w:spacing w:after="0" w:line="263"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 the Adviser and the Administrator</w:t>
      </w:r>
      <w:r>
        <w:rPr>
          <w:rFonts w:ascii="Arial" w:cs="Arial" w:eastAsia="Arial" w:hAnsi="Arial"/>
          <w:sz w:val="18"/>
          <w:szCs w:val="18"/>
          <w:color w:val="auto"/>
        </w:rPr>
        <w:t>. The Company represents and warrants to and agrees with each of the Underwriters, and the Adviser and the Administrator, jointly and severally, represent and warrant to and agree with each of the Underwriters that:</w:t>
      </w:r>
    </w:p>
    <w:p>
      <w:pPr>
        <w:spacing w:after="0" w:line="76" w:lineRule="exact"/>
        <w:rPr>
          <w:sz w:val="20"/>
          <w:szCs w:val="20"/>
          <w:color w:val="auto"/>
        </w:rPr>
      </w:pPr>
    </w:p>
    <w:p>
      <w:pPr>
        <w:ind w:firstLine="436"/>
        <w:spacing w:after="0" w:line="286" w:lineRule="auto"/>
        <w:tabs>
          <w:tab w:leader="none" w:pos="68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Registration Statement has been declared effective under the Act; no stop order of the Commission preventing or suspending the use of any Pricing Prospectus or the Prospectus or the effectiveness of the Registration Statement has been issued and no proceedings for such purpose have been instituted or, to the Company’s knowledge, are contemplated by the Commission; the Notification of Election was filed with the Commission on April 19, 2007 under the Investment Company Act; the Pricing Prospectus taken together with the Pricing Information, as of the date and time that this Agreement is executed and delivered by the parties hereto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Applicable Time</w:t>
      </w:r>
      <w:r>
        <w:rPr>
          <w:rFonts w:ascii="Arial" w:cs="Arial" w:eastAsia="Arial" w:hAnsi="Arial"/>
          <w:sz w:val="16"/>
          <w:szCs w:val="16"/>
          <w:color w:val="auto"/>
        </w:rPr>
        <w:t>”), and at the time of purchase and the additional time of purchase, if any, did not contain any untrue statement of a material fact or omit to state a material fact required to be stated therein or necessary to make the statements therein, in the light of the circumstances under which they were made, not misleading; the Registration Statement complied when it became effective, and complies and will comply, when the Prospectus is first filed in accordance with Rule 497 under the Act and at the time of purchase and any additional time of purchase, in all material respects with the applicable requirements of the Act and the Investment Company Act and the Prospectus (and any supplements thereto), as of the date it is first filed in accordance with Rule 497 under the Act and at the time of purchase and any additional time of purchase, will comply in all material respects with the applicable requirements of the Act and the Investment Company Act; the Registration Statement did not, when it became effective, does not and will not, when the Prospectus is first filed in accordance with Rule 497 under the Act and at the time of purchase and any additional time of purchase, contain an untrue statement of 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 w:name="page9"/>
    <w:bookmarkEnd w:id="8"/>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material fact or omit to state a material fact required to be stated therein or necessary to make the statements therein not misleading and the Prospectus (and any supplements thereto) will not contain an untrue statement of a material fact or omit to state a material fact required to be stated therein or necessary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the Adviser and the Administrator make no warranty or representation with respect to any statement or omission contained in the Registration Statement, the Pricing Prospectus, or the Prospectus, or any amendment or supplement thereto, made in reliance upon and in conformity with information concerning an Underwriter and furnished in writing by or on behalf of such Underwriter to the Company expressly for use therein. No statement of a material fact included in the Prospectus has been omitted from the Pricing Prospectus, when considered together with the Pricing Information, and no statement of material fact included in the Pricing Prospectus, when considered together with the Pricing Information, that is required to be included in the Prospectus will be omitted therefrom; the Company has not distributed and will not distribute any offering material in connection with the offering or sale of the Securities other than the Registration Statement, the Pricing Prospectus and the Prospectus; any materials or information provided to investors by, or with the approval of, the Company in connection with the offering of the Securities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Marketing Materials</w:t>
      </w:r>
      <w:r>
        <w:rPr>
          <w:rFonts w:ascii="Arial" w:cs="Arial" w:eastAsia="Arial" w:hAnsi="Arial"/>
          <w:sz w:val="16"/>
          <w:szCs w:val="16"/>
          <w:color w:val="auto"/>
        </w:rPr>
        <w:t>”), including any Road Show Materials (as defined below) or investor presentations made to investors by the Company (whether in person or electronically), when considered together with the Pricing Prospectus, do not contain any untrue statement of material fact or omit to state a material fact necessary to make the statements therein, in the light of the circumstances under which they were made, not misleading;</w:t>
      </w:r>
    </w:p>
    <w:p>
      <w:pPr>
        <w:spacing w:after="0" w:line="63" w:lineRule="exact"/>
        <w:rPr>
          <w:sz w:val="20"/>
          <w:szCs w:val="20"/>
          <w:color w:val="auto"/>
        </w:rPr>
      </w:pPr>
    </w:p>
    <w:p>
      <w:pPr>
        <w:ind w:left="4" w:right="100" w:firstLine="436"/>
        <w:spacing w:after="0" w:line="286" w:lineRule="auto"/>
        <w:tabs>
          <w:tab w:leader="none" w:pos="699"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(iii) and (iv) below) an “</w:t>
      </w:r>
      <w:r>
        <w:rPr>
          <w:rFonts w:ascii="Arial" w:cs="Arial" w:eastAsia="Arial" w:hAnsi="Arial"/>
          <w:sz w:val="16"/>
          <w:szCs w:val="16"/>
          <w:b w:val="1"/>
          <w:bCs w:val="1"/>
          <w:i w:val="1"/>
          <w:iCs w:val="1"/>
          <w:color w:val="auto"/>
        </w:rPr>
        <w:t>Issuer Free Writing Prospectus</w:t>
      </w:r>
      <w:r>
        <w:rPr>
          <w:rFonts w:ascii="Arial" w:cs="Arial" w:eastAsia="Arial" w:hAnsi="Arial"/>
          <w:sz w:val="16"/>
          <w:szCs w:val="16"/>
          <w:color w:val="auto"/>
        </w:rPr>
        <w:t>”) other than</w:t>
      </w:r>
    </w:p>
    <w:p>
      <w:pPr>
        <w:spacing w:after="0" w:line="1" w:lineRule="exact"/>
        <w:rPr>
          <w:rFonts w:ascii="Arial" w:cs="Arial" w:eastAsia="Arial" w:hAnsi="Arial"/>
          <w:sz w:val="16"/>
          <w:szCs w:val="16"/>
          <w:color w:val="auto"/>
        </w:rPr>
      </w:pPr>
    </w:p>
    <w:p>
      <w:pPr>
        <w:ind w:left="224" w:hanging="224"/>
        <w:spacing w:after="0"/>
        <w:tabs>
          <w:tab w:leader="none" w:pos="224"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document not constituting a prospectus pursuant to Section 2(a)(10)(a) of the Act or Rule 134 under the Act, (ii) the Registration Statement,</w:t>
      </w:r>
    </w:p>
    <w:p>
      <w:pPr>
        <w:spacing w:after="0" w:line="32" w:lineRule="exact"/>
        <w:rPr>
          <w:rFonts w:ascii="Arial" w:cs="Arial" w:eastAsia="Arial" w:hAnsi="Arial"/>
          <w:sz w:val="16"/>
          <w:szCs w:val="16"/>
          <w:color w:val="auto"/>
        </w:rPr>
      </w:pPr>
    </w:p>
    <w:p>
      <w:pPr>
        <w:ind w:left="4" w:right="40" w:hanging="4"/>
        <w:spacing w:after="0" w:line="251"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Pricing Prospectus, (iv) the Prospectus, and (v) any electronic road show or other written communications, in each case approved in writing in advance by the Representatives. Each such Issuer Free Writing Prospectus, if any, complies in all material respects with the Act, has been or will be (within the time period specified in Rule 433) filed in accordance with the Act (to the extent required thereby) and, when taken together with the Pricing Prospectus filed prior to the first use of such Issuer Free Writing Prospectus, at the Applicable Time, did not, and at the time of purchase and any additional time of purchase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makes no representation or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13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9" w:name="page10"/>
    <w:bookmarkEnd w:id="9"/>
    <w:p>
      <w:pPr>
        <w:ind w:firstLine="436"/>
        <w:spacing w:after="0" w:line="271" w:lineRule="auto"/>
        <w:tabs>
          <w:tab w:leader="none" w:pos="685"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documents incorporated by reference in each of the Registration Statement, the Prospectus and the Pricing Prospectus, when they became effective or were filed with the Commission, as the case may be, conformed in all material respects to the requirements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necessary to make the statements therein, in the light of the circumstances under which they were made, not misleading;</w:t>
      </w:r>
    </w:p>
    <w:p>
      <w:pPr>
        <w:spacing w:after="0" w:line="70" w:lineRule="exact"/>
        <w:rPr>
          <w:rFonts w:ascii="Arial" w:cs="Arial" w:eastAsia="Arial" w:hAnsi="Arial"/>
          <w:sz w:val="17"/>
          <w:szCs w:val="17"/>
          <w:color w:val="auto"/>
        </w:rPr>
      </w:pPr>
    </w:p>
    <w:p>
      <w:pPr>
        <w:ind w:firstLine="436"/>
        <w:spacing w:after="0" w:line="290" w:lineRule="auto"/>
        <w:tabs>
          <w:tab w:leader="none" w:pos="695"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the Applicable Time, the Company has an authorized and outstanding capitalization as set forth under the heading “Actual” in the section of the Pricing Prospectus and the Prospectus entitled “Capitalization” and, as of the time of purchase and any additional time of purchase, the Company shall have an authorized and outstanding capitalization as set forth under the heading “As adjusted for the offering” in the section of the Prospectus entitled “Capitalization” (subject, in the case of the time of purchase and in the event that the time of purchase and an additional time of purchase occur concurrently, to the issues of the Additional Notes, and subject, in the case of any additional time of purchase, to the issuance of the Additional Notes, as well as to the issuance of any shares pursuant to the Company’s dividend reinvestment plan); all of the issued and outstanding shares of capital stock of the Company have been duly authorized and validly issued and are fully paid and non-assessable, have been issued in compliance with all federal and state securities laws and were not issued in violation of any preemptive right or right of first refusal;</w:t>
      </w:r>
    </w:p>
    <w:p>
      <w:pPr>
        <w:spacing w:after="0" w:line="57" w:lineRule="exact"/>
        <w:rPr>
          <w:rFonts w:ascii="Arial" w:cs="Arial" w:eastAsia="Arial" w:hAnsi="Arial"/>
          <w:sz w:val="16"/>
          <w:szCs w:val="16"/>
          <w:color w:val="auto"/>
        </w:rPr>
      </w:pPr>
    </w:p>
    <w:p>
      <w:pPr>
        <w:ind w:right="60" w:firstLine="436"/>
        <w:spacing w:after="0" w:line="286" w:lineRule="auto"/>
        <w:tabs>
          <w:tab w:leader="none" w:pos="68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has been duly incorporated and is validly existing as a corporation in good standing under the laws of the State of Maryland, and has the corporate power and authority to own, lease and operate its properties and conduct its business as described in the Pricing Prospectus, the Prospectus and the Registration Statement, and to execute and deliver this Agreement, the Indenture and the Securities;</w:t>
      </w:r>
    </w:p>
    <w:p>
      <w:pPr>
        <w:spacing w:after="0" w:line="57" w:lineRule="exact"/>
        <w:rPr>
          <w:rFonts w:ascii="Arial" w:cs="Arial" w:eastAsia="Arial" w:hAnsi="Arial"/>
          <w:sz w:val="17"/>
          <w:szCs w:val="17"/>
          <w:color w:val="auto"/>
        </w:rPr>
      </w:pPr>
    </w:p>
    <w:p>
      <w:pPr>
        <w:ind w:right="20" w:firstLine="436"/>
        <w:spacing w:after="0" w:line="272" w:lineRule="auto"/>
        <w:tabs>
          <w:tab w:leader="none" w:pos="66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have a material adverse effect on the business, financial condition, results of operation or prospects of the Company and its subsidiaries PennantPark Investment Funding I, LLC, PennantPark SBIC II LP, PennantPark SBIC GP II, LLC, PNNT Alabama Holdings Inc., PNNT Cascade Environmental Holdings, LLC, PNNT CI (GALLS) Prime Investment Holdings, LLC, PNNT Investment Holdings, LLC, PNNT New Gulf Resources, LLC, PNNT ecoserve, LLC, AKW Holdings Limited, RAM Energy Holdings LLC, and Superior Digital Displays, LLC (each a “</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Subsidiaries</w:t>
      </w:r>
      <w:r>
        <w:rPr>
          <w:rFonts w:ascii="Arial" w:cs="Arial" w:eastAsia="Arial" w:hAnsi="Arial"/>
          <w:sz w:val="17"/>
          <w:szCs w:val="17"/>
          <w:color w:val="auto"/>
        </w:rPr>
        <w:t xml:space="preserve">”) taken as a whole (a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 w:name="page11"/>
    <w:bookmarkEnd w:id="10"/>
    <w:p>
      <w:pPr>
        <w:ind w:firstLine="436"/>
        <w:spacing w:after="0" w:line="289"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no subsidiary that is a significant subsidiary of the Company within the meaning of Rule 1-02(w) of Regulation S-X under the Act; the Company has no subsidiary (as defined in the Act) other than the Subsidiaries; each of the Subsidiaries has been duly organized, is validly existing as a Delaware limited partnership, a Delaware limited liability company or a Delaware corporation, as the case may be, is in good standing under the laws of the jurisdiction in which it was organized, and has the power and authority to own, lease and operate its properties and to conduct its business as described in the Pricing Prospectus, the Prospectus and the Registration Statement, as applicable; complete and correct copies of the articles of incorporation, certificate of formation, certificate of limited partnership, limited liability company operating agreement, limited partnership agreement and bylaws, as applicable, of each of the Company and of the Subsidiaries, and all amendments thereto through the date hereof, have been delivered to you; the Company, either directly or through a wholly-owned subsidiary, owns all of the outstanding equity interests of the Subsidiaries free and clear of any liens, charges or encumbrances in favor of any third parties. PNNT Alabama Holdings Inc. does not employ any persons or conduct any business;</w:t>
      </w:r>
    </w:p>
    <w:p>
      <w:pPr>
        <w:spacing w:after="0" w:line="58" w:lineRule="exact"/>
        <w:rPr>
          <w:rFonts w:ascii="Arial" w:cs="Arial" w:eastAsia="Arial" w:hAnsi="Arial"/>
          <w:sz w:val="16"/>
          <w:szCs w:val="16"/>
          <w:color w:val="auto"/>
        </w:rPr>
      </w:pPr>
    </w:p>
    <w:p>
      <w:pPr>
        <w:ind w:right="240" w:firstLine="436"/>
        <w:spacing w:after="0" w:line="263"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Subsidiaries are duly qualified to do business as a foreign entity and are in good standing in each jurisdiction where the ownership or leasing of their respective properties or the conduct of their respective business requires such qualification, except where the failure to be so qualified and in good standing would not have a Material Adverse Effect;</w:t>
      </w:r>
    </w:p>
    <w:p>
      <w:pPr>
        <w:spacing w:after="0" w:line="75" w:lineRule="exact"/>
        <w:rPr>
          <w:rFonts w:ascii="Arial" w:cs="Arial" w:eastAsia="Arial" w:hAnsi="Arial"/>
          <w:sz w:val="18"/>
          <w:szCs w:val="18"/>
          <w:color w:val="auto"/>
        </w:rPr>
      </w:pPr>
    </w:p>
    <w:p>
      <w:pPr>
        <w:ind w:right="100" w:firstLine="436"/>
        <w:spacing w:after="0" w:line="275"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Indenture (including the Third Supplemental Indenture) has been duly authorized, and at the time of purchase, will be executed and delivered by the Company and when duly authorized, executed and delivered by the Trustee will constitute a valid and legally binding obligation of the Company, enforceable against the Company in accordance with its terms, subject, as to enforcement, to applicable bankruptcy, reorganization, insolvency, moratorium or other laws affecting creditors’ rights generally and to general principles of equity (regardless of whether enforcement is considered in a proceeding in equity or law) (collectively,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Enforceability Exceptions</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right="260" w:firstLine="436"/>
        <w:spacing w:after="0" w:line="296"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Securities have been duly authorized for sale to the Underwriters pursuant to this Agreement and, when executed and delivered by the Company and authenticated by the Trustee pursuant to the provisions of this Agreement and of the Indenture relating thereto, against payment of the consideration set forth in this Agreement, will be valid and legally binding obligations of the Company, enforceable in accordance with their terms, subject to the Enforceability Exceptions, and will be entitled to the benefits of the Indenture relating thereto; and the Securities and the Indenture will conform in all material respects to the statements relating thereto contained in the Pricing Prospectus and the Prospectus;</w:t>
      </w:r>
    </w:p>
    <w:p>
      <w:pPr>
        <w:spacing w:after="0" w:line="53" w:lineRule="exact"/>
        <w:rPr>
          <w:rFonts w:ascii="Arial" w:cs="Arial" w:eastAsia="Arial" w:hAnsi="Arial"/>
          <w:sz w:val="16"/>
          <w:szCs w:val="16"/>
          <w:color w:val="auto"/>
        </w:rPr>
      </w:pPr>
    </w:p>
    <w:p>
      <w:pPr>
        <w:jc w:val="both"/>
        <w:ind w:right="40" w:firstLine="436"/>
        <w:spacing w:after="0" w:line="257"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this Agreement, the Investment Advisory Agreement and the Administration Agreement have been duly authorized, executed and delivered by the Company and constitute the valid and legally binding agreements of the Company, enforceable against the Company, in accordance with their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of the Company, the Adviser and the Administrator makes no representation or warranty with respect to the validity or enforceability of any provision hereunder or thereunder relating to rights to indemnity and/or contribution or to enforceability of any obligations that may be limited the Enforceability Exceptions;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1" w:name="page12"/>
    <w:bookmarkEnd w:id="11"/>
    <w:p>
      <w:pPr>
        <w:ind w:right="40" w:firstLine="436"/>
        <w:spacing w:after="0" w:line="286"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neither the Company nor any Subsidiary is (i) in violation of its charter, by-laws, certificate of formation, limited liability company operating agreement, or other organizational documents of the Company or any Subsidiary, as applicable, or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any Subsidiary, as the case may be, is a party or (iii) in contravention of any law, regulation or rule or any decree, judgment or order applicable to the Company or any Subsidiary, as applicable, except, with respect to clauses (ii) and (iii), to the extent that any such contravention would not have a Material Adverse Effect; and the execution, delivery and performance by the Company of this Agreement, the Indenture (including the Third Supplemental Indenture) and the Securities and the consummation of the transactions contemplated hereby will not (i) violate the charter, by-laws or other organizational documents of the Company,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any Subsidiary, as the case may be, is a party or (iii) contravene any law, regulation or rule or any decree, judgment or order applicable to the Company or any Subsidiary, as applicable, except, with respect to clauses (ii) and (iii), to the extent that any such contravention would not have a Material Adverse Effect and, with respect to clause (iii), to the extent such contravention would not have a Material Adverse Effect on the ability of the Company to consummate the offering and sale of Securities or any transaction contemplated by this Agreement or the Pricing Prospectus;</w:t>
      </w:r>
    </w:p>
    <w:p>
      <w:pPr>
        <w:spacing w:after="0" w:line="59" w:lineRule="exact"/>
        <w:rPr>
          <w:rFonts w:ascii="Arial" w:cs="Arial" w:eastAsia="Arial" w:hAnsi="Arial"/>
          <w:sz w:val="16"/>
          <w:szCs w:val="16"/>
          <w:color w:val="auto"/>
        </w:rPr>
      </w:pPr>
    </w:p>
    <w:p>
      <w:pPr>
        <w:ind w:firstLine="436"/>
        <w:spacing w:after="0" w:line="257" w:lineRule="auto"/>
        <w:tabs>
          <w:tab w:leader="none" w:pos="7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approval, authorization, consent or order of or filing with any governmental or regulatory body or agency is required in connection with the performance by the Company of its obligations under this Agreement and the consummation of the transactions contemplated by this Agreement, the Indenture and the Securities other than (i) registration of the Securities under the Act, which has been effected, (ii) any necessary qualification under the securities or blue sky laws of the various jurisdictions in which the Securities are being offered by the Underwriters, and (iii) in connection with the listing of the Securities on the Nasdaq Global Select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right="100" w:firstLine="436"/>
        <w:spacing w:after="0" w:line="257"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set forth in the Registration Statement, the Pricing Prospectus and the Prospectus, (i) no person has the right to act as an underwriter or as a financial advisor to the Company in connection with the offer and sale of the Securities, and (ii) 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Securities registered pursuant to the Registration Statement;</w:t>
      </w:r>
    </w:p>
    <w:p>
      <w:pPr>
        <w:spacing w:after="0" w:line="79" w:lineRule="exact"/>
        <w:rPr>
          <w:rFonts w:ascii="Arial" w:cs="Arial" w:eastAsia="Arial" w:hAnsi="Arial"/>
          <w:sz w:val="18"/>
          <w:szCs w:val="18"/>
          <w:color w:val="auto"/>
        </w:rPr>
      </w:pPr>
    </w:p>
    <w:p>
      <w:pPr>
        <w:ind w:left="700" w:hanging="264"/>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each of the Company and each of the Subsidiaries has all necessary licenses, authorizations, consents and approvals (collectively, the</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Consents</w:t>
      </w:r>
      <w:r>
        <w:rPr>
          <w:rFonts w:ascii="Arial" w:cs="Arial" w:eastAsia="Arial" w:hAnsi="Arial"/>
          <w:sz w:val="18"/>
          <w:szCs w:val="18"/>
          <w:color w:val="auto"/>
        </w:rPr>
        <w:t>”) and has made all necessary filings required under any federal, state, local or foreign law, regulation or rule, and has obtained all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authorizations, consents and approvals from other persons, in order to conduct its business, except where the failure to obtain such consent would not have a Material Adverse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2" w:name="page13"/>
    <w:bookmarkEnd w:id="1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Effect; neither the Company nor any Subsidiary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any Subsidiary, except where such violation, default, revocation or modification would not, individually or in the aggregate, have a Material Adverse Effect;</w:t>
      </w:r>
    </w:p>
    <w:p>
      <w:pPr>
        <w:spacing w:after="0" w:line="79" w:lineRule="exact"/>
        <w:rPr>
          <w:sz w:val="20"/>
          <w:szCs w:val="20"/>
          <w:color w:val="auto"/>
        </w:rPr>
      </w:pPr>
    </w:p>
    <w:p>
      <w:pPr>
        <w:ind w:right="120" w:firstLine="436"/>
        <w:spacing w:after="0" w:line="263"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legal proceedings, government proceedings known to the Company, affiliate transactions, consents, licenses, agreements, leases or documents of a character required to be described in the Pricing Prospectus and the Prospectus or to be filed as an exhibit to the Registration Statement have been so described or filed as required;</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Pricing Prospectus and the Prospectus, there are no legal actions, suits, claims,</w:t>
      </w:r>
    </w:p>
    <w:p>
      <w:pPr>
        <w:spacing w:after="0" w:line="34" w:lineRule="exact"/>
        <w:rPr>
          <w:rFonts w:ascii="Arial" w:cs="Arial" w:eastAsia="Arial" w:hAnsi="Arial"/>
          <w:sz w:val="17"/>
          <w:szCs w:val="17"/>
          <w:color w:val="auto"/>
        </w:rPr>
      </w:pPr>
    </w:p>
    <w:p>
      <w:pPr>
        <w:ind w:right="100"/>
        <w:spacing w:after="0" w:line="253" w:lineRule="auto"/>
        <w:rPr>
          <w:rFonts w:ascii="Arial" w:cs="Arial" w:eastAsia="Arial" w:hAnsi="Arial"/>
          <w:sz w:val="17"/>
          <w:szCs w:val="17"/>
          <w:color w:val="auto"/>
        </w:rPr>
      </w:pPr>
      <w:r>
        <w:rPr>
          <w:rFonts w:ascii="Arial" w:cs="Arial" w:eastAsia="Arial" w:hAnsi="Arial"/>
          <w:sz w:val="18"/>
          <w:szCs w:val="18"/>
          <w:color w:val="auto"/>
        </w:rPr>
        <w:t>investigations or proceedings pending or, to the Company’s knowledge, threatened to which the Company or the Subsidiaries, or any of their respective directors, managing members or officers is a party or of which any of their respective properties is or would be subject at law or in equity, before or by any federal, state, local or foreign governmental or regulatory commission, board, body, authority or agency, except any such action, suit, claim, investigation or proceeding which would not if determined adversely to the Company or the Subsidiaries, as the case may be, have a Material Adverse Effect or prevent consummation of the transactions contemplated hereby;</w:t>
      </w:r>
    </w:p>
    <w:p>
      <w:pPr>
        <w:spacing w:after="0" w:line="82" w:lineRule="exact"/>
        <w:rPr>
          <w:rFonts w:ascii="Arial" w:cs="Arial" w:eastAsia="Arial" w:hAnsi="Arial"/>
          <w:sz w:val="17"/>
          <w:szCs w:val="17"/>
          <w:color w:val="auto"/>
        </w:rPr>
      </w:pPr>
    </w:p>
    <w:p>
      <w:pPr>
        <w:jc w:val="both"/>
        <w:ind w:right="180" w:firstLine="436"/>
        <w:spacing w:after="0" w:line="263" w:lineRule="auto"/>
        <w:tabs>
          <w:tab w:leader="none" w:pos="6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RSM US LLP, formerly McGladrey LLP, whose report on the audited consolidated statement of assets and liabilities of the Company is filed with the Commission as part of, or incorporated by reference in, the Prospectus, is an independent registered public accounting firm as required by the Act;</w:t>
      </w:r>
    </w:p>
    <w:p>
      <w:pPr>
        <w:spacing w:after="0" w:line="75" w:lineRule="exact"/>
        <w:rPr>
          <w:rFonts w:ascii="Arial" w:cs="Arial" w:eastAsia="Arial" w:hAnsi="Arial"/>
          <w:sz w:val="18"/>
          <w:szCs w:val="18"/>
          <w:color w:val="auto"/>
        </w:rPr>
      </w:pPr>
    </w:p>
    <w:p>
      <w:pPr>
        <w:ind w:firstLine="436"/>
        <w:spacing w:after="0" w:line="286" w:lineRule="auto"/>
        <w:tabs>
          <w:tab w:leader="none" w:pos="6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financial statements of the Company included or incorporated by reference in the Pricing Prospectus, the Prospectus and the Registration Statement, together with the related notes, present fairly the financial position and results of operations of the Company as of the dates indicated and for the indicated periods (except that the unaudited financial statements were or are subject to normal year-end adjustments which were not, or are not expected to be, material in amount to the Company); such financial statements have been prepared in accordance with United States generally accepted accounting principles, consistently applied throughout the periods presented except as noted in the notes thereon, and all adjustments necessary for a fair presentation of results for such periods have been made (except, in each case, as may be permitted by the rules and regulations of the Commission); and the selected financial information included in the Registration Statement, the Pricing Prospectus and the Prospectus presents fairly in all material respects the information shown therein and has been compiled on a basis consistent with the financial statements presented therein; there are no financial statements that are required to be included in the Pricing Prospectus, the Prospectus and the Registration Statement that are not included as required; the Company does not have any material liabilities or obligations, direct or contingent (including any off-balance sheet obligations), not disclosed in the Pricing Prospectus, the Prospectus and the Registration Statement; and all disclosures contained in the Pricing Prospectus, the Prospectus and the Registration Statement regarding “non-GAAP financial measures” (as such term is defined by the rules and regulations of the Commission), if any, comply with Regulation G of the Exchange Act and Item 10 of Regulation S-K under the Act, to the extent applicable.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3" w:name="page14"/>
    <w:bookmarkEnd w:id="13"/>
    <w:p>
      <w:pPr>
        <w:jc w:val="both"/>
        <w:ind w:left="-40" w:right="80" w:firstLine="436"/>
        <w:spacing w:after="0" w:line="311" w:lineRule="auto"/>
        <w:tabs>
          <w:tab w:leader="none" w:pos="615"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subsequent to the date of the Registration Statement, the Pricing Prospectus and the Prospectus (exclusive of any amendments or supplements thereto subsequent to the date of this Agreement), there has not been any material adverse change, or any development involving a prospective material adverse change, in the business, management, financial condition, prospects or results of operations of the Company or the Subsidiaries.</w:t>
      </w:r>
    </w:p>
    <w:p>
      <w:pPr>
        <w:spacing w:after="0" w:line="40" w:lineRule="exact"/>
        <w:rPr>
          <w:rFonts w:ascii="Arial" w:cs="Arial" w:eastAsia="Arial" w:hAnsi="Arial"/>
          <w:sz w:val="16"/>
          <w:szCs w:val="16"/>
          <w:color w:val="auto"/>
        </w:rPr>
      </w:pPr>
    </w:p>
    <w:p>
      <w:pPr>
        <w:ind w:left="-40" w:right="40" w:firstLine="436"/>
        <w:spacing w:after="0" w:line="31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of the Company and of the Subsidiaries is not and, after giving effect to the offering and sale of the Securities and the application of the proceeds thereof as described in the Registration Statement, the Pricing Prospectus and the Prospectus, will not be required to register as an “investment company” and is not an entity “controlled” by an “investment company,” as such terms are defined in the Investment Company Act;</w:t>
      </w:r>
    </w:p>
    <w:p>
      <w:pPr>
        <w:spacing w:after="0" w:line="40" w:lineRule="exact"/>
        <w:rPr>
          <w:rFonts w:ascii="Arial" w:cs="Arial" w:eastAsia="Arial" w:hAnsi="Arial"/>
          <w:sz w:val="16"/>
          <w:szCs w:val="16"/>
          <w:color w:val="auto"/>
        </w:rPr>
      </w:pPr>
    </w:p>
    <w:p>
      <w:pPr>
        <w:ind w:left="-40" w:firstLine="436"/>
        <w:spacing w:after="0" w:line="289"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of the Company and of the Subsidiaries owns, or has obtained valid and enforceable licenses for, or other rights to use, the inventions, patent applications, patents, trademarks (both registered and unregistered), tradenames, copyrights, trade secrets and other proprietary information described in the Registration Statement, the Pricing Prospectus and the Prospectus as being licensed by it or which are necessary for the conduct of its businesses (collectively,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except where the failure to own, license or have such rights would not, individually or in the aggregate, have a Material Adverse Effect; except as disclosed in the Registration Statement, the Pricing Prospectus and the Prospectus, neither the Company nor any Subsidiary has received notice or is otherwise aware of any infringement of, or conflict with, asserted rights of third parties with respect to any Intellectual Property or of any facts or circumstances which would render any Intellectual Property invalid or inadequate to protect the interest of the Company or of any Subsidiary, as the case may be, therein, and which infringement or conflict (if the subject of any unfavorable decision, ruling or finding) or invalidity or inadequacy, would result in a Material Adverse Effect;</w:t>
      </w:r>
    </w:p>
    <w:p>
      <w:pPr>
        <w:spacing w:after="0" w:line="58" w:lineRule="exact"/>
        <w:rPr>
          <w:rFonts w:ascii="Arial" w:cs="Arial" w:eastAsia="Arial" w:hAnsi="Arial"/>
          <w:sz w:val="16"/>
          <w:szCs w:val="16"/>
          <w:color w:val="auto"/>
        </w:rPr>
      </w:pPr>
    </w:p>
    <w:p>
      <w:pPr>
        <w:ind w:left="-40" w:right="240" w:firstLine="436"/>
        <w:spacing w:after="0" w:line="259"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maintains insurance covering its properties, operations, personnel and businesses as the Company deems adequate; such insurance insures against such losses and risks to an extent which is adequate in accordance with customary industry practice to protect the Company and its business; all such insurance is fully in force on the date hereof and will be fully in force at the time of purchase and any additional time of purchase;</w:t>
      </w:r>
    </w:p>
    <w:p>
      <w:pPr>
        <w:spacing w:after="0" w:line="78" w:lineRule="exact"/>
        <w:rPr>
          <w:rFonts w:ascii="Arial" w:cs="Arial" w:eastAsia="Arial" w:hAnsi="Arial"/>
          <w:sz w:val="18"/>
          <w:szCs w:val="18"/>
          <w:color w:val="auto"/>
        </w:rPr>
      </w:pPr>
    </w:p>
    <w:p>
      <w:pPr>
        <w:ind w:left="-40" w:right="40" w:firstLine="436"/>
        <w:spacing w:after="0" w:line="273"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maintains a system of internal accounting controls sufficient to provide reasonable assurance that (i) transactions are executed in accordance with management’s general or specific authorization and the applicable requirements of the Investment Company Act and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80" w:top="274" w:right="479" w:bottom="1440" w:gutter="0" w:footer="0" w:header="0"/>
        </w:sectPr>
      </w:pPr>
    </w:p>
    <w:bookmarkStart w:id="14" w:name="page15"/>
    <w:bookmarkEnd w:id="14"/>
    <w:p>
      <w:pPr>
        <w:ind w:right="100" w:firstLine="436"/>
        <w:spacing w:after="0" w:line="257"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established and maintains disclosure controls and procedures (as such term is defined in Rules 13a-15 and 15d-15 under the Exchange Act); such disclosure controls and procedures are designed to ensure that material information relating to the Company, including material information pertaining to the Company’s operations and assets managed by the Adviser, is made known to the Company’s Chief Executive Officer and Chief Financial Officer by others within the Company and the Adviser, and such disclosure controls and procedures are effective to perform the functions for which they were established;</w:t>
      </w:r>
    </w:p>
    <w:p>
      <w:pPr>
        <w:spacing w:after="0" w:line="79" w:lineRule="exact"/>
        <w:rPr>
          <w:rFonts w:ascii="Arial" w:cs="Arial" w:eastAsia="Arial" w:hAnsi="Arial"/>
          <w:sz w:val="18"/>
          <w:szCs w:val="18"/>
          <w:color w:val="auto"/>
        </w:rPr>
      </w:pPr>
    </w:p>
    <w:p>
      <w:pPr>
        <w:ind w:right="180" w:firstLine="436"/>
        <w:spacing w:after="0" w:line="271" w:lineRule="auto"/>
        <w:tabs>
          <w:tab w:leader="none" w:pos="68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The Company’s internal control over financial reporting is effective and the Company is not aware of any material weaknesses in its internal control over financial reporting. Since the date of the latest audited financial statements included in the Registration Statement,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70" w:lineRule="exact"/>
        <w:rPr>
          <w:sz w:val="20"/>
          <w:szCs w:val="20"/>
          <w:color w:val="auto"/>
        </w:rPr>
      </w:pPr>
    </w:p>
    <w:p>
      <w:pPr>
        <w:ind w:right="160" w:firstLine="436"/>
        <w:spacing w:after="0" w:line="279" w:lineRule="auto"/>
        <w:tabs>
          <w:tab w:leader="none" w:pos="7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neither the Company nor, to the Company’s knowledge, any of its respective directors, officers, affiliates or controlling persons has taken, directly or indirectly, any action designed, or which has constituted or might reasonably be expected to cause or result in, under the Exchange Act, the stabilization or manipulation of the price of any security of the Company to facilitate the sale of the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that any action in connection with the Company’s distribution reinvestment plans will not be deemed a violation of this Section 3(aa);</w:t>
      </w:r>
    </w:p>
    <w:p>
      <w:pPr>
        <w:spacing w:after="0" w:line="63" w:lineRule="exact"/>
        <w:rPr>
          <w:rFonts w:ascii="Arial" w:cs="Arial" w:eastAsia="Arial" w:hAnsi="Arial"/>
          <w:sz w:val="17"/>
          <w:szCs w:val="17"/>
          <w:color w:val="auto"/>
        </w:rPr>
      </w:pPr>
    </w:p>
    <w:p>
      <w:pPr>
        <w:ind w:right="200" w:firstLine="436"/>
        <w:spacing w:after="0" w:line="263" w:lineRule="auto"/>
        <w:tabs>
          <w:tab w:leader="none" w:pos="7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Registration Statement, the Pricing Prospectus and the Prospectus are based on or derived from sources that the Company believes to be reliable and accurate, and the Company has obtained the written consent to the use of such data from such sources to the extent required;</w:t>
      </w:r>
    </w:p>
    <w:p>
      <w:pPr>
        <w:spacing w:after="0" w:line="75" w:lineRule="exact"/>
        <w:rPr>
          <w:rFonts w:ascii="Arial" w:cs="Arial" w:eastAsia="Arial" w:hAnsi="Arial"/>
          <w:sz w:val="18"/>
          <w:szCs w:val="18"/>
          <w:color w:val="auto"/>
        </w:rPr>
      </w:pPr>
    </w:p>
    <w:p>
      <w:pPr>
        <w:ind w:left="760" w:hanging="324"/>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the Company’s knowledge, there are no affiliations or associations between any member of the Financial Industry Regulatory Authority</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FINRA</w:t>
      </w:r>
      <w:r>
        <w:rPr>
          <w:rFonts w:ascii="Arial" w:cs="Arial" w:eastAsia="Arial" w:hAnsi="Arial"/>
          <w:sz w:val="18"/>
          <w:szCs w:val="18"/>
          <w:i w:val="1"/>
          <w:iCs w:val="1"/>
          <w:color w:val="auto"/>
        </w:rPr>
        <w:t>”</w:t>
      </w:r>
      <w:r>
        <w:rPr>
          <w:rFonts w:ascii="Arial" w:cs="Arial" w:eastAsia="Arial" w:hAnsi="Arial"/>
          <w:sz w:val="18"/>
          <w:szCs w:val="18"/>
          <w:color w:val="auto"/>
        </w:rPr>
        <w:t>) and any of the Company’s officers, directors or securityholders, except as set forth in the Registration Statement, the Pricing Prospectus and the Prospectus;</w:t>
      </w:r>
    </w:p>
    <w:p>
      <w:pPr>
        <w:spacing w:after="0" w:line="77" w:lineRule="exact"/>
        <w:rPr>
          <w:sz w:val="20"/>
          <w:szCs w:val="20"/>
          <w:color w:val="auto"/>
        </w:rPr>
      </w:pPr>
    </w:p>
    <w:p>
      <w:pPr>
        <w:ind w:right="120" w:firstLine="436"/>
        <w:spacing w:after="0" w:line="301" w:lineRule="auto"/>
        <w:tabs>
          <w:tab w:leader="none" w:pos="7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required by the Financial Crimes Enforcement Network within the U.S. Department of the Treasury, the Company has delivered to the Representatives, on or prior to the date of execution of this Agreement, such beneficial ownership certifications and information as the Representatives may have requested, together with copies of identifying documentation, and the Company undertakes to provide such additional information and supporting documentation as the Representatives may reasonably request in connection with the verification of the foregoing certification;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5" w:name="page16"/>
    <w:bookmarkEnd w:id="15"/>
    <w:p>
      <w:pPr>
        <w:ind w:right="800" w:firstLine="436"/>
        <w:spacing w:after="0" w:line="342" w:lineRule="auto"/>
        <w:tabs>
          <w:tab w:leader="none" w:pos="765"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terms of the Investment Advisory Agreement, including compensation terms, comply in all material respects with all applicable provisions of the Investment Company Act and the Advisers Act and the applicable published rules and regulations thereunder;</w:t>
      </w:r>
    </w:p>
    <w:p>
      <w:pPr>
        <w:spacing w:after="0" w:line="15" w:lineRule="exact"/>
        <w:rPr>
          <w:rFonts w:ascii="Arial" w:cs="Arial" w:eastAsia="Arial" w:hAnsi="Arial"/>
          <w:sz w:val="16"/>
          <w:szCs w:val="16"/>
          <w:color w:val="auto"/>
        </w:rPr>
      </w:pPr>
    </w:p>
    <w:p>
      <w:pPr>
        <w:ind w:right="240" w:firstLine="436"/>
        <w:spacing w:after="0" w:line="263" w:lineRule="auto"/>
        <w:tabs>
          <w:tab w:leader="none" w:pos="7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approvals by the board of directors and the stockholders of the Company of the Investment Advisory Agreement have been made in accordance with the requirements of Section 15 of the Investment Company Act applicable to companies that have elected to be regulated as business development companies under the Investment Company Act;</w:t>
      </w:r>
    </w:p>
    <w:p>
      <w:pPr>
        <w:spacing w:after="0" w:line="75" w:lineRule="exact"/>
        <w:rPr>
          <w:rFonts w:ascii="Arial" w:cs="Arial" w:eastAsia="Arial" w:hAnsi="Arial"/>
          <w:sz w:val="18"/>
          <w:szCs w:val="18"/>
          <w:color w:val="auto"/>
        </w:rPr>
      </w:pPr>
    </w:p>
    <w:p>
      <w:pPr>
        <w:jc w:val="both"/>
        <w:ind w:firstLine="436"/>
        <w:spacing w:after="0" w:line="259" w:lineRule="auto"/>
        <w:tabs>
          <w:tab w:leader="none" w:pos="7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Pricing Prospectus and the Prospectus, (i) no person is serving or acting as an officer, director or investment adviser of the Company, except in accordance with the provisions of the Investment Company Act and the Advisers Act and the applicable published rules and regulations thereunder, and (ii) to the knowledge of the Company, no director of the Company is an “affiliated person” (as defined in the Investment Company Act) of any of the Underwriters;</w:t>
      </w:r>
    </w:p>
    <w:p>
      <w:pPr>
        <w:spacing w:after="0" w:line="78" w:lineRule="exact"/>
        <w:rPr>
          <w:rFonts w:ascii="Arial" w:cs="Arial" w:eastAsia="Arial" w:hAnsi="Arial"/>
          <w:sz w:val="18"/>
          <w:szCs w:val="18"/>
          <w:color w:val="auto"/>
        </w:rPr>
      </w:pPr>
    </w:p>
    <w:p>
      <w:pPr>
        <w:ind w:right="60" w:firstLine="436"/>
        <w:spacing w:after="0" w:line="255" w:lineRule="auto"/>
        <w:tabs>
          <w:tab w:leader="none" w:pos="7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elected to be regulated as a business development company under the Investment Company Act and has not withdrawn that election, and the Commission has not ordered that such election be withdrawn nor, to the best of the Company’s knowledge, have the proceedings to effectuate such withdrawal been initiated or threatened by the Commission; all required action has or will have been taken by the Company under the Act to make the public offering and consummate the sale of the Securities as provided in this Agreement; the provisions of the corporate charter and by-laws of the Company comply in all material respects with the requirements of the Investment Company Act applicable to business development companies;</w:t>
      </w:r>
    </w:p>
    <w:p>
      <w:pPr>
        <w:spacing w:after="0" w:line="84" w:lineRule="exact"/>
        <w:rPr>
          <w:rFonts w:ascii="Arial" w:cs="Arial" w:eastAsia="Arial" w:hAnsi="Arial"/>
          <w:sz w:val="18"/>
          <w:szCs w:val="18"/>
          <w:color w:val="auto"/>
        </w:rPr>
      </w:pPr>
    </w:p>
    <w:p>
      <w:pPr>
        <w:ind w:right="180" w:firstLine="436"/>
        <w:spacing w:after="0" w:line="259"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operations of the Company are in compliance in all material respects with the provisions of the Act and the Investment Company Act applicable to business development companies and the rules and regulations of the Commission thereunder, except as such will not result, individually or in the aggregate,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does not represent or warrant as to the compliance of Section 9(a)(2) hereof with Section 17(i) of the Investment Company Act;</w:t>
      </w:r>
    </w:p>
    <w:p>
      <w:pPr>
        <w:spacing w:after="0" w:line="78" w:lineRule="exact"/>
        <w:rPr>
          <w:rFonts w:ascii="Arial" w:cs="Arial" w:eastAsia="Arial" w:hAnsi="Arial"/>
          <w:sz w:val="18"/>
          <w:szCs w:val="18"/>
          <w:color w:val="auto"/>
        </w:rPr>
      </w:pPr>
    </w:p>
    <w:p>
      <w:pPr>
        <w:ind w:right="80" w:firstLine="436"/>
        <w:spacing w:after="0" w:line="342" w:lineRule="auto"/>
        <w:tabs>
          <w:tab w:leader="none" w:pos="7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and, to its knowledge, its directors and officers (in such capacity) are in compliance in all material respects with the applicable provisions of the Sarbanes-Oxley Act of 2002, as amended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and the Commission’s published rules promulgated thereunder;</w:t>
      </w:r>
    </w:p>
    <w:p>
      <w:pPr>
        <w:spacing w:after="0" w:line="15" w:lineRule="exact"/>
        <w:rPr>
          <w:rFonts w:ascii="Arial" w:cs="Arial" w:eastAsia="Arial" w:hAnsi="Arial"/>
          <w:sz w:val="16"/>
          <w:szCs w:val="16"/>
          <w:color w:val="auto"/>
        </w:rPr>
      </w:pPr>
    </w:p>
    <w:p>
      <w:pPr>
        <w:ind w:right="80" w:firstLine="436"/>
        <w:spacing w:after="0" w:line="296" w:lineRule="auto"/>
        <w:tabs>
          <w:tab w:leader="none" w:pos="78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each of the Company and of the Subsidiaries has filed all foreign, federal, state and local tax returns that are required to be filed or has requested extensions thereof (except in any case in which the failure so to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(ii) the Company has elected to be treated, and operates its business so as to qualify, as a regulated investment company under Subchapter M of the Code;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6" w:name="page17"/>
    <w:bookmarkEnd w:id="16"/>
    <w:p>
      <w:pPr>
        <w:ind w:firstLine="436"/>
        <w:spacing w:after="0" w:line="272" w:lineRule="auto"/>
        <w:tabs>
          <w:tab w:leader="none" w:pos="705"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operations of the Company and each of the Subsidiaries are and have been conducted at all times in material compliance with all applicable financial recordkeeping and reporting requirements of the Currency and Foreign Transaction Reporting Act of 1970 (otherwise known as the Bank Secrecy Act), as amended, and the applicable anti-money laundering statutes of jurisdictions where the Company and each of the Subsidiaries conducts business, and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i w:val="1"/>
          <w:iCs w:val="1"/>
          <w:color w:val="auto"/>
        </w:rPr>
        <w:t>Anti-Money Laundering Laws</w:t>
      </w:r>
      <w:r>
        <w:rPr>
          <w:rFonts w:ascii="Arial" w:cs="Arial" w:eastAsia="Arial" w:hAnsi="Arial"/>
          <w:sz w:val="17"/>
          <w:szCs w:val="17"/>
          <w:color w:val="auto"/>
        </w:rPr>
        <w:t>”)</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and no action, suit or proceeding by or before any court or governmental agency, authority or body or any arbitrator involving the Company or any of the Subsidiaries with respect to Anti-Money Laundering Laws is pending or, to the best knowledge of the Company or any of the Subsidiaries, threatened;</w:t>
      </w:r>
    </w:p>
    <w:p>
      <w:pPr>
        <w:spacing w:after="0" w:line="69" w:lineRule="exact"/>
        <w:rPr>
          <w:rFonts w:ascii="Arial" w:cs="Arial" w:eastAsia="Arial" w:hAnsi="Arial"/>
          <w:sz w:val="17"/>
          <w:szCs w:val="17"/>
          <w:color w:val="auto"/>
        </w:rPr>
      </w:pPr>
    </w:p>
    <w:p>
      <w:pPr>
        <w:ind w:firstLine="436"/>
        <w:spacing w:after="0" w:line="270" w:lineRule="auto"/>
        <w:tabs>
          <w:tab w:leader="none" w:pos="885"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neither the Company, any Subsidiary, any director, officer or employee of the Company or any Subsidiary nor, to the knowledge of the Company, any affiliate of the Company or any Subsidiary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thereunder,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w:t>
      </w:r>
    </w:p>
    <w:p>
      <w:pPr>
        <w:spacing w:after="0" w:line="72" w:lineRule="exact"/>
        <w:rPr>
          <w:rFonts w:ascii="Arial" w:cs="Arial" w:eastAsia="Arial" w:hAnsi="Arial"/>
          <w:sz w:val="17"/>
          <w:szCs w:val="17"/>
          <w:color w:val="auto"/>
        </w:rPr>
      </w:pPr>
    </w:p>
    <w:p>
      <w:pPr>
        <w:ind w:right="40" w:firstLine="436"/>
        <w:spacing w:after="0" w:line="286" w:lineRule="auto"/>
        <w:tabs>
          <w:tab w:leader="none" w:pos="785"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neither the Company, any Subsidiary, any director, officer or employee of the Company or any Subsidiary nor, to the knowledge of the Company, any affiliate or agent of the Company or any Subsidiary is currently the subject or target of any sanctions administered or enforced by the U.S. government (including, without limitation, the Office of Foreign Assets Control of the U.S. Department of the Treasury (“</w:t>
      </w:r>
      <w:r>
        <w:rPr>
          <w:rFonts w:ascii="Arial" w:cs="Arial" w:eastAsia="Arial" w:hAnsi="Arial"/>
          <w:sz w:val="16"/>
          <w:szCs w:val="16"/>
          <w:b w:val="1"/>
          <w:bCs w:val="1"/>
          <w:i w:val="1"/>
          <w:iCs w:val="1"/>
          <w:color w:val="auto"/>
        </w:rPr>
        <w:t>OFAC</w:t>
      </w:r>
      <w:r>
        <w:rPr>
          <w:rFonts w:ascii="Arial" w:cs="Arial" w:eastAsia="Arial" w:hAnsi="Arial"/>
          <w:sz w:val="16"/>
          <w:szCs w:val="16"/>
          <w:color w:val="auto"/>
        </w:rPr>
        <w:t>”) or the U.S. Department of State and including, without limitation, the designation as a “specially designated national” or “blocked person”), nor is the Company or any of its subsidiaries located, organized or resident in a country or territory that is the subject or target of applicable sanctions laws, including, without limitation, Cuba, Iran, North Korea, Sudan, Syria and Crimea (each, a “</w:t>
      </w:r>
      <w:r>
        <w:rPr>
          <w:rFonts w:ascii="Arial" w:cs="Arial" w:eastAsia="Arial" w:hAnsi="Arial"/>
          <w:sz w:val="16"/>
          <w:szCs w:val="16"/>
          <w:b w:val="1"/>
          <w:bCs w:val="1"/>
          <w:i w:val="1"/>
          <w:iCs w:val="1"/>
          <w:color w:val="auto"/>
        </w:rPr>
        <w:t>Sanctioned Country</w:t>
      </w:r>
      <w:r>
        <w:rPr>
          <w:rFonts w:ascii="Arial" w:cs="Arial" w:eastAsia="Arial" w:hAnsi="Arial"/>
          <w:sz w:val="16"/>
          <w:szCs w:val="16"/>
          <w:color w:val="auto"/>
        </w:rPr>
        <w:t>”) in violation of applicable law; and the Company will not directly or indirectly use the proceeds of the offering, or lend, contribute or otherwise make available such proceeds to any subsidiary, joint venture party or other person or entity, (i) for the purpose of financing the activities of or with any person or entity, or in any country or territory that, at the time of such financing is the subject of any sanctions administered by OFAC, (ii) to fund or facilitate any activities of or business in any Sanctioned Country in violation of applicable law or (iii) in any other manner that will result in a violation by any person (including any person participating in the transaction, whether as underwriting, advisor, investor or otherwise) of applicable sanctions laws. Neither the Company nor any of its Subsidiaries have knowingly engaged in, nor are they now knowingly engaged in, any dealings or transactions with any person that at the time of the dealing or transaction is or was the subject or the target of applicable sanctions laws or with any Sanctioned Country, except as permitted by applicable law;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7" w:name="page18"/>
    <w:bookmarkEnd w:id="17"/>
    <w:p>
      <w:pPr>
        <w:ind w:firstLine="436"/>
        <w:spacing w:after="0" w:line="277" w:lineRule="auto"/>
        <w:tabs>
          <w:tab w:leader="none" w:pos="785"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is not and was not an ineligible issuer as defined under the Act, at the times specified in the Act in connection with the offering of the Securities; and</w:t>
      </w:r>
    </w:p>
    <w:p>
      <w:pPr>
        <w:spacing w:after="0" w:line="62" w:lineRule="exact"/>
        <w:rPr>
          <w:rFonts w:ascii="Arial" w:cs="Arial" w:eastAsia="Arial" w:hAnsi="Arial"/>
          <w:sz w:val="18"/>
          <w:szCs w:val="18"/>
          <w:color w:val="auto"/>
        </w:rPr>
      </w:pPr>
    </w:p>
    <w:p>
      <w:pPr>
        <w:ind w:right="140" w:firstLine="436"/>
        <w:spacing w:after="0" w:line="286" w:lineRule="auto"/>
        <w:tabs>
          <w:tab w:leader="none" w:pos="7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and the Subsidiaries’ information technology assets and equipment, computers, systems, networks, hardware, 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w:t>
      </w:r>
      <w:r>
        <w:rPr>
          <w:rFonts w:ascii="Arial" w:cs="Arial" w:eastAsia="Arial" w:hAnsi="Arial"/>
          <w:sz w:val="16"/>
          <w:szCs w:val="16"/>
          <w:b w:val="1"/>
          <w:bCs w:val="1"/>
          <w:color w:val="auto"/>
        </w:rPr>
        <w:t>Personal</w:t>
      </w:r>
      <w:r>
        <w:rPr>
          <w:rFonts w:ascii="Arial" w:cs="Arial" w:eastAsia="Arial" w:hAnsi="Arial"/>
          <w:sz w:val="16"/>
          <w:szCs w:val="16"/>
          <w:color w:val="auto"/>
        </w:rPr>
        <w:t xml:space="preserve"> </w:t>
      </w:r>
      <w:r>
        <w:rPr>
          <w:rFonts w:ascii="Arial" w:cs="Arial" w:eastAsia="Arial" w:hAnsi="Arial"/>
          <w:sz w:val="16"/>
          <w:szCs w:val="16"/>
          <w:b w:val="1"/>
          <w:bCs w:val="1"/>
          <w:color w:val="auto"/>
        </w:rPr>
        <w:t>Data</w:t>
      </w:r>
      <w:r>
        <w:rPr>
          <w:rFonts w:ascii="Arial" w:cs="Arial" w:eastAsia="Arial" w:hAnsi="Arial"/>
          <w:sz w:val="16"/>
          <w:szCs w:val="16"/>
          <w:color w:val="auto"/>
        </w:rPr>
        <w:t>”)) used in connection with their businesses, and there have been no breaches, violations, outages or unauthorized uses of or accesses to same,</w:t>
      </w:r>
      <w:r>
        <w:rPr>
          <w:rFonts w:ascii="Arial" w:cs="Arial" w:eastAsia="Arial" w:hAnsi="Arial"/>
          <w:sz w:val="16"/>
          <w:szCs w:val="16"/>
          <w:b w:val="1"/>
          <w:bCs w:val="1"/>
          <w:color w:val="auto"/>
        </w:rPr>
        <w:t xml:space="preserve"> </w:t>
      </w:r>
      <w:r>
        <w:rPr>
          <w:rFonts w:ascii="Arial" w:cs="Arial" w:eastAsia="Arial" w:hAnsi="Arial"/>
          <w:sz w:val="16"/>
          <w:szCs w:val="16"/>
          <w:color w:val="auto"/>
        </w:rPr>
        <w:t>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w:t>
      </w:r>
    </w:p>
    <w:p>
      <w:pPr>
        <w:spacing w:after="0" w:line="174"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In addition, any certificate signed by any duly appointed officer of the Company, the Advisor or the Administrator, as applicable, and delivered to the Underwriters or counsel for the Underwriters in connection with the offering of the Securities shall be deemed to be a representation and warranty by the Company, the Adviser or the Administrator, as applicable, as to matters covered thereby to each Underwriter.</w:t>
      </w:r>
    </w:p>
    <w:p>
      <w:pPr>
        <w:spacing w:after="0" w:line="57" w:lineRule="exact"/>
        <w:rPr>
          <w:sz w:val="20"/>
          <w:szCs w:val="20"/>
          <w:color w:val="auto"/>
        </w:rPr>
      </w:pPr>
    </w:p>
    <w:p>
      <w:pPr>
        <w:ind w:right="400" w:firstLine="436"/>
        <w:spacing w:after="0" w:line="277"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Additional Representations and Warranties of the Adviser and the Administrator</w:t>
      </w:r>
      <w:r>
        <w:rPr>
          <w:rFonts w:ascii="Arial" w:cs="Arial" w:eastAsia="Arial" w:hAnsi="Arial"/>
          <w:sz w:val="18"/>
          <w:szCs w:val="18"/>
          <w:color w:val="auto"/>
        </w:rPr>
        <w:t>. The Adviser and the Administrator, jointly and severally, further represent and warrant to the Underwriters that:</w:t>
      </w:r>
    </w:p>
    <w:p>
      <w:pPr>
        <w:spacing w:after="0" w:line="62" w:lineRule="exact"/>
        <w:rPr>
          <w:sz w:val="20"/>
          <w:szCs w:val="20"/>
          <w:color w:val="auto"/>
        </w:rPr>
      </w:pPr>
    </w:p>
    <w:p>
      <w:pPr>
        <w:ind w:firstLine="436"/>
        <w:spacing w:after="0" w:line="273" w:lineRule="auto"/>
        <w:tabs>
          <w:tab w:leader="none" w:pos="685"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each of the Adviser and the Administrator has been duly formed and is validly existing as a Delaware limited liability company and in good standing under the laws of the State of Delaware, with full power and authority to own, lease and operate its properties and to conduct its business as described in the Pricing Prospectus, the Prospectus and the Registration Statement and to execute and deliver this Agreement; the Adviser has full power and authority to execute and deliver the Investment Advisory Agreement; the Administrator has full power and authority to execute and deliver the Administration Agreement; and each of the Adviser and the Administrator is duly qualified to do business as a foreign entity and is in good standing in each jurisdiction where the ownership or leasing of its properties or the conduct of its business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8" w:name="page19"/>
    <w:bookmarkEnd w:id="1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requires such qualification, except where the failure to be so qualified and in good standing would not, individually or in the aggregate, have a material adverse effect on the business, financial condition, capitalization or regulatory status of such entity, or otherwise reasonably be expected to prevent such entity from carrying out its obligations under the Investment Advisory Agreement or the Administration Agreement, as applicable (collectively, an “</w:t>
      </w:r>
      <w:r>
        <w:rPr>
          <w:rFonts w:ascii="Arial" w:cs="Arial" w:eastAsia="Arial" w:hAnsi="Arial"/>
          <w:sz w:val="18"/>
          <w:szCs w:val="18"/>
          <w:b w:val="1"/>
          <w:bCs w:val="1"/>
          <w:i w:val="1"/>
          <w:iCs w:val="1"/>
          <w:color w:val="auto"/>
        </w:rPr>
        <w:t>Adviser/Administrator Material Adverse Effect</w:t>
      </w:r>
      <w:r>
        <w:rPr>
          <w:rFonts w:ascii="Arial" w:cs="Arial" w:eastAsia="Arial" w:hAnsi="Arial"/>
          <w:sz w:val="18"/>
          <w:szCs w:val="18"/>
          <w:color w:val="auto"/>
        </w:rPr>
        <w:t>”);</w:t>
      </w:r>
    </w:p>
    <w:p>
      <w:pPr>
        <w:spacing w:after="0" w:line="79" w:lineRule="exact"/>
        <w:rPr>
          <w:sz w:val="20"/>
          <w:szCs w:val="20"/>
          <w:color w:val="auto"/>
        </w:rPr>
      </w:pPr>
    </w:p>
    <w:p>
      <w:pPr>
        <w:jc w:val="both"/>
        <w:ind w:right="40" w:firstLine="436"/>
        <w:spacing w:after="0" w:line="301" w:lineRule="auto"/>
        <w:tabs>
          <w:tab w:leader="none" w:pos="6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Adviser is duly registered with the Commission as an investment adviser under the Advisers Act and is not prohibited by the Advisers Act, the Investment Company Act or the applicable published rules and regulations thereunder from acting under the Investment Advisory Agreement for the Company as contemplated by the Prospectus. There does not exist any proceeding or, to the Adviser’s knowledge, any facts or circumstances the existence of which could lead to any proceeding which might adversely affect the registration of the Adviser with the Commission;</w:t>
      </w:r>
    </w:p>
    <w:p>
      <w:pPr>
        <w:spacing w:after="0" w:line="49" w:lineRule="exact"/>
        <w:rPr>
          <w:rFonts w:ascii="Arial" w:cs="Arial" w:eastAsia="Arial" w:hAnsi="Arial"/>
          <w:sz w:val="16"/>
          <w:szCs w:val="16"/>
          <w:color w:val="auto"/>
        </w:rPr>
      </w:pPr>
    </w:p>
    <w:p>
      <w:pPr>
        <w:jc w:val="both"/>
        <w:ind w:right="60" w:firstLine="436"/>
        <w:spacing w:after="0" w:line="255" w:lineRule="auto"/>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no actions, suits, claims, investigations or proceedings pending or, to the knowledge of the Adviser and the Administrator, threatened to which either the Adviser or the Administrator or any of their officers, partners or members are or would be a party or of which any of their properties are or would be subject at law or in equity, or before or by any federal, state, local or foreign governmental or regulatory commission, board, body, authority or agency, except any such action, suit, claim, investigation or proceeding which would not if determined adversely to the Adviser or the Administrator, as the case may be (A) have, individually or in the aggregate, an Adviser/Administrator Material Adverse Effect, or (B) prevent the consummation of the transactions contemplated hereby;</w:t>
      </w:r>
    </w:p>
    <w:p>
      <w:pPr>
        <w:spacing w:after="0" w:line="84" w:lineRule="exact"/>
        <w:rPr>
          <w:rFonts w:ascii="Arial" w:cs="Arial" w:eastAsia="Arial" w:hAnsi="Arial"/>
          <w:sz w:val="18"/>
          <w:szCs w:val="18"/>
          <w:color w:val="auto"/>
        </w:rPr>
      </w:pPr>
    </w:p>
    <w:p>
      <w:pPr>
        <w:ind w:firstLine="436"/>
        <w:spacing w:after="0" w:line="286" w:lineRule="auto"/>
        <w:tabs>
          <w:tab w:leader="none" w:pos="6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neither the Adviser nor the Administrator is (i) in violation of its limited liability company operating agreement or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in contravention of any law, regulation or rule or any decree, judgment or order applicable to the Adviser or the Administrator, as applicable, except, with respect to clauses (ii) and (iii), to the extent that any such contravention would not have an Adviser/Administrator Material Adverse Effect; and the execution, delivery and performance of this Agreement, and with respect to the Adviser only, the Investment Advisory Agreement, and with respect to the Administrator only, the Administration Agreement, and consummation of the transactions contemplated hereby and thereby, will not (i) violate the limited liability company operating agreement of the Adviser or the Administrator, as applicable,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contravene any law, regulation or rule or any decree, judgment or order applicable to the Adviser or the Administrator, as applicable, except, with respect to clauses (ii) and (iii), to the extent that any such contravention would not have an Adviser/Administrator Material Adverse Effect;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9" w:name="page20"/>
    <w:bookmarkEnd w:id="19"/>
    <w:p>
      <w:pPr>
        <w:ind w:left="4" w:right="80" w:firstLine="436"/>
        <w:spacing w:after="0" w:line="286" w:lineRule="auto"/>
        <w:tabs>
          <w:tab w:leader="none" w:pos="689" w:val="left"/>
        </w:tabs>
        <w:numPr>
          <w:ilvl w:val="1"/>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execution, delivery and performance of this Agreement, and with respect to the Adviser only, the Investment Advisory Agreement, and with respect to the Administrator only, the Administration Agreement, and consummation of the transactions contemplated hereby and thereby, will not conflict with, result in any breach of violation of or constitute a default under (nor constitute any event which with notice, lapse of time or both would reasonably be expected to result in any breach or violation of or constitute a default under) (i) its limited liability company operating agreement,</w:t>
      </w:r>
    </w:p>
    <w:p>
      <w:pPr>
        <w:spacing w:after="0" w:line="1" w:lineRule="exact"/>
        <w:rPr>
          <w:rFonts w:ascii="Arial" w:cs="Arial" w:eastAsia="Arial" w:hAnsi="Arial"/>
          <w:sz w:val="16"/>
          <w:szCs w:val="16"/>
          <w:color w:val="auto"/>
        </w:rPr>
      </w:pPr>
    </w:p>
    <w:p>
      <w:pPr>
        <w:ind w:left="4" w:right="180" w:hanging="4"/>
        <w:spacing w:after="0" w:line="281" w:lineRule="auto"/>
        <w:tabs>
          <w:tab w:leader="none" w:pos="26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organizational documents of the Adviser or the Administrator, (iii) any indenture, mortgage, deed of trust, bank loan or credit agreement or other evidence of indebtedness, or any license, lease, contract or other agreement or instrument to which the Adviser or the Administrator is a party or</w:t>
      </w:r>
    </w:p>
    <w:p>
      <w:pPr>
        <w:spacing w:after="0" w:line="1" w:lineRule="exact"/>
        <w:rPr>
          <w:rFonts w:ascii="Arial" w:cs="Arial" w:eastAsia="Arial" w:hAnsi="Arial"/>
          <w:sz w:val="16"/>
          <w:szCs w:val="16"/>
          <w:color w:val="auto"/>
        </w:rPr>
      </w:pPr>
    </w:p>
    <w:p>
      <w:pPr>
        <w:ind w:left="4" w:hanging="4"/>
        <w:spacing w:after="0" w:line="255" w:lineRule="auto"/>
        <w:tabs>
          <w:tab w:leader="none" w:pos="30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federal, state, local or foreign law, regulation or rule or any decree, judgment or order applicable to the Adviser or the Administrator, as the case may be, except, with respect to clauses (iii) and (iv), to the extent that any such contravention would not have an Adviser/Administrator Material Adverse Effect;</w:t>
      </w:r>
    </w:p>
    <w:p>
      <w:pPr>
        <w:spacing w:after="0" w:line="81" w:lineRule="exact"/>
        <w:rPr>
          <w:rFonts w:ascii="Arial" w:cs="Arial" w:eastAsia="Arial" w:hAnsi="Arial"/>
          <w:sz w:val="18"/>
          <w:szCs w:val="18"/>
          <w:color w:val="auto"/>
        </w:rPr>
      </w:pPr>
    </w:p>
    <w:p>
      <w:pPr>
        <w:ind w:left="4" w:right="20" w:firstLine="436"/>
        <w:spacing w:after="0" w:line="272" w:lineRule="auto"/>
        <w:tabs>
          <w:tab w:leader="none" w:pos="669" w:val="left"/>
        </w:tabs>
        <w:numPr>
          <w:ilvl w:val="1"/>
          <w:numId w:val="25"/>
        </w:numPr>
        <w:rPr>
          <w:rFonts w:ascii="Arial" w:cs="Arial" w:eastAsia="Arial" w:hAnsi="Arial"/>
          <w:sz w:val="17"/>
          <w:szCs w:val="17"/>
          <w:color w:val="auto"/>
        </w:rPr>
      </w:pPr>
      <w:r>
        <w:rPr>
          <w:rFonts w:ascii="Arial" w:cs="Arial" w:eastAsia="Arial" w:hAnsi="Arial"/>
          <w:sz w:val="17"/>
          <w:szCs w:val="17"/>
          <w:color w:val="auto"/>
        </w:rPr>
        <w:t xml:space="preserve">this Agreement has been duly authorized, executed and delivered by the Adviser and the Administrator; the Investment Advisory Agreement has been duly authorized, executed and delivered by the Adviser; and the Administration Agreement has been duly authorized, executed and delivered by the Administrator; this Agreement, the Investment Advisory Agreement and the Administration Agreement constitute valid and legally binding agreements of the Adviser and the Administrator,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the Adviser nor the Administrator makes any representation or warranty with respect to the validity or enforceability of any provision hereunder or thereunder relating to rights to indemnity and/or contribution or enforceability of any obligations that may be limited by bankruptcy, insolvency, reorganization, moratorium and other laws relating to or affecting creditors’ rights generally and by general equitable principles;</w:t>
      </w:r>
    </w:p>
    <w:p>
      <w:pPr>
        <w:spacing w:after="0" w:line="69" w:lineRule="exact"/>
        <w:rPr>
          <w:rFonts w:ascii="Arial" w:cs="Arial" w:eastAsia="Arial" w:hAnsi="Arial"/>
          <w:sz w:val="17"/>
          <w:szCs w:val="17"/>
          <w:color w:val="auto"/>
        </w:rPr>
      </w:pPr>
    </w:p>
    <w:p>
      <w:pPr>
        <w:ind w:left="4" w:right="220" w:firstLine="436"/>
        <w:spacing w:after="0" w:line="277" w:lineRule="auto"/>
        <w:tabs>
          <w:tab w:leader="none" w:pos="699"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descriptions of the Adviser and the Administrator contained in the Pricing Prospectus, the Prospectus and the Registration Statement are true, accurate and complete in all material respects;</w:t>
      </w:r>
    </w:p>
    <w:p>
      <w:pPr>
        <w:spacing w:after="0" w:line="62" w:lineRule="exact"/>
        <w:rPr>
          <w:rFonts w:ascii="Arial" w:cs="Arial" w:eastAsia="Arial" w:hAnsi="Arial"/>
          <w:sz w:val="18"/>
          <w:szCs w:val="18"/>
          <w:color w:val="auto"/>
        </w:rPr>
      </w:pPr>
    </w:p>
    <w:p>
      <w:pPr>
        <w:ind w:left="4" w:right="120" w:firstLine="436"/>
        <w:spacing w:after="0" w:line="286" w:lineRule="auto"/>
        <w:tabs>
          <w:tab w:leader="none" w:pos="699" w:val="left"/>
        </w:tabs>
        <w:numPr>
          <w:ilvl w:val="1"/>
          <w:numId w:val="25"/>
        </w:numPr>
        <w:rPr>
          <w:rFonts w:ascii="Arial" w:cs="Arial" w:eastAsia="Arial" w:hAnsi="Arial"/>
          <w:sz w:val="17"/>
          <w:szCs w:val="17"/>
          <w:color w:val="auto"/>
        </w:rPr>
      </w:pPr>
      <w:r>
        <w:rPr>
          <w:rFonts w:ascii="Arial" w:cs="Arial" w:eastAsia="Arial" w:hAnsi="Arial"/>
          <w:sz w:val="17"/>
          <w:szCs w:val="17"/>
          <w:color w:val="auto"/>
        </w:rPr>
        <w:t>each of the Adviser and the Administrator has the financial resources available to it necessary for the performance of its services and obligations as contemplated in the Pricing Prospectus, the Prospectus and the Registration Statement and under this Agreement and, with respect to the Adviser only, the Investment Advisory Agreement and, with respect to the Administrator only, the Administration Agreement;</w:t>
      </w:r>
    </w:p>
    <w:p>
      <w:pPr>
        <w:spacing w:after="0" w:line="57" w:lineRule="exact"/>
        <w:rPr>
          <w:rFonts w:ascii="Arial" w:cs="Arial" w:eastAsia="Arial" w:hAnsi="Arial"/>
          <w:sz w:val="17"/>
          <w:szCs w:val="17"/>
          <w:color w:val="auto"/>
        </w:rPr>
      </w:pPr>
    </w:p>
    <w:p>
      <w:pPr>
        <w:ind w:left="4" w:right="40" w:firstLine="436"/>
        <w:spacing w:after="0" w:line="279" w:lineRule="auto"/>
        <w:tabs>
          <w:tab w:leader="none" w:pos="659" w:val="left"/>
        </w:tabs>
        <w:numPr>
          <w:ilvl w:val="1"/>
          <w:numId w:val="25"/>
        </w:numPr>
        <w:rPr>
          <w:rFonts w:ascii="Arial" w:cs="Arial" w:eastAsia="Arial" w:hAnsi="Arial"/>
          <w:sz w:val="17"/>
          <w:szCs w:val="17"/>
          <w:color w:val="auto"/>
        </w:rPr>
      </w:pPr>
      <w:r>
        <w:rPr>
          <w:rFonts w:ascii="Arial" w:cs="Arial" w:eastAsia="Arial" w:hAnsi="Arial"/>
          <w:sz w:val="17"/>
          <w:szCs w:val="17"/>
          <w:color w:val="auto"/>
        </w:rPr>
        <w:t>subsequent to the date of the Registration Statement, the Pricing Prospectus and the Prospectus, there has not been any material adverse change, or any development involving a prospective material adverse change, in the business, financial condition, capitalization, prospects or regulatory status of the Adviser or the Administrator, or that would otherwise prevent the Adviser or the Administrator from carrying out its respective obligations under the Investment Advisory Agreement or the Administration Agreement, as appropriate;</w:t>
      </w:r>
    </w:p>
    <w:p>
      <w:pPr>
        <w:spacing w:after="0" w:line="63" w:lineRule="exact"/>
        <w:rPr>
          <w:rFonts w:ascii="Arial" w:cs="Arial" w:eastAsia="Arial" w:hAnsi="Arial"/>
          <w:sz w:val="17"/>
          <w:szCs w:val="17"/>
          <w:color w:val="auto"/>
        </w:rPr>
      </w:pPr>
    </w:p>
    <w:p>
      <w:pPr>
        <w:ind w:left="4" w:right="20" w:firstLine="436"/>
        <w:spacing w:after="0" w:line="263" w:lineRule="auto"/>
        <w:tabs>
          <w:tab w:leader="none" w:pos="659"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of the Adviser and the Administrator has all Consents and has made all necessary filings required under any federal, state, local or foreign law, regulation or rule and has obtained all necessary Consents from other persons, in order to conduct its business, except where the failure to obtain such Consents would not have an Adviser/Administrator Material</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20" w:name="page21"/>
    <w:bookmarkEnd w:id="2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Adverse Effect; neither the Adviser nor the Administrator is in violation of, or in default under, nor has the Adviser or the Administrator received notice of any proceedings relating to revocation or modification of any such Consent or any federal, state, local or foreign law, regulation or rule or any decree, order or judgment applicable to the Adviser or the Administrator, except where such revocation or modification would not, individually or in the aggregate, have an Adviser/Administrator Material Adverse Effect;</w:t>
      </w:r>
    </w:p>
    <w:p>
      <w:pPr>
        <w:spacing w:after="0" w:line="79" w:lineRule="exact"/>
        <w:rPr>
          <w:sz w:val="20"/>
          <w:szCs w:val="20"/>
          <w:color w:val="auto"/>
        </w:rPr>
      </w:pPr>
    </w:p>
    <w:p>
      <w:pPr>
        <w:ind w:right="340" w:firstLine="436"/>
        <w:spacing w:after="0" w:line="263"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the Adviser, the Administrator, nor, to the knowledge of the Adviser or the Administrator, any of their respective partners, officers, affiliates or controlling persons has taken, directly or indirectly, any action designed, under the Exchange Act, to result in the stabilization or manipulation of the price of any security of the Company to facilitate the sale of the Securities;</w:t>
      </w:r>
    </w:p>
    <w:p>
      <w:pPr>
        <w:spacing w:after="0" w:line="75" w:lineRule="exact"/>
        <w:rPr>
          <w:rFonts w:ascii="Arial" w:cs="Arial" w:eastAsia="Arial" w:hAnsi="Arial"/>
          <w:sz w:val="18"/>
          <w:szCs w:val="18"/>
          <w:color w:val="auto"/>
        </w:rPr>
      </w:pPr>
    </w:p>
    <w:p>
      <w:pPr>
        <w:ind w:right="120" w:firstLine="436"/>
        <w:spacing w:after="0" w:line="25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Adviser is not aware that (i) any executive, key employee or significant group of employees of the Company, if any, the Adviser or the Administrator, as applicable, plans to terminate employment with the Company, the Adviser or the Administrator or (ii) any such executive, key employee or significant group of employees is subject to any noncompete, nondisclosure, confidentiality, employment, consulting or similar agreement that would be violated by the present or proposed business activities of the Company or the Adviser, except where such termination or violation would not have an Adviser/Administrator Material Adverse Effect;</w:t>
      </w:r>
    </w:p>
    <w:p>
      <w:pPr>
        <w:spacing w:after="0" w:line="79" w:lineRule="exact"/>
        <w:rPr>
          <w:rFonts w:ascii="Arial" w:cs="Arial" w:eastAsia="Arial" w:hAnsi="Arial"/>
          <w:sz w:val="18"/>
          <w:szCs w:val="18"/>
          <w:color w:val="auto"/>
        </w:rPr>
      </w:pPr>
    </w:p>
    <w:p>
      <w:pPr>
        <w:jc w:val="both"/>
        <w:ind w:right="180" w:firstLine="436"/>
        <w:spacing w:after="0" w:line="263" w:lineRule="auto"/>
        <w:tabs>
          <w:tab w:leader="none" w:pos="7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Adviser maintains a system of internal controls sufficient to provide reasonable assurance that (i) transactions effectuated by it under the Investment Advisory Agreement are executed in accordance with its management’s general or specific authorization; and (ii) access to the Company’s assets is permitted only in accordance with its management’s general or specific authorization;</w:t>
      </w:r>
    </w:p>
    <w:p>
      <w:pPr>
        <w:spacing w:after="0" w:line="75" w:lineRule="exact"/>
        <w:rPr>
          <w:rFonts w:ascii="Arial" w:cs="Arial" w:eastAsia="Arial" w:hAnsi="Arial"/>
          <w:sz w:val="18"/>
          <w:szCs w:val="18"/>
          <w:color w:val="auto"/>
        </w:rPr>
      </w:pPr>
    </w:p>
    <w:p>
      <w:pPr>
        <w:ind w:firstLine="436"/>
        <w:spacing w:after="0" w:line="257"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Administrator maintains a system of internal accounting controls sufficient to provide reasonable assurance that (i) transactions for which it has bookkeeping and record keeping responsibility under the Administration Agreement are recorded as necessary to permit preparation of the Company’s financial statements in conformity with generally accepted accounting principles and to maintain accountability for the Company’s assets and (ii) the recorded accountability for such assets is compared with existing assets at reasonable intervals and appropriate action is taken with respect to any differences;</w:t>
      </w:r>
    </w:p>
    <w:p>
      <w:pPr>
        <w:spacing w:after="0" w:line="79" w:lineRule="exact"/>
        <w:rPr>
          <w:rFonts w:ascii="Arial" w:cs="Arial" w:eastAsia="Arial" w:hAnsi="Arial"/>
          <w:sz w:val="18"/>
          <w:szCs w:val="18"/>
          <w:color w:val="auto"/>
        </w:rPr>
      </w:pPr>
    </w:p>
    <w:p>
      <w:pPr>
        <w:ind w:firstLine="436"/>
        <w:spacing w:after="0" w:line="259"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operations of the Adviser and the Administrator have been conducted at all times in material compliance with all applicable financial recordkeeping and reporting requirements of the Anti-Money Laundering Laws and no action, suit or proceeding by or before any court or governmental agency, authority or body or any arbitrator involving the Adviser or the Administrator with respect to Anti-Money Laundering Laws is pending or, to the best knowledge of the Adviser and the Administrator, threatened;</w:t>
      </w:r>
    </w:p>
    <w:p>
      <w:pPr>
        <w:spacing w:after="0" w:line="78" w:lineRule="exact"/>
        <w:rPr>
          <w:rFonts w:ascii="Arial" w:cs="Arial" w:eastAsia="Arial" w:hAnsi="Arial"/>
          <w:sz w:val="18"/>
          <w:szCs w:val="18"/>
          <w:color w:val="auto"/>
        </w:rPr>
      </w:pPr>
    </w:p>
    <w:p>
      <w:pPr>
        <w:jc w:val="both"/>
        <w:ind w:right="320" w:firstLine="436"/>
        <w:spacing w:after="0" w:line="263"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the Adviser, the Administrator or any director, officer or employee of the Adviser or the Administrator nor, to the knowledge of the Adviser and the Administrator, any affiliate of the Adviser or the Administrator has (i) used any corporate funds for any unlawful contribution, gift, entertainment or other unlawful expense relating to political activity; (ii) made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1" w:name="page22"/>
    <w:bookmarkEnd w:id="2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thereunder,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and</w:t>
      </w:r>
    </w:p>
    <w:p>
      <w:pPr>
        <w:spacing w:after="0" w:line="69" w:lineRule="exact"/>
        <w:rPr>
          <w:sz w:val="20"/>
          <w:szCs w:val="20"/>
          <w:color w:val="auto"/>
        </w:rPr>
      </w:pPr>
    </w:p>
    <w:p>
      <w:pPr>
        <w:ind w:right="20" w:firstLine="436"/>
        <w:spacing w:after="0" w:line="269" w:lineRule="auto"/>
        <w:tabs>
          <w:tab w:leader="none" w:pos="695"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neither the Adviser, the Administrator or any director, officer or employee of the Adviser or the Administrator nor, to the knowledge of the Adviser and the Administrator, any affiliate or agent of the Adviser or the Administrator is currently the subject or target of any sanctions administered or enforced by the U.S. government (including, without limitation, OFAC or the U.S. Department of State and including, without limitation, the designation as a “specially designated national” or “blocked person”), nor is the Adviser or the Administrator located, organized or resident in a Sanctioned Country in violation of applicable law; and neither the Adviser nor the Administrator will directly or indirectly use the proceeds of the offering, or lend, contribute or otherwise make available such proceeds to any subsidiary, joint venture party or other person or entity, (i) for the purpose of financing the activities of or with any person or entity, or in any country or territory that, at the time of such financing is the subject of any sanctions administered by OFAC, (ii) to fund or facilitate any activities of or business in any Sanctioned Country in violation of applicable law or (iii) in any other manner that will result in a violation by any person (including any person participating in the transaction, whether as underwriting, advisor, investor or otherwise) of applicable sanctions laws. Neither the Adviser nor the Administrator has knowingly engaged in, nor is it now knowingly engaged in, any dealings or transactions with any person that at the time of the dealing or transaction is or was the subject or the target of applicable sanctions laws or with any Sanctioned Country, except as permitted by applicable law.</w:t>
      </w:r>
    </w:p>
    <w:p>
      <w:pPr>
        <w:spacing w:after="0" w:line="71" w:lineRule="exact"/>
        <w:rPr>
          <w:sz w:val="20"/>
          <w:szCs w:val="20"/>
          <w:color w:val="auto"/>
        </w:rPr>
      </w:pPr>
    </w:p>
    <w:p>
      <w:pPr>
        <w:ind w:right="280" w:firstLine="436"/>
        <w:spacing w:after="0" w:line="277"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Company, the Adviser and the Administrator</w:t>
      </w:r>
      <w:r>
        <w:rPr>
          <w:rFonts w:ascii="Arial" w:cs="Arial" w:eastAsia="Arial" w:hAnsi="Arial"/>
          <w:sz w:val="18"/>
          <w:szCs w:val="18"/>
          <w:color w:val="auto"/>
        </w:rPr>
        <w:t>. The Company agrees, and the Adviser and the Administrator, jointly and severally, agree:</w:t>
      </w:r>
    </w:p>
    <w:p>
      <w:pPr>
        <w:spacing w:after="0" w:line="62" w:lineRule="exact"/>
        <w:rPr>
          <w:sz w:val="20"/>
          <w:szCs w:val="20"/>
          <w:color w:val="auto"/>
        </w:rPr>
      </w:pPr>
    </w:p>
    <w:p>
      <w:pPr>
        <w:ind w:firstLine="436"/>
        <w:spacing w:after="0" w:line="293" w:lineRule="auto"/>
        <w:tabs>
          <w:tab w:leader="none" w:pos="68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to furnish such information as may be required and otherwise to cooperate in qualifying the Securities for offering and sale under the securities or blue sky laws of such states or other jurisdictions as you may designate and to use its best efforts to maintain such qualifications in effect so long as you may reasonably request for the distribution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that, in connection therewith, the Company shall not be required to qualify as a foreign corporation or to file a consent to the service of process under the laws of any such jurisdiction (except a limited consent to service of process with respect to the offering and sale of the Securities); and to advise you promptly of the receipt by the Company of any notification with respect to the suspension of the qualification of the Securities for sale in any jurisdiction or the initiation or threatening of any proceeding for such purpose;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2" w:name="page23"/>
    <w:bookmarkEnd w:id="22"/>
    <w:p>
      <w:pPr>
        <w:ind w:firstLine="436"/>
        <w:spacing w:after="0" w:line="272" w:lineRule="auto"/>
        <w:tabs>
          <w:tab w:leader="none" w:pos="695" w:val="left"/>
        </w:tabs>
        <w:numPr>
          <w:ilvl w:val="0"/>
          <w:numId w:val="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make available to the Underwriters as soon as reasonably practicable after the pricing of the Securities and thereafter from time to time furnish to the Underwriters as many copies of the Pricing Prospectus and the Prospectus (or of the Pricing Prospectus and the Prospectus as amended or supplemented if the Company shall have made any amendments or supplements thereto after the date of the Pricing Prospectus) as the Underwriters may reasonably request for the purposes contemplated by the Act; in case any Underwriter is required to deliver a prospectus after the nine-month period referred to in Section 10(a)(3) of the Act in connection with the sale of the Securities, the Company will prepare, at the requesting Underwriter’s expense, promptly upon request such amendment or amendments to the Registration Statement and the Prospectus as may be necessary to permit compliance with the requirements of Section 10(a)(3) of the Act;</w:t>
      </w:r>
    </w:p>
    <w:p>
      <w:pPr>
        <w:spacing w:after="0" w:line="69" w:lineRule="exact"/>
        <w:rPr>
          <w:rFonts w:ascii="Arial" w:cs="Arial" w:eastAsia="Arial" w:hAnsi="Arial"/>
          <w:sz w:val="17"/>
          <w:szCs w:val="17"/>
          <w:color w:val="auto"/>
        </w:rPr>
      </w:pPr>
    </w:p>
    <w:p>
      <w:pPr>
        <w:ind w:right="20" w:firstLine="436"/>
        <w:spacing w:after="0" w:line="255" w:lineRule="auto"/>
        <w:tabs>
          <w:tab w:leader="none" w:pos="6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if, at the time of this Agreement is executed and delivered, it is necessary for the Registration Statement or any post-effective amendment thereto to be declared effective before the Securities may be sold, the Company will endeavor to cause the Registration Statement or such post-effective amendment to become effective as soon as possible, and the Company will advise you promptly and, if requested by you, will confirm such advice in writing, (i) when the Registration Statement and any such post-effective amendment thereto has become effective, and (ii) if Rule 430A under the Act is used, when the Prospectus is filed with the Commission pursuant to Rule 497 under the Act (which the Company agrees to file in a timely manner under such Rule);</w:t>
      </w:r>
    </w:p>
    <w:p>
      <w:pPr>
        <w:spacing w:after="0" w:line="84" w:lineRule="exact"/>
        <w:rPr>
          <w:rFonts w:ascii="Arial" w:cs="Arial" w:eastAsia="Arial" w:hAnsi="Arial"/>
          <w:sz w:val="18"/>
          <w:szCs w:val="18"/>
          <w:color w:val="auto"/>
        </w:rPr>
      </w:pPr>
    </w:p>
    <w:p>
      <w:pPr>
        <w:ind w:firstLine="436"/>
        <w:spacing w:after="0" w:line="253"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advise you promptly, and, if requested, confirm such advice in writing,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the Pricing Prospectus or the Prospectus, and to provide you and Underwriters’ counsel copies of any such documents for review and comment a reasonable amount of time prior to any proposed filing and to file no such amendment or supplement to which you shall reasonably object in writing (unless such filing is required to maintain compliance with the Act or the Investment Company Act), and to file with the Commission within the applicable period specified in Rule 497(h) under the Act any prospectus required to be filed pursuant to such Rule;</w:t>
      </w:r>
    </w:p>
    <w:p>
      <w:pPr>
        <w:spacing w:after="0" w:line="88" w:lineRule="exact"/>
        <w:rPr>
          <w:rFonts w:ascii="Arial" w:cs="Arial" w:eastAsia="Arial" w:hAnsi="Arial"/>
          <w:sz w:val="18"/>
          <w:szCs w:val="18"/>
          <w:color w:val="auto"/>
        </w:rPr>
      </w:pPr>
    </w:p>
    <w:p>
      <w:pPr>
        <w:ind w:right="260" w:firstLine="436"/>
        <w:spacing w:after="0" w:line="263" w:lineRule="auto"/>
        <w:tabs>
          <w:tab w:leader="none" w:pos="6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to furnish to the Representatives a copy of all promotional materials (including “road show slides” or “road show scripts”) prepared by the Company or the Adviser for use in connection with the offering and sale of the Securities (the </w:t>
      </w:r>
      <w:r>
        <w:rPr>
          <w:rFonts w:ascii="Arial" w:cs="Arial" w:eastAsia="Arial" w:hAnsi="Arial"/>
          <w:sz w:val="18"/>
          <w:szCs w:val="18"/>
          <w:b w:val="1"/>
          <w:bCs w:val="1"/>
          <w:i w:val="1"/>
          <w:iCs w:val="1"/>
          <w:color w:val="auto"/>
        </w:rPr>
        <w:t>“Road Show Materials</w:t>
      </w:r>
      <w:r>
        <w:rPr>
          <w:rFonts w:ascii="Arial" w:cs="Arial" w:eastAsia="Arial" w:hAnsi="Arial"/>
          <w:sz w:val="18"/>
          <w:szCs w:val="18"/>
          <w:color w:val="auto"/>
        </w:rPr>
        <w:t>”) and not to use or refer to any such materials to which the Representatives reasonably object;</w:t>
      </w:r>
    </w:p>
    <w:p>
      <w:pPr>
        <w:spacing w:after="0" w:line="75" w:lineRule="exact"/>
        <w:rPr>
          <w:rFonts w:ascii="Arial" w:cs="Arial" w:eastAsia="Arial" w:hAnsi="Arial"/>
          <w:sz w:val="18"/>
          <w:szCs w:val="18"/>
          <w:color w:val="auto"/>
        </w:rPr>
      </w:pPr>
    </w:p>
    <w:p>
      <w:pPr>
        <w:jc w:val="both"/>
        <w:ind w:right="120" w:firstLine="436"/>
        <w:spacing w:after="0" w:line="259" w:lineRule="auto"/>
        <w:tabs>
          <w:tab w:leader="none" w:pos="6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furnish to you and to each of the other Underwriters, only to the extent not otherwise available on the Commission’s EDGAR system, for a period of one year from the date of this Agreement (i) copies of any reports, proxy statements, or other communications which the Company shall send to its stockholders or shall from time to time publish or publicly disseminate, (ii) copies of all annual, quarterly and current reports filed with the Commission 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3" w:name="page24"/>
    <w:bookmarkEnd w:id="23"/>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Forms 10-K, 10-Q and 8-K, or such other similar forms as may be designated by the Commission, (iii) copies of documents or reports filed with any national securities exchange on which any class of securities of the Company is listed or quoted and (iv) such other information as you may reasonably request regarding the Company;</w:t>
      </w:r>
    </w:p>
    <w:p>
      <w:pPr>
        <w:spacing w:after="0" w:line="76" w:lineRule="exact"/>
        <w:rPr>
          <w:sz w:val="20"/>
          <w:szCs w:val="20"/>
          <w:color w:val="auto"/>
        </w:rPr>
      </w:pPr>
    </w:p>
    <w:p>
      <w:pPr>
        <w:ind w:right="220" w:firstLine="436"/>
        <w:spacing w:after="0" w:line="301"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to furnish to you as early as practicable prior to the time of purchase and each additional time of purchase, as the case may be, but not later than two business days prior thereto, a copy of the latest available unaudited interim and monthly consolidated financial statements, if any, of the Company which have been read by the Company’s independent certified public accountants, as stated in their letter to be furnished pursuant to Section 6(c)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requirement to furnish any such information shall be subject to compliance with applicable law;</w:t>
      </w:r>
    </w:p>
    <w:p>
      <w:pPr>
        <w:spacing w:after="0" w:line="49" w:lineRule="exact"/>
        <w:rPr>
          <w:rFonts w:ascii="Arial" w:cs="Arial" w:eastAsia="Arial" w:hAnsi="Arial"/>
          <w:sz w:val="16"/>
          <w:szCs w:val="16"/>
          <w:color w:val="auto"/>
        </w:rPr>
      </w:pPr>
    </w:p>
    <w:p>
      <w:pPr>
        <w:ind w:left="700" w:hanging="264"/>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necessary or appropriate, to file a registration statement pursuant to Rule 462(b) under the Act;</w:t>
      </w:r>
    </w:p>
    <w:p>
      <w:pPr>
        <w:spacing w:after="0" w:line="117" w:lineRule="exact"/>
        <w:rPr>
          <w:rFonts w:ascii="Arial" w:cs="Arial" w:eastAsia="Arial" w:hAnsi="Arial"/>
          <w:sz w:val="18"/>
          <w:szCs w:val="18"/>
          <w:color w:val="auto"/>
        </w:rPr>
      </w:pPr>
    </w:p>
    <w:p>
      <w:pPr>
        <w:ind w:firstLine="436"/>
        <w:spacing w:after="0" w:line="291"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advise the Underwriters promptly of the happening of any event within the time during which a prospectus relating to the Securities is required to be delivered under the Act which could require the making of any change in the Pricing Prospectus (prior to availability of the Prospectus), or the Prospectus then being used, so that the Pricing Prospectus, together with the Pricing Information (prior to availability of the Prospectus), or the Prospectus, as applicable, does not include an untrue statement of material fact or omit to state a material fact necessary to make the statements therein, in the light of the circumstances under which they are made, not misleading, and, during such time, subject to Section 5(d) hereof, to prepare, at the Company’s expense, and thereafter, at the Underwriters’ expense, and furnish to the Underwriters promptly such amendments or supplements to such Pricing Prospectus (prior to availability of the Prospectus), or Prospectus as may be necessary to reflect any such change;</w:t>
      </w:r>
    </w:p>
    <w:p>
      <w:pPr>
        <w:spacing w:after="0" w:line="58" w:lineRule="exact"/>
        <w:rPr>
          <w:rFonts w:ascii="Arial" w:cs="Arial" w:eastAsia="Arial" w:hAnsi="Arial"/>
          <w:sz w:val="16"/>
          <w:szCs w:val="16"/>
          <w:color w:val="auto"/>
        </w:rPr>
      </w:pPr>
    </w:p>
    <w:p>
      <w:pPr>
        <w:ind w:right="460" w:firstLine="436"/>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as soon as practicable, the Company will make generally available to its security holders an earnings statement or statements of the Company which will satisfy the provisions of Section 11(a) of the Act and Rule 158 under the Act;</w:t>
      </w:r>
    </w:p>
    <w:p>
      <w:pPr>
        <w:spacing w:after="0" w:line="62" w:lineRule="exact"/>
        <w:rPr>
          <w:rFonts w:ascii="Arial" w:cs="Arial" w:eastAsia="Arial" w:hAnsi="Arial"/>
          <w:sz w:val="18"/>
          <w:szCs w:val="18"/>
          <w:color w:val="auto"/>
        </w:rPr>
      </w:pPr>
    </w:p>
    <w:p>
      <w:pPr>
        <w:ind w:right="760" w:firstLine="436"/>
        <w:spacing w:after="0" w:line="308" w:lineRule="auto"/>
        <w:tabs>
          <w:tab w:leader="none" w:pos="6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will promptly deliver to each Underwriter and Ropes &amp; Gray LLP, counsel for the Underwriters, a signed copy of the Registration Statement, as initially filed and all amendments thereto, including all consents and exhibits filed therewith;</w:t>
      </w:r>
    </w:p>
    <w:p>
      <w:pPr>
        <w:spacing w:after="0" w:line="38" w:lineRule="exact"/>
        <w:rPr>
          <w:rFonts w:ascii="Arial" w:cs="Arial" w:eastAsia="Arial" w:hAnsi="Arial"/>
          <w:sz w:val="17"/>
          <w:szCs w:val="17"/>
          <w:color w:val="auto"/>
        </w:rPr>
      </w:pPr>
    </w:p>
    <w:p>
      <w:pPr>
        <w:ind w:right="80" w:firstLine="436"/>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apply the net proceeds from the sale of the Securities in the manner set forth under the caption “Use of Proceeds” in the Pricing Prospectus and the Prospectus;</w:t>
      </w:r>
    </w:p>
    <w:p>
      <w:pPr>
        <w:spacing w:after="0" w:line="62" w:lineRule="exact"/>
        <w:rPr>
          <w:rFonts w:ascii="Arial" w:cs="Arial" w:eastAsia="Arial" w:hAnsi="Arial"/>
          <w:sz w:val="18"/>
          <w:szCs w:val="18"/>
          <w:color w:val="auto"/>
        </w:rPr>
      </w:pPr>
    </w:p>
    <w:p>
      <w:pPr>
        <w:ind w:right="20" w:firstLine="436"/>
        <w:spacing w:after="0" w:line="286" w:lineRule="auto"/>
        <w:tabs>
          <w:tab w:leader="none" w:pos="745"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the Company will use its best efforts to maintain its status as a business development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may change the nature of its business so as to cease to be, or to withdraw its election as, a business development company, with the approval of the board of directors and a vote of stockholders as required by Section 58 of the Investment Company Act or any successor provision;</w:t>
      </w:r>
    </w:p>
    <w:p>
      <w:pPr>
        <w:spacing w:after="0" w:line="57" w:lineRule="exact"/>
        <w:rPr>
          <w:rFonts w:ascii="Arial" w:cs="Arial" w:eastAsia="Arial" w:hAnsi="Arial"/>
          <w:sz w:val="17"/>
          <w:szCs w:val="17"/>
          <w:color w:val="auto"/>
        </w:rPr>
      </w:pPr>
    </w:p>
    <w:p>
      <w:pPr>
        <w:ind w:right="20" w:firstLine="436"/>
        <w:spacing w:after="0" w:line="263"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that the Company will use its best efforts to maintain its qualification and election as a regulated investment company under Subchapter M of the Code for each full fiscal year during which it is a business development company under the Investment Company Act; </w:t>
      </w:r>
      <w:r>
        <w:rPr>
          <w:rFonts w:ascii="Arial" w:cs="Arial" w:eastAsia="Arial" w:hAnsi="Arial"/>
          <w:sz w:val="18"/>
          <w:szCs w:val="18"/>
          <w:u w:val="single" w:color="auto"/>
          <w:color w:val="auto"/>
        </w:rPr>
        <w:t>provided</w:t>
      </w:r>
      <w:r>
        <w:rPr>
          <w:rFonts w:ascii="Arial" w:cs="Arial" w:eastAsia="Arial" w:hAnsi="Arial"/>
          <w:sz w:val="18"/>
          <w:szCs w:val="18"/>
          <w:color w:val="auto"/>
        </w:rPr>
        <w:t>, that, at the discretion of the Company’s board of directors, the Company may elect not to be so treated;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440" w:top="274" w:right="559" w:bottom="1440" w:gutter="0" w:footer="0" w:header="0"/>
        </w:sectPr>
      </w:pPr>
    </w:p>
    <w:bookmarkStart w:id="24" w:name="page25"/>
    <w:bookmarkEnd w:id="24"/>
    <w:p>
      <w:pPr>
        <w:ind w:left="4" w:right="20" w:firstLine="436"/>
        <w:spacing w:after="0" w:line="284" w:lineRule="auto"/>
        <w:tabs>
          <w:tab w:leader="none" w:pos="699" w:val="left"/>
        </w:tabs>
        <w:numPr>
          <w:ilvl w:val="1"/>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pay all costs, expenses, fees and taxes incident to the performance of its obligations hereunder, including (i) the preparation and filing of the Registration Statement, the Pricing Prospectus, the Prospectus, and any amendments or supplements thereto, and the printing and furnishing of copies of the Pricing Prospectus and the Prospectus to the Underwriters and to dealers (including costs of mailing and shipment), (ii) the registration, issue, sale and delivery of the Securities, including the fees, disbursements and expenses of the Company’s counsel and accountants incurred in connection therewith, and any transfer or other taxes payable upon the sale, issuance or delivery of the Securities to the Underwriters, (iii) the qualification of the Securities for offering and sale under state or foreign laws and the determination of their eligibility for investment under state or foreign law as aforesaid (including the reasonable legal fees and filing fees and other disbursements of counsel for the Underwriters) and the furnishing of copies of any blue sky surveys or legal investment surveys to the Underwriters and to dealers, (iv) all fees and expenses in connection with listing the Securities on Nasdaq,</w:t>
      </w:r>
    </w:p>
    <w:p>
      <w:pPr>
        <w:ind w:left="4" w:right="140" w:hanging="4"/>
        <w:spacing w:after="0" w:line="267" w:lineRule="auto"/>
        <w:tabs>
          <w:tab w:leader="none" w:pos="259"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fees charged by rating agencies for rating the Securities, (vi) any filing for review of the public offering of the Securities by FINRA, including the reasonable legal fees and filing fees and other disbursements of counsel to the Underwriters, (vii) attending or hosting meetings with prospective purchasers of the Securities, including all travel expenses of the Company’s officers, directors, employees and affiliates and any other expense of the Company incurred in connection therewith, (viii) the fees and expenses of the Trustee and any transfer agent, registrar or depositary with respect to the Securities, (ix) the expenses and application fees incurred in connection with the approval of the Securities for book-entry transfer by DTC and (x) the performance of the Company’s other obligations hereunder which are not specifically provided for in this Section 5(o). It is understood, however, that except as provided in this Section, Section 8 and Section 9, the Underwriters will pay all of their costs and expenses, including fees and disbursements of their counsel, transfer taxes payable in respect of any of the Securities, and any advertising expenses connected with any offers they may make. It is further understood that, in accordance with Rule 5110(f)(2)(D) of the Corporate Financing Rule of FINRA, in the event this Agreement is terminated, the Underwriters will be reimbursed, subject to Section 8, only for actual accountable out-of-pocket expenses which they have incurred in connection with the transactions contemplated by this Agreement;</w:t>
      </w:r>
    </w:p>
    <w:p>
      <w:pPr>
        <w:spacing w:after="0" w:line="77" w:lineRule="exact"/>
        <w:rPr>
          <w:rFonts w:ascii="Arial" w:cs="Arial" w:eastAsia="Arial" w:hAnsi="Arial"/>
          <w:sz w:val="17"/>
          <w:szCs w:val="17"/>
          <w:color w:val="auto"/>
        </w:rPr>
      </w:pPr>
    </w:p>
    <w:p>
      <w:pPr>
        <w:ind w:left="4" w:firstLine="436"/>
        <w:spacing w:after="0" w:line="255" w:lineRule="auto"/>
        <w:tabs>
          <w:tab w:leader="none" w:pos="699"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that the Company shall not, and shall cause its Subsidiaries not to, sell, offer to sell, contract or agree to sell, hypothecate, pledge, grant any option to purchase or otherwise dispose of or agree to dispose of, directly or indirectly, any debt securities issued or guaranteed by the Company or any securities convertible into or exchangeable or exercisable for debt securities issued or guaranteed by the Company or file or cause to be declared effective a registration statement under the Act with respect to any of the foregoing for a period of 30 days after the date hereof, without the prior written consent of the Representatives, which may not be unreasonably withheld. The foregoing sentence shall not apply to the registration of the Securities and the sales to the Underwriters pursuant to this Agreement;</w:t>
      </w:r>
    </w:p>
    <w:p>
      <w:pPr>
        <w:spacing w:after="0" w:line="84" w:lineRule="exact"/>
        <w:rPr>
          <w:rFonts w:ascii="Arial" w:cs="Arial" w:eastAsia="Arial" w:hAnsi="Arial"/>
          <w:sz w:val="18"/>
          <w:szCs w:val="18"/>
          <w:color w:val="auto"/>
        </w:rPr>
      </w:pPr>
    </w:p>
    <w:p>
      <w:pPr>
        <w:ind w:left="4" w:right="200" w:firstLine="436"/>
        <w:spacing w:after="0" w:line="277" w:lineRule="auto"/>
        <w:tabs>
          <w:tab w:leader="none" w:pos="699"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cooperate with the Representatives and use its commercially reasonable efforts to permit the offered Securities to be eligible for clearance and settlement through the facilities of DTC; and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5" w:name="page26"/>
    <w:bookmarkEnd w:id="25"/>
    <w:p>
      <w:pPr>
        <w:ind w:right="120" w:firstLine="436"/>
        <w:spacing w:after="0" w:line="277" w:lineRule="auto"/>
        <w:tabs>
          <w:tab w:leader="none" w:pos="665"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use its best efforts to (i) effect, within 30 days of the time of purchase, the listing of the Securities on Nasdaq and (ii) maintain the listing of the Securities on Nasdaq.</w:t>
      </w:r>
    </w:p>
    <w:p>
      <w:pPr>
        <w:spacing w:after="0" w:line="62" w:lineRule="exact"/>
        <w:rPr>
          <w:sz w:val="20"/>
          <w:szCs w:val="20"/>
          <w:color w:val="auto"/>
        </w:rPr>
      </w:pPr>
    </w:p>
    <w:p>
      <w:pPr>
        <w:ind w:left="620" w:hanging="184"/>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several obligations of the Underwriters hereunder are subject to the accuracy of the</w:t>
      </w:r>
    </w:p>
    <w:p>
      <w:pPr>
        <w:spacing w:after="0" w:line="23" w:lineRule="exact"/>
        <w:rPr>
          <w:rFonts w:ascii="Arial" w:cs="Arial" w:eastAsia="Arial" w:hAnsi="Arial"/>
          <w:sz w:val="18"/>
          <w:szCs w:val="18"/>
          <w:color w:val="auto"/>
        </w:rPr>
      </w:pPr>
    </w:p>
    <w:p>
      <w:pPr>
        <w:ind w:right="40"/>
        <w:spacing w:after="0" w:line="255" w:lineRule="auto"/>
        <w:rPr>
          <w:rFonts w:ascii="Arial" w:cs="Arial" w:eastAsia="Arial" w:hAnsi="Arial"/>
          <w:sz w:val="18"/>
          <w:szCs w:val="18"/>
          <w:color w:val="auto"/>
        </w:rPr>
      </w:pPr>
      <w:r>
        <w:rPr>
          <w:rFonts w:ascii="Arial" w:cs="Arial" w:eastAsia="Arial" w:hAnsi="Arial"/>
          <w:sz w:val="18"/>
          <w:szCs w:val="18"/>
          <w:color w:val="auto"/>
        </w:rPr>
        <w:t>representations and warranties on the part of the Company, the Adviser and the Administrator on the date hereof and at the time of purchase and, if applicable, at each additional time of purchase, the performance by the Company, the Adviser and the Administrator of each of its obligations hereunder and to the following additional conditions precedent:</w:t>
      </w:r>
    </w:p>
    <w:p>
      <w:pPr>
        <w:spacing w:after="0" w:line="82" w:lineRule="exact"/>
        <w:rPr>
          <w:sz w:val="20"/>
          <w:szCs w:val="20"/>
          <w:color w:val="auto"/>
        </w:rPr>
      </w:pPr>
    </w:p>
    <w:p>
      <w:pPr>
        <w:ind w:right="120" w:firstLine="436"/>
        <w:spacing w:after="0" w:line="279" w:lineRule="auto"/>
        <w:tabs>
          <w:tab w:leader="none" w:pos="685" w:val="left"/>
        </w:tabs>
        <w:numPr>
          <w:ilvl w:val="0"/>
          <w:numId w:val="36"/>
        </w:numPr>
        <w:rPr>
          <w:rFonts w:ascii="Arial" w:cs="Arial" w:eastAsia="Arial" w:hAnsi="Arial"/>
          <w:sz w:val="17"/>
          <w:szCs w:val="17"/>
          <w:color w:val="auto"/>
        </w:rPr>
      </w:pPr>
      <w:r>
        <w:rPr>
          <w:rFonts w:ascii="Arial" w:cs="Arial" w:eastAsia="Arial" w:hAnsi="Arial"/>
          <w:sz w:val="17"/>
          <w:szCs w:val="17"/>
          <w:color w:val="auto"/>
        </w:rPr>
        <w:t>You shall have received at the time of purchase and, if applicable, at each additional time of purchase, an opinion of Dechert LLP, outside counsel for the Company, the Adviser and the Administrator, addressed to the Underwriters, and dated the time of purchase or the applicable additional time of purchase, as the case may be, in form and substance reasonably satisfactory to the Underwriters. The opinion of Dechert LLP described in this Section 6(a) shall be rendered to the Underwriters at the request of the Company and shall so state therein.</w:t>
      </w:r>
    </w:p>
    <w:p>
      <w:pPr>
        <w:spacing w:after="0" w:line="63" w:lineRule="exact"/>
        <w:rPr>
          <w:rFonts w:ascii="Arial" w:cs="Arial" w:eastAsia="Arial" w:hAnsi="Arial"/>
          <w:sz w:val="17"/>
          <w:szCs w:val="17"/>
          <w:color w:val="auto"/>
        </w:rPr>
      </w:pPr>
    </w:p>
    <w:p>
      <w:pPr>
        <w:ind w:firstLine="436"/>
        <w:spacing w:after="0" w:line="259"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shall have received at the time of purchase and, if applicable, at each additional time of purchase, an opinion of Venable LLP, special counsel for the Company, addressed to the Underwriters, and dated the time of purchase or the applicable additional time of purchase, as the case may be, in form and substance reasonably satisfactory to the Underwriters. The opinion of Venable LLP described in this Section 6(b) shall be rendered to the Underwriters at the request of the Company and shall so state therein.</w:t>
      </w:r>
    </w:p>
    <w:p>
      <w:pPr>
        <w:spacing w:after="0" w:line="78" w:lineRule="exact"/>
        <w:rPr>
          <w:rFonts w:ascii="Arial" w:cs="Arial" w:eastAsia="Arial" w:hAnsi="Arial"/>
          <w:sz w:val="18"/>
          <w:szCs w:val="18"/>
          <w:color w:val="auto"/>
        </w:rPr>
      </w:pPr>
    </w:p>
    <w:p>
      <w:pPr>
        <w:ind w:right="20" w:firstLine="436"/>
        <w:spacing w:after="0" w:line="296" w:lineRule="auto"/>
        <w:tabs>
          <w:tab w:leader="none" w:pos="678" w:val="left"/>
        </w:tabs>
        <w:numPr>
          <w:ilvl w:val="0"/>
          <w:numId w:val="36"/>
        </w:numPr>
        <w:rPr>
          <w:rFonts w:ascii="Arial" w:cs="Arial" w:eastAsia="Arial" w:hAnsi="Arial"/>
          <w:sz w:val="16"/>
          <w:szCs w:val="16"/>
          <w:color w:val="auto"/>
        </w:rPr>
      </w:pPr>
      <w:r>
        <w:rPr>
          <w:rFonts w:ascii="Arial" w:cs="Arial" w:eastAsia="Arial" w:hAnsi="Arial"/>
          <w:sz w:val="16"/>
          <w:szCs w:val="16"/>
          <w:color w:val="auto"/>
        </w:rPr>
        <w:t>You shall have received on the date hereof, at the time of purchase and, if applicable, at each additional time of purchase, letters from RSM US LLP, addressed to the Underwriters (with reproduced copies for each of the Underwriters), and dated, respectively, the date of this Agreement, the time of purchase and, if applicable, each additional time of purchase, in the forms heretofore approved by the Representatives, containing statements and information of the type ordinarily included in accountants’ “comfort letters” to underwriters with respect to the financial statements and certain financial information contained in, or incorporated by reference in, the Registration Statement, the Pricing Prospectus and the Prospectus.</w:t>
      </w:r>
    </w:p>
    <w:p>
      <w:pPr>
        <w:spacing w:after="0" w:line="53" w:lineRule="exact"/>
        <w:rPr>
          <w:rFonts w:ascii="Arial" w:cs="Arial" w:eastAsia="Arial" w:hAnsi="Arial"/>
          <w:sz w:val="16"/>
          <w:szCs w:val="16"/>
          <w:color w:val="auto"/>
        </w:rPr>
      </w:pPr>
    </w:p>
    <w:p>
      <w:pPr>
        <w:ind w:right="20" w:firstLine="436"/>
        <w:spacing w:after="0" w:line="263"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shall have received at the time of purchase and, if applicable, at each additional time of purchase, the favorable opinion of Ropes &amp; Gray LLP, counsel for the Underwriters, and dated the time of purchase or the applicable additional time of purchase, as the case may be, with respect the sale of the Securities and other related matters as the Underwriters may require.</w:t>
      </w:r>
    </w:p>
    <w:p>
      <w:pPr>
        <w:spacing w:after="0" w:line="75" w:lineRule="exact"/>
        <w:rPr>
          <w:rFonts w:ascii="Arial" w:cs="Arial" w:eastAsia="Arial" w:hAnsi="Arial"/>
          <w:sz w:val="18"/>
          <w:szCs w:val="18"/>
          <w:color w:val="auto"/>
        </w:rPr>
      </w:pPr>
    </w:p>
    <w:p>
      <w:pPr>
        <w:ind w:firstLine="436"/>
        <w:spacing w:after="0" w:line="273" w:lineRule="auto"/>
        <w:tabs>
          <w:tab w:leader="none" w:pos="685"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Prior to the time of purchase and, if applicable, each additional time of purchase, (i) no stop order with respect to the effectiveness of the Registration Statement shall have been issued under the Act or, to the Company’s knowledge,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 and (iii) the Prospectus, as then amended or supplemented, shall not contain an untrue statement of a material fact or omit to state a material fact required to be stated therein or necessary to make the statements therein, in the light of the circumstances under which they are made, not misleading.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6" w:name="page27"/>
    <w:bookmarkEnd w:id="26"/>
    <w:p>
      <w:pPr>
        <w:ind w:right="180" w:firstLine="436"/>
        <w:spacing w:after="0" w:line="286" w:lineRule="auto"/>
        <w:tabs>
          <w:tab w:leader="none" w:pos="665" w:val="left"/>
        </w:tabs>
        <w:numPr>
          <w:ilvl w:val="0"/>
          <w:numId w:val="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Between the time of execution of this Agreement and the time of purchase or the additional time of purchase, as the case may be, no material adverse change or any development involving a prospective material adverse change in the business, properties, management, financial condition or results of operations of the Company, the Subsidiaries or the Adviser, taken as a whole, shall occur or become known.</w:t>
      </w:r>
    </w:p>
    <w:p>
      <w:pPr>
        <w:spacing w:after="0" w:line="57" w:lineRule="exact"/>
        <w:rPr>
          <w:rFonts w:ascii="Arial" w:cs="Arial" w:eastAsia="Arial" w:hAnsi="Arial"/>
          <w:sz w:val="17"/>
          <w:szCs w:val="17"/>
          <w:color w:val="auto"/>
        </w:rPr>
      </w:pPr>
    </w:p>
    <w:p>
      <w:pPr>
        <w:ind w:right="120" w:firstLine="436"/>
        <w:spacing w:after="0" w:line="263"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Each of the Company, the Adviser and the Administrator will, at the time of purchase and each additional time of purchase, as applicable, deliver to you a certificate of its Chief Executive Officer and its Chief Financial Officer or its Managing Member, as applicable,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75" w:lineRule="exact"/>
        <w:rPr>
          <w:rFonts w:ascii="Arial" w:cs="Arial" w:eastAsia="Arial" w:hAnsi="Arial"/>
          <w:sz w:val="18"/>
          <w:szCs w:val="18"/>
          <w:color w:val="auto"/>
        </w:rPr>
      </w:pPr>
    </w:p>
    <w:p>
      <w:pPr>
        <w:ind w:left="700" w:hanging="264"/>
        <w:spacing w:after="0"/>
        <w:tabs>
          <w:tab w:leader="none" w:pos="7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and the Trustee shall have executed and delivered the Indenture, the Third Supplemental Indenture and the Securities.</w:t>
      </w:r>
    </w:p>
    <w:p>
      <w:pPr>
        <w:spacing w:after="0" w:line="128" w:lineRule="exact"/>
        <w:rPr>
          <w:rFonts w:ascii="Arial" w:cs="Arial" w:eastAsia="Arial" w:hAnsi="Arial"/>
          <w:sz w:val="17"/>
          <w:szCs w:val="17"/>
          <w:color w:val="auto"/>
        </w:rPr>
      </w:pPr>
    </w:p>
    <w:p>
      <w:pPr>
        <w:ind w:right="40" w:firstLine="436"/>
        <w:spacing w:after="0" w:line="259"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shall not have been any decrease in the rating of any debt of the Company or any Subsidiary by any “nationally recognized statistical rating organization” (as defined in Section 3(a)(62) of the Exchange Act), or any notice given of any intended or potential decrease in any such rating or of a possible change in any such rating that does not indicate the direction of the possible change, and no such organization shall have publicly announced it has under surveillance or review any such rating.</w:t>
      </w:r>
    </w:p>
    <w:p>
      <w:pPr>
        <w:spacing w:after="0" w:line="78" w:lineRule="exact"/>
        <w:rPr>
          <w:rFonts w:ascii="Arial" w:cs="Arial" w:eastAsia="Arial" w:hAnsi="Arial"/>
          <w:sz w:val="18"/>
          <w:szCs w:val="18"/>
          <w:color w:val="auto"/>
        </w:rPr>
      </w:pPr>
    </w:p>
    <w:p>
      <w:pPr>
        <w:ind w:right="100" w:firstLine="436"/>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have furnished to you such other documents and certificates as to the accuracy and completeness of any statement in the Registration Statement, the Pricing Prospectus and the Prospectus as of the time of purchase and, if applicable, each additional time of purchase, as you may reasonably request.</w:t>
      </w:r>
    </w:p>
    <w:p>
      <w:pPr>
        <w:spacing w:after="0" w:line="76" w:lineRule="exact"/>
        <w:rPr>
          <w:sz w:val="20"/>
          <w:szCs w:val="20"/>
          <w:color w:val="auto"/>
        </w:rPr>
      </w:pPr>
    </w:p>
    <w:p>
      <w:pPr>
        <w:ind w:firstLine="436"/>
        <w:spacing w:after="0" w:line="287" w:lineRule="auto"/>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obligations of the several Underwriters hereunder shall be subject to termination in the absolute discretion of any of the Representatives, if (x) since the time of execution of this Agreement or the earlier respective dates as of which information is given in the Registration Statement, the Pricing Prospectus and the Prospectus, there has been any material adverse change or any development involving a prospective material adverse change in the business, properties, management, financial condition, prospects or results of operations of the Company or the Adviser, taken as a whole, which would, in any of the Representatives’ judgment or in the judgment of any group of Underwriters, make it impracticable or inadvisable to proceed with the public offering or the delivery of the Securities on the terms and in the manner contemplated in the Registration Statement, the Pricing Prospectus and the Prospectus, or (y) since execution of this Agreement, there shall have occurred: (i) a suspension or material limitation in trading in securities generally on the New York Stock Exchange or the Nasdaq Stock Market; (ii) a suspension or material limitation in trading in any of the Company’s securities; (iii) a general moratorium on commercial banking activities declared by either federal or New York State authorities or a material disruption in commercial banking or securities settlement, payment or clearance services in the United States; (iv) an outbreak or escalation of hostilities or acts of terrorism involving the United States or a declaration by the United States of a national emergency or war; or (v) any other calamity 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7" w:name="page28"/>
    <w:bookmarkEnd w:id="27"/>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crisis or any change in financial, political or economic conditions in the United States or elsewhere, if the effect of any such event specified in clause</w:t>
      </w:r>
    </w:p>
    <w:p>
      <w:pPr>
        <w:spacing w:after="0" w:line="46" w:lineRule="exact"/>
        <w:rPr>
          <w:sz w:val="20"/>
          <w:szCs w:val="20"/>
          <w:color w:val="auto"/>
        </w:rPr>
      </w:pPr>
    </w:p>
    <w:p>
      <w:pPr>
        <w:ind w:left="4" w:right="300" w:hanging="4"/>
        <w:spacing w:after="0" w:line="255" w:lineRule="auto"/>
        <w:tabs>
          <w:tab w:leader="none" w:pos="309"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 (v) in any of the Representatives’ judgment or in the judgment of any group of Underwriters makes it impracticable or inadvisable to proceed with the public offering or the delivery of the Securities on the terms and in the manner contemplated in the Registration Statement, the Pricing Prospectus and the Prospectus.</w:t>
      </w:r>
    </w:p>
    <w:p>
      <w:pPr>
        <w:spacing w:after="0" w:line="190"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If the sale to the Underwriters of the Securities,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 9 hereof), and the Underwriters shall be under no obligation or liability to the Company under this Agreement (except to the extent provided in Section 9 hereof) or to one another hereunder.</w:t>
      </w:r>
    </w:p>
    <w:p>
      <w:pPr>
        <w:spacing w:after="0" w:line="80" w:lineRule="exact"/>
        <w:rPr>
          <w:sz w:val="20"/>
          <w:szCs w:val="20"/>
          <w:color w:val="auto"/>
        </w:rPr>
      </w:pPr>
    </w:p>
    <w:p>
      <w:pPr>
        <w:ind w:left="4" w:right="20" w:firstLine="436"/>
        <w:spacing w:after="0" w:line="253" w:lineRule="auto"/>
        <w:tabs>
          <w:tab w:leader="none" w:pos="62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Increase in Underwriters’ Commitments</w:t>
      </w:r>
      <w:r>
        <w:rPr>
          <w:rFonts w:ascii="Arial" w:cs="Arial" w:eastAsia="Arial" w:hAnsi="Arial"/>
          <w:sz w:val="18"/>
          <w:szCs w:val="18"/>
          <w:color w:val="auto"/>
        </w:rPr>
        <w:t xml:space="preserve">. Subject to Sections 6 and 7 hereof, if any Underwriter shall default in its obligation to take up and pay for the Securities to be purchased by it hereunder (otherwise than for a failure of a condition set forth in Section 6 hereof or a reason sufficient to justify the termination of this Agreement under the provisions of Section 7 hereof) and if the aggregate principal amount of Securities which all Underwriters so defaulting shall have agreed but failed to take up and pay for does not exceed 10% of the total aggregate principal amount of Securities, the non-defaulting Underwriters shall take up and pay for (in addition to the aggregate principal amount of Securities they are obligated to purchase pursuant to Section 1 hereof) the aggregate principal amount of Securities agreed to be purchased by all such defaulting Underwriters, as hereinafter provided. Such Securities shall be taken up and paid for by such non-defaulting Underwriters in such amount or amounts as you may designate with the consent of each Underwriter so designated or, in the event no such designation is made, such Securities shall be taken up and paid for by all non-defaulting Underwriters pro rata in proportion to the aggregate principal amount of Securities set opposite the names of such non-defaulting Underwriters in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94"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Without relieving any defaulting Underwriter from its obligations hereunder, the Company agrees with the non-defaulting Underwriters that it will not sell any Securities hereunder unless all of the Securities are purchased by the Underwriters (or by substituted underwriters selected by you with the approval of the Company or selected by the Company with your approval).</w:t>
      </w:r>
    </w:p>
    <w:p>
      <w:pPr>
        <w:spacing w:after="0" w:line="184" w:lineRule="exact"/>
        <w:rPr>
          <w:sz w:val="20"/>
          <w:szCs w:val="20"/>
          <w:color w:val="auto"/>
        </w:rPr>
      </w:pPr>
    </w:p>
    <w:p>
      <w:pPr>
        <w:jc w:val="both"/>
        <w:ind w:left="4" w:right="440" w:firstLine="440"/>
        <w:spacing w:after="0" w:line="311" w:lineRule="auto"/>
        <w:rPr>
          <w:sz w:val="20"/>
          <w:szCs w:val="20"/>
          <w:color w:val="auto"/>
        </w:rPr>
      </w:pPr>
      <w:r>
        <w:rPr>
          <w:rFonts w:ascii="Arial" w:cs="Arial" w:eastAsia="Arial" w:hAnsi="Arial"/>
          <w:sz w:val="16"/>
          <w:szCs w:val="16"/>
          <w:color w:val="auto"/>
        </w:rPr>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149"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 xml:space="preserve">The term Underwriter as used in this Agreement shall refer to and include any underwriter substituted under this Section 8 with like effect as if such substituted underwriter had originally been named as an Underwriter in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4" w:right="479" w:bottom="1440" w:gutter="0" w:footer="0" w:header="0"/>
        </w:sectPr>
      </w:pPr>
    </w:p>
    <w:bookmarkStart w:id="28" w:name="page29"/>
    <w:bookmarkEnd w:id="28"/>
    <w:p>
      <w:pPr>
        <w:ind w:right="4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aggregate principal amount of Securities which the defaulting Underwriter or Underwriters agreed to purchase exceeds 10% of the total aggregate principal amount of Securities which all Underwriters agreed to purchase hereunder, and if neither the non-defaulting Underwriters nor the Company shall make arrangements within the five business day-period stated above for the purchase of all the Securities which the defaulting Underwriter or Underwriters agreed to purchase hereunder, this Agreement shall terminate without further act or deed and without any liability on the part of the Company to any non-defaulting Underwriter (except as provided in Section 9)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87" w:lineRule="exact"/>
        <w:rPr>
          <w:sz w:val="20"/>
          <w:szCs w:val="20"/>
          <w:color w:val="auto"/>
        </w:rPr>
      </w:pPr>
    </w:p>
    <w:p>
      <w:pPr>
        <w:ind w:left="620" w:hanging="184"/>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Indemnity and Contribution</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5" w:lineRule="auto"/>
        <w:tabs>
          <w:tab w:leader="none" w:pos="685" w:val="left"/>
        </w:tabs>
        <w:numPr>
          <w:ilvl w:val="0"/>
          <w:numId w:val="42"/>
        </w:numPr>
        <w:rPr>
          <w:rFonts w:ascii="Arial" w:cs="Arial" w:eastAsia="Arial" w:hAnsi="Arial"/>
          <w:sz w:val="16"/>
          <w:szCs w:val="16"/>
          <w:color w:val="auto"/>
        </w:rPr>
      </w:pPr>
      <w:r>
        <w:rPr>
          <w:rFonts w:ascii="Arial" w:cs="Arial" w:eastAsia="Arial" w:hAnsi="Arial"/>
          <w:sz w:val="16"/>
          <w:szCs w:val="16"/>
          <w:color w:val="auto"/>
        </w:rPr>
        <w:t>(1) The Company agrees to indemnify, defend and hold harmless each Underwriter, its partners, directors and officers, and any person who controls any Underwriter within the meaning of Section 15 of the Act or Section 20 of the Exchange Act, each affiliate of any Underwriter within the meaning of Rule 405 under the Act that is involved in the Offering, and the successors and assigns of all of the foregoing persons, from and against any loss, damage, expense, liability or claim (including the reasonable cost of any investigation incurred in connection therewith) which, jointly or severally, any such Underwriter or any such person may incur under the Act, the Exchange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the Pricing Prospectus together with the Pricing Information, any Marketing Materials or the Prospectus (as amended or supplemented by the Company), or arising out of or based upon any omission or alleged omission to state a material fact required to be stated in either the Registration Statement, the Pricing Prospectus together with the Pricing Information, any Marketing Materials or the Prospectus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the Pricing Prospectus together with the Pricing Information, any Marketing Materials or the Prospectus or arising out of or based upon any omission or alleged omission to state a material fact in connection with such information required to be stated in the Registration Statement, the Pricing Prospectus together with the Pricing Information, any Marketing Materials or the Prospectus or necessary to make such information not misleading or (ii) any untrue statement or alleged untrue statement made by the Company in Section 3 hereof or the failure by the Company to perform when and as required any agreement or covenant contained herein.</w:t>
      </w:r>
    </w:p>
    <w:p>
      <w:pPr>
        <w:spacing w:after="0" w:line="65" w:lineRule="exact"/>
        <w:rPr>
          <w:rFonts w:ascii="Arial" w:cs="Arial" w:eastAsia="Arial" w:hAnsi="Arial"/>
          <w:sz w:val="16"/>
          <w:szCs w:val="16"/>
          <w:color w:val="auto"/>
        </w:rPr>
      </w:pPr>
    </w:p>
    <w:p>
      <w:pPr>
        <w:ind w:right="40" w:firstLine="987"/>
        <w:spacing w:after="0" w:line="259" w:lineRule="auto"/>
        <w:tabs>
          <w:tab w:leader="none" w:pos="1246"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Adviser and the Administrator, jointly and severally, agree to indemnify, defend and hold harmless each Underwriter and each other person specified in subsection (a)(1) of this Section 9 from and against any loss, damage, expense, liability or claim (including the reasonable cost of any investigation incurred in connection therewith) any such Underwriter or any such other person may incur as specified in such subsection, insofar as such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29" w:name="page30"/>
    <w:bookmarkEnd w:id="29"/>
    <w:p>
      <w:pPr>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loss, damage, expense, liability or claim arises out of or is based upon (x) any untrue statement or alleged untrue statement of a material fact contained in the Registration Statement (or in the Registration Statement as amended by any post-effective amendment thereof by the Company), the Pricing Prospectus, any Marketing Materials or the Prospectus (as amended or supplemented by the Company) regarding the Adviser or the Administrator or arising out of or based upon any omission or alleged omission to state a material fact required to be stated in either the Registration Statement, the Pricing Prospectus, any Marketing Materials or the Prospectus or necessary to make the statements made therein not misleading or (y) any untrue statement or alleged untrue statement made by the Adviser or the Administrator in Section 4 hereof.</w:t>
      </w:r>
    </w:p>
    <w:p>
      <w:pPr>
        <w:spacing w:after="0" w:line="56" w:lineRule="exact"/>
        <w:rPr>
          <w:sz w:val="20"/>
          <w:szCs w:val="20"/>
          <w:color w:val="auto"/>
        </w:rPr>
      </w:pPr>
    </w:p>
    <w:p>
      <w:pPr>
        <w:ind w:firstLine="987"/>
        <w:spacing w:after="0" w:line="284" w:lineRule="auto"/>
        <w:tabs>
          <w:tab w:leader="none" w:pos="1246"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any action, suit or proceeding (each,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is brought against an Underwriter or any such person in respect of which indemnity may be sought against the Company, the Adviser or the Administrator, as appropriate, pursuant to the foregoing paragraph, such Underwriter or such person shall promptly notify the Company, the Adviser or the Administrator, as appropriate, in writing of the institution of such Proceeding and the Company, the Adviser or the Administrator, as appropriate, shall assume the defense of such Proceeding, including the employment of counsel reasonably satisfactory to such indemnified party and payment of all fees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omission to so notify the Company, the Adviser or the Administrator, as appropriate, shall not relieve the Company, the Adviser or the Administrator, as appropriate, from any liability which the Company, the Adviser or the Administrator, as appropriate, may have to any Underwriter or any such person or otherwise. Such Underwriter or such person shall have the right to employ its or their own counsel in any such case, but the fees and expenses of such counsel shall be at the expense of such Underwriter or of such person unless the employment of such counsel shall have been authorized in writing by the Company, the Adviser or the Administrator, as appropriate, in connection with the defense of such Proceeding or the Company, the Adviser or the Administrator, as appropriate, shall not have, within a reasonable period of time in light of the circumstances, employed counsel to have charge of the defense of such Proceeding or such indemnified party or parties shall have reasonably concluded that there may be defenses available to it or them which are different from, additional to or in conflict with those available to the Company, the Adviser or the Administrator, as appropriate (in which case the Company, the Adviser or the Administrator, as appropriate, shall not have the right to direct the defense of such Proceeding on behalf of the indemnified party or parties), in any of which events such fees and expenses shall be borne by the Company, the Adviser or the Administrator, as appropriate, and paid as incurred (it being understood, however, that the Company, the Adviser or the Administrator, as appropriate, shall not be liable for the expenses of more than one separate counsel (in addition to any local counsel) in any one Proceeding or series of related Proceedings in the same jurisdiction representing the indemnified parties who are parties to such Proceeding). Each of the Company, the Adviser or the Administrator, as appropriate, shall not be liable for any settlement of any Proceeding effected without its written consent, but if settled with the written consent of the Company, the Adviser or the Administrator, as appropriate, the Company, the Adviser or the Administrator, as appropriate, agrees to indemnify and hold harmless any Underwriter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0" w:name="page31"/>
    <w:bookmarkEnd w:id="30"/>
    <w:p>
      <w:pPr>
        <w:ind w:left="4" w:righ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consent if (i) such settlement is entered into more than 60 business days after receipt by such indemnifying party of the aforesaid request, (ii) such indemnifying party shall not have fully reimbursed the indemnified party in accordance with such request prior to the date of such settlement and</w:t>
      </w:r>
    </w:p>
    <w:p>
      <w:pPr>
        <w:ind w:left="4" w:right="140" w:hanging="4"/>
        <w:spacing w:after="0" w:line="271" w:lineRule="auto"/>
        <w:tabs>
          <w:tab w:leader="none" w:pos="319"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w:t>
      </w:r>
    </w:p>
    <w:p>
      <w:pPr>
        <w:spacing w:after="0" w:line="70" w:lineRule="exact"/>
        <w:rPr>
          <w:rFonts w:ascii="Arial" w:cs="Arial" w:eastAsia="Arial" w:hAnsi="Arial"/>
          <w:sz w:val="17"/>
          <w:szCs w:val="17"/>
          <w:color w:val="auto"/>
        </w:rPr>
      </w:pPr>
    </w:p>
    <w:p>
      <w:pPr>
        <w:ind w:left="4" w:firstLine="436"/>
        <w:spacing w:after="0" w:line="269" w:lineRule="auto"/>
        <w:tabs>
          <w:tab w:leader="none" w:pos="699" w:val="left"/>
        </w:tabs>
        <w:numPr>
          <w:ilvl w:val="1"/>
          <w:numId w:val="44"/>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defend and hold harmless the Company, the Adviser and the Administrator, their directors, partners and officers, and any person who controls the Company, the Adviser or the Administrator within the meaning of Section 15 of the Act or Section 20 of the Exchange Act, and the successors and assigns of all of the foregoing persons, from and against any loss, damage, expense, liability or claim (including the reasonable cost of any investigation incurred in connection therewith) which, jointly or severally, the Company, the Adviser or the Administrator, or any such person may incur under the Act, the Exchange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the Pricing Prospectus together with the Pricing Information or the Prospectus, or arises out of or is based upon any omission or alleged omission to state a material fact in connection with such information required to be stated in the Registration Statement, the Pricing Prospectus together with the Pricing Information or the Prospectus or necessary to make such information not misleading, it being understood and agreed that the only such information is that set forth in Section 10.</w:t>
      </w:r>
    </w:p>
    <w:p>
      <w:pPr>
        <w:spacing w:after="0" w:line="179" w:lineRule="exact"/>
        <w:rPr>
          <w:sz w:val="20"/>
          <w:szCs w:val="20"/>
          <w:color w:val="auto"/>
        </w:rPr>
      </w:pPr>
    </w:p>
    <w:p>
      <w:pPr>
        <w:ind w:left="4" w:right="40" w:firstLine="440"/>
        <w:spacing w:after="0" w:line="253" w:lineRule="auto"/>
        <w:rPr>
          <w:sz w:val="20"/>
          <w:szCs w:val="20"/>
          <w:color w:val="auto"/>
        </w:rPr>
      </w:pPr>
      <w:r>
        <w:rPr>
          <w:rFonts w:ascii="Arial" w:cs="Arial" w:eastAsia="Arial" w:hAnsi="Arial"/>
          <w:sz w:val="18"/>
          <w:szCs w:val="18"/>
          <w:color w:val="auto"/>
        </w:rPr>
        <w:t xml:space="preserve">If any Proceeding is brought against the Company, the Adviser, the Administrator, or any such person in respect of which indemnity may be sought against any Underwriter pursuant to the foregoing paragraph, the Company, the Adviser, the Administrator, or such person shall promptly notify such Underwriter in writing of the institution of such Proceeding and such Underwriter shall assume the defense of such Proceeding, including the employment of counsel reasonably satisfactory to such indemnified party and payment of all fees and expenses;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omission to so notify such Underwriter shall not relieve such Underwriter from any liability which such Underwriter may have to the Company, the Adviser, the Administrator, or any such person or otherwise. The Company, the Adviser, the Administrator, or such person shall have the right to employ its own counsel in any such case, but the fees and expenses of such counsel shall be at the expense of the Company, the Adviser, the Administrator, or such person unless the employment of such counsel shall have been authorized in writing by such Underwriter in connection with the defense of such Proceeding or such Underwriter shall not have, within a reasonable period of time in light of the circumstances, employed counsel to defend such Proceeding or such indemnified party or parties shall have reasonably concluded that there may be defenses available to it or them which are different from</w:t>
      </w:r>
    </w:p>
    <w:p>
      <w:pPr>
        <w:spacing w:after="0" w:line="12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4" w:right="479" w:bottom="1440" w:gutter="0" w:footer="0" w:header="0"/>
        </w:sectPr>
      </w:pPr>
    </w:p>
    <w:bookmarkStart w:id="31" w:name="page32"/>
    <w:bookmarkEnd w:id="31"/>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additional to or in conflict with those available to such Underwriter (in which case such Underwriter shall not have the right to direct the defense of such Proceeding on behalf of the indemnified party or parties, but such Underwriter may employ counsel and participate in the defense thereof but the fees and expenses of such counsel shall be at the expense of such Underwriter), in any of which events such fees and expenses shall be borne by such Underwriter and paid as incurred (it being understood, however, that such Underwriter shall not be liable for the expenses of more than one separate counsel (in addition to any local counsel) in any one Proceeding or series of related Proceedings in the same jurisdiction representing the indemnified parties who are parties to such Proceeding). No Underwriter shall be liable for any settlement of any such Proceeding effected without the written consent of such Underwriter, but if settled with the written consent of such Underwriter, such Underwriter agrees to indemnify and hold harmless the Company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w:t>
      </w:r>
    </w:p>
    <w:p>
      <w:pPr>
        <w:spacing w:after="0" w:line="4" w:lineRule="exact"/>
        <w:rPr>
          <w:sz w:val="20"/>
          <w:szCs w:val="20"/>
          <w:color w:val="auto"/>
        </w:rPr>
      </w:pPr>
    </w:p>
    <w:p>
      <w:pPr>
        <w:ind w:left="264" w:hanging="264"/>
        <w:spacing w:after="0"/>
        <w:tabs>
          <w:tab w:leader="none" w:pos="264"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such indemnifying party shall not have reimbursed the indemnified party in accordance with such request prior to the date of such settlement and</w:t>
      </w:r>
    </w:p>
    <w:p>
      <w:pPr>
        <w:spacing w:after="0" w:line="32" w:lineRule="exact"/>
        <w:rPr>
          <w:rFonts w:ascii="Arial" w:cs="Arial" w:eastAsia="Arial" w:hAnsi="Arial"/>
          <w:sz w:val="16"/>
          <w:szCs w:val="16"/>
          <w:color w:val="auto"/>
        </w:rPr>
      </w:pPr>
    </w:p>
    <w:p>
      <w:pPr>
        <w:ind w:left="4" w:right="160" w:hanging="4"/>
        <w:spacing w:after="0" w:line="295" w:lineRule="auto"/>
        <w:tabs>
          <w:tab w:leader="none" w:pos="319"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53" w:lineRule="exact"/>
        <w:rPr>
          <w:rFonts w:ascii="Arial" w:cs="Arial" w:eastAsia="Arial" w:hAnsi="Arial"/>
          <w:sz w:val="16"/>
          <w:szCs w:val="16"/>
          <w:color w:val="auto"/>
        </w:rPr>
      </w:pPr>
    </w:p>
    <w:p>
      <w:pPr>
        <w:ind w:left="4" w:firstLine="436"/>
        <w:spacing w:after="0" w:line="268" w:lineRule="auto"/>
        <w:tabs>
          <w:tab w:leader="none" w:pos="689" w:val="left"/>
        </w:tabs>
        <w:numPr>
          <w:ilvl w:val="1"/>
          <w:numId w:val="45"/>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9 is unavailable to an indemnified party under subsections (a) and (b)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the Adviser and the Administrator, on the one hand, and the Underwriters,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Company, the Adviser and the Administrator, on the one hand, and of the Underwriters on the other in connection with the statements or omissions which resulted in such losses, damages, expenses, liabilities or claims, as well as any other relevant equitable considerations. The relative benefits received by the Company, the Adviser and the Administrator, on the one hand, and the Underwriters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Underwriters bear to the aggregate public offering price of the Securities. The relative fault of the Company, the Adviser and the Administrator, on the one hand, and of the Underwriters on the other shall be determined by reference to, among other things, whether the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32" w:name="page33"/>
    <w:bookmarkEnd w:id="32"/>
    <w:p>
      <w:pPr>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untrue statement or alleged untrue statement of a material fact or omission or alleged omission relates to information supplied by such party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49" w:lineRule="exact"/>
        <w:rPr>
          <w:sz w:val="20"/>
          <w:szCs w:val="20"/>
          <w:color w:val="auto"/>
        </w:rPr>
      </w:pPr>
    </w:p>
    <w:p>
      <w:pPr>
        <w:ind w:right="20" w:firstLine="436"/>
        <w:spacing w:after="0" w:line="270" w:lineRule="auto"/>
        <w:tabs>
          <w:tab w:leader="none" w:pos="69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the Adviser, the Administrator and the Underwriters agree that it would not be just and equitable if contribution pursuant to this Section 9 were determined by pro rata allocation (even if the Underwriters were treated as one entity for such purpose) or by any other method of allocation that does not take account of the equitable considerations referred to in subsection (c) above. Notwithstanding the provisions of this Section 9, no Underwriter shall be required to contribute any amount in excess of the amount by which the total price at which the Securities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72" w:lineRule="exact"/>
        <w:rPr>
          <w:rFonts w:ascii="Arial" w:cs="Arial" w:eastAsia="Arial" w:hAnsi="Arial"/>
          <w:sz w:val="17"/>
          <w:szCs w:val="17"/>
          <w:color w:val="auto"/>
        </w:rPr>
      </w:pPr>
    </w:p>
    <w:p>
      <w:pPr>
        <w:ind w:right="100" w:firstLine="436"/>
        <w:spacing w:after="0" w:line="288" w:lineRule="auto"/>
        <w:tabs>
          <w:tab w:leader="none" w:pos="68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indemnity and contribution agreements contained in this Section 9 and the covenants, warranties and representations of the Company, the Adviser and the Administrator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Act or Section 20 of the Exchange Act, or any affiliate of any Underwriter within the meaning of Rule 405 under the Act that is involved in the Offering, or any successors or assigns of all of the foregoing persons, or by or on behalf of the Company, its directors or officers or any person who controls the Company within the meaning of Section 15 of the Act or Section 20 of the Exchange Act, and shall survive any termination of this Agreement or the issuance and delivery of the Securities. The Company, the Adviser, the Administrator and each Underwriter agree promptly to notify each other of the commencement of any Proceeding against it and, in the case of the Company, the Adviser or the Administrator, against any of the Company’s officers or directors, the Adviser and the Administrator or their partners or officers in connection with the issuance and sale of the Securities, or in connection with the Registration Statement, the Pricing Prospectus or the Prospectus.</w:t>
      </w:r>
    </w:p>
    <w:p>
      <w:pPr>
        <w:spacing w:after="0" w:line="60" w:lineRule="exact"/>
        <w:rPr>
          <w:sz w:val="20"/>
          <w:szCs w:val="20"/>
          <w:color w:val="auto"/>
        </w:rPr>
      </w:pPr>
    </w:p>
    <w:p>
      <w:pPr>
        <w:ind w:firstLine="436"/>
        <w:spacing w:after="0" w:line="296" w:lineRule="auto"/>
        <w:tabs>
          <w:tab w:leader="none" w:pos="71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Information Furnished by the Underwriters</w:t>
      </w:r>
      <w:r>
        <w:rPr>
          <w:rFonts w:ascii="Arial" w:cs="Arial" w:eastAsia="Arial" w:hAnsi="Arial"/>
          <w:sz w:val="16"/>
          <w:szCs w:val="16"/>
          <w:color w:val="auto"/>
        </w:rPr>
        <w:t>. The Company acknowledges that (i) the statements regarding delivery of the Securities set forth in the third sentence of the seventh paragraph of the cover page and in the second sentence of the fourth paragraph under the heading “Underwriting,” (ii) the names of the underwriters set forth in the table following the first paragraph under the heading “Underwriting, (iii) the sentences relating to concessions, and (iv) the sentences related to stabilization and syndicate covering transactions in the Pricing Prospectus and the Prospectus constitute the only information furnished by or on behalf of the several Underwriters for inclusion in the Pricing Prospectus and the Prospectus.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3" w:name="page34"/>
    <w:bookmarkEnd w:id="33"/>
    <w:p>
      <w:pPr>
        <w:ind w:left="-20" w:right="120" w:firstLine="436"/>
        <w:spacing w:after="0" w:line="272" w:lineRule="auto"/>
        <w:tabs>
          <w:tab w:leader="none" w:pos="683"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w:t>
      </w:r>
      <w:r>
        <w:rPr>
          <w:rFonts w:ascii="Arial" w:cs="Arial" w:eastAsia="Arial" w:hAnsi="Arial"/>
          <w:sz w:val="17"/>
          <w:szCs w:val="17"/>
          <w:color w:val="auto"/>
        </w:rPr>
        <w:t>. Except as otherwise herein provided, all statements, requests, notices and agreements shall be in writing or by telegram and, if to the Underwriters, shall be sufficient in all respects if delivered or sent to each of Keefe, Bruyette &amp; Woods LLC, 787 Seventh Avenue, New York, NY 10019, with a copy to the Legal Department, and Morgan Stanley &amp; Co. LLC, 1585 Broadway, New York, New York 10036, Attention: Equity Syndicate Desk, with a copy to the Legal Department, and a copy, which shall not constitute notice, to Ropes &amp; Gray LLP, 1211 Avenue of the Americas, New York, NY 10036, attention of Paul Tropp, Esq.; and, if to the Company, the Adviser or the Administrator, shall be sufficient in all respects if delivered or sent to the Company, the Adviser or the Administrator at the offices of the Company at 590 Madison Avenue, 15th Floor, New York, NY 10022, facsimile no. (212) 905-1075, Attention: Arthur Penn.</w:t>
      </w:r>
    </w:p>
    <w:p>
      <w:pPr>
        <w:spacing w:after="0" w:line="69" w:lineRule="exact"/>
        <w:rPr>
          <w:rFonts w:ascii="Arial" w:cs="Arial" w:eastAsia="Arial" w:hAnsi="Arial"/>
          <w:sz w:val="17"/>
          <w:szCs w:val="17"/>
          <w:color w:val="auto"/>
        </w:rPr>
      </w:pPr>
    </w:p>
    <w:p>
      <w:pPr>
        <w:ind w:left="-20" w:right="240" w:firstLine="436"/>
        <w:spacing w:after="0" w:line="296" w:lineRule="auto"/>
        <w:tabs>
          <w:tab w:leader="none" w:pos="69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Governing Law; Construction</w:t>
      </w:r>
      <w:r>
        <w:rPr>
          <w:rFonts w:ascii="Arial" w:cs="Arial" w:eastAsia="Arial" w:hAnsi="Arial"/>
          <w:sz w:val="16"/>
          <w:szCs w:val="16"/>
          <w:color w:val="auto"/>
        </w:rPr>
        <w:t>. This Agreement and any claim, counterclaim or dispute of any kind or nature whatsoever arising out of or in any way relating to this Agreement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directly or indirectly, shall be governed by, and construed in accordance with, the laws of the State of New York applicable to contracts formed and to be performed entirely within the State of New York, without regard to the applicability or effect of conflict of law principles or rules thereof, to the extent such principles would require or permit the application of the laws of another jurisdiction. The section headings in this Agreement have been inserted as a matter of convenience of reference and are not a part of this Agreement.</w:t>
      </w:r>
    </w:p>
    <w:p>
      <w:pPr>
        <w:spacing w:after="0" w:line="53" w:lineRule="exact"/>
        <w:rPr>
          <w:rFonts w:ascii="Arial" w:cs="Arial" w:eastAsia="Arial" w:hAnsi="Arial"/>
          <w:sz w:val="16"/>
          <w:szCs w:val="16"/>
          <w:color w:val="auto"/>
        </w:rPr>
      </w:pPr>
    </w:p>
    <w:p>
      <w:pPr>
        <w:ind w:left="-20" w:firstLine="436"/>
        <w:spacing w:after="0" w:line="287" w:lineRule="auto"/>
        <w:tabs>
          <w:tab w:leader="none" w:pos="69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Company, the Adviser and the Administrator consents to the jurisdiction of such courts and personal service with respect thereto. Each of the Company, the Adviser and the Administrator hereby consents to personal jurisdiction, service and venue in any court in which any Claim arising out of or in any way relating to this Agreement is brought by any third party against the Representatives or any indemnified party. Each of the Representatives, the Company (on its behalf and, to the extent permitted by applicable law, on behalf of its stockholders and affiliates), the Adviser and the Administrator waives all right to trial by jury in any action, proceeding or counterclaim (whether based upon contract, tort or otherwise) in any way arising out of or relating to this Agreement. Each of the Company, the Adviser and the Administrator agrees that a final judgment in any such action, proceeding or counterclaim brought in any such court shall be conclusive and binding upon the Company, the Adviser and the Administrator, as appropriate, and may be enforced in any other courts to the jurisdiction of which the Company, the Adviser and the Administrator, as appropriate, is or may be subject, by suit upon such judgment.</w:t>
      </w:r>
    </w:p>
    <w:p>
      <w:pPr>
        <w:spacing w:after="0" w:line="63" w:lineRule="exact"/>
        <w:rPr>
          <w:rFonts w:ascii="Arial" w:cs="Arial" w:eastAsia="Arial" w:hAnsi="Arial"/>
          <w:sz w:val="16"/>
          <w:szCs w:val="16"/>
          <w:color w:val="auto"/>
        </w:rPr>
      </w:pPr>
    </w:p>
    <w:p>
      <w:pPr>
        <w:ind w:left="-20" w:firstLine="436"/>
        <w:spacing w:after="0" w:line="279" w:lineRule="auto"/>
        <w:tabs>
          <w:tab w:leader="none" w:pos="69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Parties at Interest</w:t>
      </w:r>
      <w:r>
        <w:rPr>
          <w:rFonts w:ascii="Arial" w:cs="Arial" w:eastAsia="Arial" w:hAnsi="Arial"/>
          <w:sz w:val="17"/>
          <w:szCs w:val="17"/>
          <w:color w:val="auto"/>
        </w:rPr>
        <w:t>. The Agreement herein set forth has been and is made solely for the benefit of the Underwriters and the Company and to the extent provided in Section 9 hereof, the controlling persons, partners, directors and officers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60" w:top="274" w:right="459" w:bottom="1440" w:gutter="0" w:footer="0" w:header="0"/>
        </w:sectPr>
      </w:pPr>
    </w:p>
    <w:bookmarkStart w:id="34" w:name="page35"/>
    <w:bookmarkEnd w:id="34"/>
    <w:p>
      <w:pPr>
        <w:ind w:left="4" w:right="440" w:firstLine="436"/>
        <w:spacing w:after="0" w:line="277" w:lineRule="auto"/>
        <w:tabs>
          <w:tab w:leader="none" w:pos="714"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pacing w:after="0" w:line="62" w:lineRule="exact"/>
        <w:rPr>
          <w:rFonts w:ascii="Arial" w:cs="Arial" w:eastAsia="Arial" w:hAnsi="Arial"/>
          <w:sz w:val="18"/>
          <w:szCs w:val="18"/>
          <w:color w:val="auto"/>
        </w:rPr>
      </w:pPr>
    </w:p>
    <w:p>
      <w:pPr>
        <w:ind w:left="4" w:right="220" w:firstLine="436"/>
        <w:spacing w:after="0" w:line="263" w:lineRule="auto"/>
        <w:tabs>
          <w:tab w:leader="none" w:pos="714"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Underwriters, the Company, the Adviser and the Administrator and their successors and assigns and any successor or assign of any substantial portion of the Company’s, the Adviser’s and the Administrator’s and any of the Underwriters’ respective businesses and/or assets.</w:t>
      </w:r>
    </w:p>
    <w:p>
      <w:pPr>
        <w:spacing w:after="0" w:line="75" w:lineRule="exact"/>
        <w:rPr>
          <w:rFonts w:ascii="Arial" w:cs="Arial" w:eastAsia="Arial" w:hAnsi="Arial"/>
          <w:sz w:val="18"/>
          <w:szCs w:val="18"/>
          <w:color w:val="auto"/>
        </w:rPr>
      </w:pPr>
    </w:p>
    <w:p>
      <w:pPr>
        <w:ind w:left="4" w:firstLine="436"/>
        <w:spacing w:after="0" w:line="283" w:lineRule="auto"/>
        <w:tabs>
          <w:tab w:leader="none" w:pos="714"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Each of the Company, the Adviser and the Administrator acknowledges and agrees that (i) the sale through the Underwriters of any Securities pursuant to this Agreement, including the determination of the price of the Securities and any related compensation, discounts or commissions, is an arm’s-length commercial transaction between the Company, the Adviser and the Administrator, on the one hand, and the Underwriters, on the other hand, (ii) in connection with the offering of the Securities and the process leading to such transactions each Underwriter will act solely as an agent and not as a fiduciary of the Company, the Adviser or the Administrator, or any of their respective stockholders, members, creditors or employees, or any other party, (iii) no Underwriter will assume an advisory or fiduciary responsibility in favor of the Company, the Adviser or the Administrator with respect to the offering of Securities contemplated hereby or the process leading thereto (irrespective of whether such Underwriter has advised or is currently advising the Company, the Adviser or the Administrator on other matters) and no Underwriter will have any obligation to the Company, the Adviser or the Administrator with respect to the offering of Securities except the obligations expressly set forth herein,</w:t>
      </w:r>
    </w:p>
    <w:p>
      <w:pPr>
        <w:spacing w:after="0" w:line="5" w:lineRule="exact"/>
        <w:rPr>
          <w:rFonts w:ascii="Arial" w:cs="Arial" w:eastAsia="Arial" w:hAnsi="Arial"/>
          <w:sz w:val="16"/>
          <w:szCs w:val="16"/>
          <w:color w:val="auto"/>
        </w:rPr>
      </w:pPr>
    </w:p>
    <w:p>
      <w:pPr>
        <w:ind w:left="4" w:right="120" w:hanging="4"/>
        <w:spacing w:after="0" w:line="253" w:lineRule="auto"/>
        <w:tabs>
          <w:tab w:leader="none" w:pos="309"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Underwriter and its respective affiliates may be engaged in a broad range of transactions that involve interests that differ from those of the Company, the Adviser and the Administrator and (v) no Underwriter has provided and no Underwriter will provide any legal, accounting, regulatory or tax advice with respect to the offering of the Securities and each of the Company, the Adviser and the Administrator has consulted and will consult its own legal, accounting, regulatory and tax advisors to the extent it deems appropriate.</w:t>
      </w:r>
    </w:p>
    <w:p>
      <w:pPr>
        <w:spacing w:after="0" w:line="84" w:lineRule="exact"/>
        <w:rPr>
          <w:rFonts w:ascii="Arial" w:cs="Arial" w:eastAsia="Arial" w:hAnsi="Arial"/>
          <w:sz w:val="18"/>
          <w:szCs w:val="18"/>
          <w:color w:val="auto"/>
        </w:rPr>
      </w:pPr>
    </w:p>
    <w:p>
      <w:pPr>
        <w:ind w:left="704" w:hanging="264"/>
        <w:spacing w:after="0"/>
        <w:tabs>
          <w:tab w:leader="none" w:pos="704"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Recognition of the U.S. Special Resolution Regime</w:t>
      </w:r>
    </w:p>
    <w:p>
      <w:pPr>
        <w:spacing w:after="0" w:line="117" w:lineRule="exact"/>
        <w:rPr>
          <w:sz w:val="20"/>
          <w:szCs w:val="20"/>
          <w:color w:val="auto"/>
        </w:rPr>
      </w:pPr>
    </w:p>
    <w:p>
      <w:pPr>
        <w:jc w:val="both"/>
        <w:ind w:left="4" w:right="80" w:firstLine="436"/>
        <w:spacing w:after="0" w:line="259" w:lineRule="auto"/>
        <w:tabs>
          <w:tab w:leader="none" w:pos="689"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(as defined below)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4" w:right="60" w:firstLine="436"/>
        <w:spacing w:after="0" w:line="259" w:lineRule="auto"/>
        <w:tabs>
          <w:tab w:leader="none" w:pos="699"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35" w:name="page36"/>
    <w:bookmarkEnd w:id="3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used in this Section 18:</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“BHC Act Affiliate” has the meaning assigned to the term “affiliate” in, and shall be interpreted in accordance with, 12 U.S.C. § 1841(k).</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“Covered Entity” means any of the following:</w:t>
      </w:r>
    </w:p>
    <w:p>
      <w:pPr>
        <w:spacing w:after="0" w:line="117" w:lineRule="exact"/>
        <w:rPr>
          <w:sz w:val="20"/>
          <w:szCs w:val="20"/>
          <w:color w:val="auto"/>
        </w:rPr>
      </w:pPr>
    </w:p>
    <w:p>
      <w:pPr>
        <w:ind w:left="1200" w:hanging="213"/>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“Default Right” has the meaning assigned to that term in, and shall be interpreted in accordance with, 12 C.F.R. §§ 252.81, 47.2 or 382.1,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applicable.</w:t>
      </w:r>
    </w:p>
    <w:p>
      <w:pPr>
        <w:spacing w:after="0" w:line="211"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00"/>
          </w:cols>
          <w:pgMar w:left="440" w:top="274" w:right="559" w:bottom="1440" w:gutter="0" w:footer="0" w:header="0"/>
        </w:sectPr>
      </w:pPr>
    </w:p>
    <w:bookmarkStart w:id="36" w:name="page37"/>
    <w:bookmarkEnd w:id="3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PENNANTPARK INVESTMENT ADMINISTRATION,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9740"/>
          </w:cols>
          <w:pgMar w:left="1440" w:top="274" w:right="71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and agreed to as of the date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Acting severally on behalf of themselves and the several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A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KEEFE, BRUYETTE &amp; WOODS,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Allen G. Laufenberg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Allen G. Laufenberg</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Hector Vazquez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Hector Vazquez</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019"/>
          </w:cols>
          <w:pgMar w:left="440" w:top="274"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SCHEDULE A</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gridSpan w:val="2"/>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940" w:type="dxa"/>
            <w:vAlign w:val="bottom"/>
            <w:gridSpan w:val="4"/>
          </w:tcPr>
          <w:p>
            <w:pPr>
              <w:spacing w:after="0"/>
              <w:rPr>
                <w:sz w:val="20"/>
                <w:szCs w:val="20"/>
                <w:color w:val="auto"/>
              </w:rPr>
            </w:pPr>
            <w:r>
              <w:rPr>
                <w:rFonts w:ascii="Arial" w:cs="Arial" w:eastAsia="Arial" w:hAnsi="Arial"/>
                <w:sz w:val="18"/>
                <w:szCs w:val="18"/>
                <w:color w:val="auto"/>
                <w:w w:val="91"/>
              </w:rPr>
              <w:t>The Purchase Price for the Securities to be paid by the several Underwriters shall be 97.00% of the aggregate principal amount thereof.</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Principal Amount</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Arial" w:cs="Arial" w:eastAsia="Arial" w:hAnsi="Arial"/>
                <w:sz w:val="14"/>
                <w:szCs w:val="14"/>
                <w:color w:val="auto"/>
                <w:w w:val="96"/>
              </w:rPr>
              <w:t>Underwriter</w:t>
            </w:r>
          </w:p>
        </w:tc>
        <w:tc>
          <w:tcPr>
            <w:tcW w:w="9220" w:type="dxa"/>
            <w:vAlign w:val="bottom"/>
            <w:gridSpan w:val="3"/>
            <w:vMerge w:val="restart"/>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of Notes to be</w:t>
            </w:r>
          </w:p>
        </w:tc>
        <w:tc>
          <w:tcPr>
            <w:tcW w:w="0" w:type="dxa"/>
            <w:vAlign w:val="bottom"/>
          </w:tcPr>
          <w:p>
            <w:pPr>
              <w:spacing w:after="0"/>
              <w:rPr>
                <w:sz w:val="1"/>
                <w:szCs w:val="1"/>
                <w:color w:val="auto"/>
              </w:rPr>
            </w:pPr>
          </w:p>
        </w:tc>
      </w:tr>
      <w:tr>
        <w:trPr>
          <w:trHeight w:val="174"/>
        </w:trPr>
        <w:tc>
          <w:tcPr>
            <w:tcW w:w="720" w:type="dxa"/>
            <w:vAlign w:val="bottom"/>
            <w:tcBorders>
              <w:bottom w:val="single" w:sz="8" w:color="auto"/>
            </w:tcBorders>
            <w:vMerge w:val="continue"/>
          </w:tcPr>
          <w:p>
            <w:pPr>
              <w:spacing w:after="0"/>
              <w:rPr>
                <w:sz w:val="15"/>
                <w:szCs w:val="15"/>
                <w:color w:val="auto"/>
              </w:rPr>
            </w:pPr>
          </w:p>
        </w:tc>
        <w:tc>
          <w:tcPr>
            <w:tcW w:w="92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80"/>
              <w:spacing w:after="0" w:line="154" w:lineRule="exact"/>
              <w:rPr>
                <w:sz w:val="20"/>
                <w:szCs w:val="20"/>
                <w:color w:val="auto"/>
              </w:rPr>
            </w:pPr>
            <w:r>
              <w:rPr>
                <w:rFonts w:ascii="Arial" w:cs="Arial" w:eastAsia="Arial" w:hAnsi="Arial"/>
                <w:sz w:val="14"/>
                <w:szCs w:val="14"/>
                <w:color w:val="auto"/>
                <w:w w:val="89"/>
              </w:rPr>
              <w:t>Purchased</w:t>
            </w:r>
          </w:p>
        </w:tc>
        <w:tc>
          <w:tcPr>
            <w:tcW w:w="0" w:type="dxa"/>
            <w:vAlign w:val="bottom"/>
          </w:tcPr>
          <w:p>
            <w:pPr>
              <w:spacing w:after="0"/>
              <w:rPr>
                <w:sz w:val="1"/>
                <w:szCs w:val="1"/>
                <w:color w:val="auto"/>
              </w:rPr>
            </w:pPr>
          </w:p>
        </w:tc>
      </w:tr>
      <w:tr>
        <w:trPr>
          <w:trHeight w:val="203"/>
        </w:trPr>
        <w:tc>
          <w:tcPr>
            <w:tcW w:w="994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Keefe, Bruyette &amp; Woods, Inc.</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27,120,000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40" w:type="dxa"/>
            <w:vAlign w:val="bottom"/>
            <w:gridSpan w:val="4"/>
          </w:tcPr>
          <w:p>
            <w:pPr>
              <w:spacing w:after="0"/>
              <w:rPr>
                <w:sz w:val="20"/>
                <w:szCs w:val="20"/>
                <w:color w:val="auto"/>
              </w:rPr>
            </w:pPr>
            <w:r>
              <w:rPr>
                <w:rFonts w:ascii="Arial" w:cs="Arial" w:eastAsia="Arial" w:hAnsi="Arial"/>
                <w:sz w:val="18"/>
                <w:szCs w:val="18"/>
                <w:color w:val="auto"/>
              </w:rPr>
              <w:t>Morgan Stanley &amp; Co. LLC</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27,120,000</w:t>
            </w:r>
          </w:p>
        </w:tc>
        <w:tc>
          <w:tcPr>
            <w:tcW w:w="0" w:type="dxa"/>
            <w:vAlign w:val="bottom"/>
          </w:tcPr>
          <w:p>
            <w:pPr>
              <w:spacing w:after="0"/>
              <w:rPr>
                <w:sz w:val="1"/>
                <w:szCs w:val="1"/>
                <w:color w:val="auto"/>
              </w:rPr>
            </w:pPr>
          </w:p>
        </w:tc>
      </w:tr>
      <w:tr>
        <w:trPr>
          <w:trHeight w:val="216"/>
        </w:trPr>
        <w:tc>
          <w:tcPr>
            <w:tcW w:w="9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BB&amp;T Capital Markets, a division of BB&amp;T Securities LLC</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6,127,500</w:t>
            </w:r>
          </w:p>
        </w:tc>
        <w:tc>
          <w:tcPr>
            <w:tcW w:w="0" w:type="dxa"/>
            <w:vAlign w:val="bottom"/>
          </w:tcPr>
          <w:p>
            <w:pPr>
              <w:spacing w:after="0"/>
              <w:rPr>
                <w:sz w:val="1"/>
                <w:szCs w:val="1"/>
                <w:color w:val="auto"/>
              </w:rPr>
            </w:pPr>
          </w:p>
        </w:tc>
      </w:tr>
      <w:tr>
        <w:trPr>
          <w:trHeight w:val="216"/>
        </w:trPr>
        <w:tc>
          <w:tcPr>
            <w:tcW w:w="9940" w:type="dxa"/>
            <w:vAlign w:val="bottom"/>
            <w:gridSpan w:val="4"/>
          </w:tcPr>
          <w:p>
            <w:pPr>
              <w:spacing w:after="0"/>
              <w:rPr>
                <w:sz w:val="20"/>
                <w:szCs w:val="20"/>
                <w:color w:val="auto"/>
              </w:rPr>
            </w:pPr>
            <w:r>
              <w:rPr>
                <w:rFonts w:ascii="Arial" w:cs="Arial" w:eastAsia="Arial" w:hAnsi="Arial"/>
                <w:sz w:val="18"/>
                <w:szCs w:val="18"/>
                <w:color w:val="auto"/>
              </w:rPr>
              <w:t>Janney Montgomery Scott LLC</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6,127,500</w:t>
            </w:r>
          </w:p>
        </w:tc>
        <w:tc>
          <w:tcPr>
            <w:tcW w:w="0" w:type="dxa"/>
            <w:vAlign w:val="bottom"/>
          </w:tcPr>
          <w:p>
            <w:pPr>
              <w:spacing w:after="0"/>
              <w:rPr>
                <w:sz w:val="1"/>
                <w:szCs w:val="1"/>
                <w:color w:val="auto"/>
              </w:rPr>
            </w:pPr>
          </w:p>
        </w:tc>
      </w:tr>
      <w:tr>
        <w:trPr>
          <w:trHeight w:val="216"/>
        </w:trPr>
        <w:tc>
          <w:tcPr>
            <w:tcW w:w="9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6,127,500</w:t>
            </w:r>
          </w:p>
        </w:tc>
        <w:tc>
          <w:tcPr>
            <w:tcW w:w="0" w:type="dxa"/>
            <w:vAlign w:val="bottom"/>
          </w:tcPr>
          <w:p>
            <w:pPr>
              <w:spacing w:after="0"/>
              <w:rPr>
                <w:sz w:val="1"/>
                <w:szCs w:val="1"/>
                <w:color w:val="auto"/>
              </w:rPr>
            </w:pPr>
          </w:p>
        </w:tc>
      </w:tr>
      <w:tr>
        <w:trPr>
          <w:trHeight w:val="223"/>
        </w:trPr>
        <w:tc>
          <w:tcPr>
            <w:tcW w:w="9940" w:type="dxa"/>
            <w:vAlign w:val="bottom"/>
            <w:gridSpan w:val="4"/>
          </w:tcPr>
          <w:p>
            <w:pPr>
              <w:spacing w:after="0"/>
              <w:rPr>
                <w:sz w:val="20"/>
                <w:szCs w:val="20"/>
                <w:color w:val="auto"/>
              </w:rPr>
            </w:pPr>
            <w:r>
              <w:rPr>
                <w:rFonts w:ascii="Arial" w:cs="Arial" w:eastAsia="Arial" w:hAnsi="Arial"/>
                <w:sz w:val="18"/>
                <w:szCs w:val="18"/>
                <w:color w:val="auto"/>
              </w:rPr>
              <w:t>Maxim Group LLC</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40" w:type="dxa"/>
            <w:vAlign w:val="bottom"/>
            <w:gridSpan w:val="4"/>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75,000,000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39" w:name="page40"/>
    <w:bookmarkEnd w:id="39"/>
    <w:p>
      <w:pPr>
        <w:jc w:val="center"/>
        <w:ind w:right="-26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B</w:t>
      </w:r>
    </w:p>
    <w:p>
      <w:pPr>
        <w:spacing w:after="0" w:line="256"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aggregate principal amount of the Notes is $75,000,000.</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purchase price for the Notes to be paid by the several Underwriters shall be 97.00% of the aggregate principal amount thereof.</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interest rate is 5.50%.</w:t>
      </w:r>
    </w:p>
    <w:p>
      <w:pPr>
        <w:spacing w:after="0" w:line="130"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Pricing Term Sheet, dated September 24, 2019, filed with the Commission on September 24, 2019 pursuant to Rule 497(a) (as Rule 484ad) and included in this Schedule B, containing terms governing the Securities.</w:t>
      </w:r>
    </w:p>
    <w:p>
      <w:pPr>
        <w:sectPr>
          <w:pgSz w:w="11900" w:h="16838" w:orient="portrait"/>
          <w:cols w:equalWidth="0" w:num="1">
            <w:col w:w="10744"/>
          </w:cols>
          <w:pgMar w:left="436" w:top="270" w:right="71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Pricing Terms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5.50% Notes Due 2024</w:t>
      </w:r>
    </w:p>
    <w:p>
      <w:pPr>
        <w:spacing w:after="0" w:line="20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September 24, 2019</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The following sets forth the final terms of the 5.50% Notes due 2024 (the “Notes”) and should only be read together with the preliminary prospectus supplement dated September 24, 2019, together with the accompanying prospectus dated April 29, 2019,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6960" w:type="dxa"/>
            <w:vAlign w:val="bottom"/>
          </w:tcPr>
          <w:p>
            <w:pPr>
              <w:ind w:left="140"/>
              <w:spacing w:after="0"/>
              <w:rPr>
                <w:sz w:val="20"/>
                <w:szCs w:val="20"/>
                <w:color w:val="auto"/>
              </w:rPr>
            </w:pPr>
            <w:r>
              <w:rPr>
                <w:rFonts w:ascii="Arial" w:cs="Arial" w:eastAsia="Arial" w:hAnsi="Arial"/>
                <w:sz w:val="18"/>
                <w:szCs w:val="18"/>
                <w:color w:val="auto"/>
              </w:rPr>
              <w:t>PennantPark Investment Corp. (the “Company”)</w:t>
            </w:r>
          </w:p>
        </w:tc>
      </w:tr>
      <w:tr>
        <w:trPr>
          <w:trHeight w:val="324"/>
        </w:trPr>
        <w:tc>
          <w:tcPr>
            <w:tcW w:w="4060" w:type="dxa"/>
            <w:vAlign w:val="bottom"/>
          </w:tcPr>
          <w:p>
            <w:pPr>
              <w:spacing w:after="0"/>
              <w:rPr>
                <w:sz w:val="20"/>
                <w:szCs w:val="20"/>
                <w:color w:val="auto"/>
              </w:rPr>
            </w:pPr>
            <w:r>
              <w:rPr>
                <w:rFonts w:ascii="Arial" w:cs="Arial" w:eastAsia="Arial" w:hAnsi="Arial"/>
                <w:sz w:val="18"/>
                <w:szCs w:val="18"/>
                <w:b w:val="1"/>
                <w:bCs w:val="1"/>
                <w:color w:val="auto"/>
              </w:rPr>
              <w:t>Title of the Securities:</w:t>
            </w:r>
          </w:p>
        </w:tc>
        <w:tc>
          <w:tcPr>
            <w:tcW w:w="6960" w:type="dxa"/>
            <w:vAlign w:val="bottom"/>
          </w:tcPr>
          <w:p>
            <w:pPr>
              <w:ind w:left="140"/>
              <w:spacing w:after="0"/>
              <w:rPr>
                <w:sz w:val="20"/>
                <w:szCs w:val="20"/>
                <w:color w:val="auto"/>
              </w:rPr>
            </w:pPr>
            <w:r>
              <w:rPr>
                <w:rFonts w:ascii="Arial" w:cs="Arial" w:eastAsia="Arial" w:hAnsi="Arial"/>
                <w:sz w:val="18"/>
                <w:szCs w:val="18"/>
                <w:color w:val="auto"/>
              </w:rPr>
              <w:t>5.50% Notes due 2024</w:t>
            </w:r>
          </w:p>
        </w:tc>
      </w:tr>
      <w:tr>
        <w:trPr>
          <w:trHeight w:val="324"/>
        </w:trPr>
        <w:tc>
          <w:tcPr>
            <w:tcW w:w="4060" w:type="dxa"/>
            <w:vAlign w:val="bottom"/>
          </w:tcPr>
          <w:p>
            <w:pPr>
              <w:spacing w:after="0"/>
              <w:rPr>
                <w:sz w:val="20"/>
                <w:szCs w:val="20"/>
                <w:color w:val="auto"/>
              </w:rPr>
            </w:pPr>
            <w:r>
              <w:rPr>
                <w:rFonts w:ascii="Arial" w:cs="Arial" w:eastAsia="Arial" w:hAnsi="Arial"/>
                <w:sz w:val="18"/>
                <w:szCs w:val="18"/>
                <w:b w:val="1"/>
                <w:bCs w:val="1"/>
                <w:color w:val="auto"/>
              </w:rPr>
              <w:t>Expected Rating:*</w:t>
            </w:r>
          </w:p>
        </w:tc>
        <w:tc>
          <w:tcPr>
            <w:tcW w:w="6960" w:type="dxa"/>
            <w:vAlign w:val="bottom"/>
          </w:tcPr>
          <w:p>
            <w:pPr>
              <w:ind w:left="140"/>
              <w:spacing w:after="0"/>
              <w:rPr>
                <w:sz w:val="20"/>
                <w:szCs w:val="20"/>
                <w:color w:val="auto"/>
              </w:rPr>
            </w:pPr>
            <w:r>
              <w:rPr>
                <w:rFonts w:ascii="Arial" w:cs="Arial" w:eastAsia="Arial" w:hAnsi="Arial"/>
                <w:sz w:val="18"/>
                <w:szCs w:val="18"/>
                <w:color w:val="auto"/>
              </w:rPr>
              <w:t>Egan Jones Rating Company:</w:t>
            </w:r>
          </w:p>
        </w:tc>
      </w:tr>
      <w:tr>
        <w:trPr>
          <w:trHeight w:val="338"/>
        </w:trPr>
        <w:tc>
          <w:tcPr>
            <w:tcW w:w="4060" w:type="dxa"/>
            <w:vAlign w:val="bottom"/>
          </w:tcPr>
          <w:p>
            <w:pPr>
              <w:spacing w:after="0"/>
              <w:rPr>
                <w:sz w:val="20"/>
                <w:szCs w:val="20"/>
                <w:color w:val="auto"/>
              </w:rPr>
            </w:pPr>
            <w:r>
              <w:rPr>
                <w:rFonts w:ascii="Arial" w:cs="Arial" w:eastAsia="Arial" w:hAnsi="Arial"/>
                <w:sz w:val="18"/>
                <w:szCs w:val="18"/>
                <w:b w:val="1"/>
                <w:bCs w:val="1"/>
                <w:color w:val="auto"/>
                <w:w w:val="95"/>
              </w:rPr>
              <w:t>Initial Aggregate Principal Amount Being Offered:</w:t>
            </w:r>
          </w:p>
        </w:tc>
        <w:tc>
          <w:tcPr>
            <w:tcW w:w="6960" w:type="dxa"/>
            <w:vAlign w:val="bottom"/>
          </w:tcPr>
          <w:p>
            <w:pPr>
              <w:ind w:left="140"/>
              <w:spacing w:after="0"/>
              <w:rPr>
                <w:sz w:val="20"/>
                <w:szCs w:val="20"/>
                <w:color w:val="auto"/>
              </w:rPr>
            </w:pPr>
            <w:r>
              <w:rPr>
                <w:rFonts w:ascii="Arial" w:cs="Arial" w:eastAsia="Arial" w:hAnsi="Arial"/>
                <w:sz w:val="18"/>
                <w:szCs w:val="18"/>
                <w:color w:val="auto"/>
              </w:rPr>
              <w:t>$75,000,000</w:t>
            </w:r>
          </w:p>
        </w:tc>
      </w:tr>
      <w:tr>
        <w:trPr>
          <w:trHeight w:val="431"/>
        </w:trPr>
        <w:tc>
          <w:tcPr>
            <w:tcW w:w="4060" w:type="dxa"/>
            <w:vAlign w:val="bottom"/>
          </w:tcPr>
          <w:p>
            <w:pPr>
              <w:spacing w:after="0"/>
              <w:rPr>
                <w:sz w:val="20"/>
                <w:szCs w:val="20"/>
                <w:color w:val="auto"/>
              </w:rPr>
            </w:pPr>
            <w:r>
              <w:rPr>
                <w:rFonts w:ascii="Arial" w:cs="Arial" w:eastAsia="Arial" w:hAnsi="Arial"/>
                <w:sz w:val="18"/>
                <w:szCs w:val="18"/>
                <w:b w:val="1"/>
                <w:bCs w:val="1"/>
                <w:color w:val="auto"/>
              </w:rPr>
              <w:t>Over-Allotment Option:</w:t>
            </w:r>
          </w:p>
        </w:tc>
        <w:tc>
          <w:tcPr>
            <w:tcW w:w="6960" w:type="dxa"/>
            <w:vAlign w:val="bottom"/>
          </w:tcPr>
          <w:p>
            <w:pPr>
              <w:ind w:left="140"/>
              <w:spacing w:after="0"/>
              <w:rPr>
                <w:sz w:val="20"/>
                <w:szCs w:val="20"/>
                <w:color w:val="auto"/>
              </w:rPr>
            </w:pPr>
            <w:r>
              <w:rPr>
                <w:rFonts w:ascii="Arial" w:cs="Arial" w:eastAsia="Arial" w:hAnsi="Arial"/>
                <w:sz w:val="18"/>
                <w:szCs w:val="18"/>
                <w:color w:val="auto"/>
                <w:w w:val="92"/>
              </w:rPr>
              <w:t>$11,250,000 aggregate principal amount of Notes within 30 days of the date hereof solely to</w:t>
            </w:r>
          </w:p>
        </w:tc>
      </w:tr>
      <w:tr>
        <w:trPr>
          <w:trHeight w:val="230"/>
        </w:trPr>
        <w:tc>
          <w:tcPr>
            <w:tcW w:w="4060" w:type="dxa"/>
            <w:vAlign w:val="bottom"/>
          </w:tcPr>
          <w:p>
            <w:pPr>
              <w:spacing w:after="0"/>
              <w:rPr>
                <w:sz w:val="20"/>
                <w:szCs w:val="20"/>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cover over-allotments, if any.</w:t>
            </w:r>
          </w:p>
        </w:tc>
      </w:tr>
      <w:tr>
        <w:trPr>
          <w:trHeight w:val="324"/>
        </w:trPr>
        <w:tc>
          <w:tcPr>
            <w:tcW w:w="4060" w:type="dxa"/>
            <w:vAlign w:val="bottom"/>
          </w:tcPr>
          <w:p>
            <w:pPr>
              <w:spacing w:after="0"/>
              <w:rPr>
                <w:sz w:val="20"/>
                <w:szCs w:val="20"/>
                <w:color w:val="auto"/>
              </w:rPr>
            </w:pPr>
            <w:r>
              <w:rPr>
                <w:rFonts w:ascii="Arial" w:cs="Arial" w:eastAsia="Arial" w:hAnsi="Arial"/>
                <w:sz w:val="18"/>
                <w:szCs w:val="18"/>
                <w:b w:val="1"/>
                <w:bCs w:val="1"/>
                <w:color w:val="auto"/>
              </w:rPr>
              <w:t>Issue Price:</w:t>
            </w:r>
          </w:p>
        </w:tc>
        <w:tc>
          <w:tcPr>
            <w:tcW w:w="6960" w:type="dxa"/>
            <w:vAlign w:val="bottom"/>
          </w:tcPr>
          <w:p>
            <w:pPr>
              <w:ind w:left="140"/>
              <w:spacing w:after="0"/>
              <w:rPr>
                <w:sz w:val="20"/>
                <w:szCs w:val="20"/>
                <w:color w:val="auto"/>
              </w:rPr>
            </w:pPr>
            <w:r>
              <w:rPr>
                <w:rFonts w:ascii="Arial" w:cs="Arial" w:eastAsia="Arial" w:hAnsi="Arial"/>
                <w:sz w:val="18"/>
                <w:szCs w:val="18"/>
                <w:color w:val="auto"/>
              </w:rPr>
              <w:t>$25.00**</w:t>
            </w:r>
          </w:p>
        </w:tc>
      </w:tr>
      <w:tr>
        <w:trPr>
          <w:trHeight w:val="310"/>
        </w:trPr>
        <w:tc>
          <w:tcPr>
            <w:tcW w:w="4060" w:type="dxa"/>
            <w:vAlign w:val="bottom"/>
          </w:tcPr>
          <w:p>
            <w:pPr>
              <w:spacing w:after="0"/>
              <w:rPr>
                <w:sz w:val="20"/>
                <w:szCs w:val="20"/>
                <w:color w:val="auto"/>
              </w:rPr>
            </w:pPr>
            <w:r>
              <w:rPr>
                <w:rFonts w:ascii="Arial" w:cs="Arial" w:eastAsia="Arial" w:hAnsi="Arial"/>
                <w:sz w:val="18"/>
                <w:szCs w:val="18"/>
                <w:b w:val="1"/>
                <w:bCs w:val="1"/>
                <w:color w:val="auto"/>
              </w:rPr>
              <w:t>Principal Payable at Maturity:</w:t>
            </w:r>
          </w:p>
        </w:tc>
        <w:tc>
          <w:tcPr>
            <w:tcW w:w="6960" w:type="dxa"/>
            <w:vAlign w:val="bottom"/>
          </w:tcPr>
          <w:p>
            <w:pPr>
              <w:ind w:left="140"/>
              <w:spacing w:after="0"/>
              <w:rPr>
                <w:sz w:val="20"/>
                <w:szCs w:val="20"/>
                <w:color w:val="auto"/>
              </w:rPr>
            </w:pPr>
            <w:r>
              <w:rPr>
                <w:rFonts w:ascii="Arial" w:cs="Arial" w:eastAsia="Arial" w:hAnsi="Arial"/>
                <w:sz w:val="18"/>
                <w:szCs w:val="18"/>
                <w:color w:val="auto"/>
                <w:w w:val="91"/>
              </w:rPr>
              <w:t>100% of the aggregate principal amount; the principal amount of each Note will be payable on</w:t>
            </w:r>
          </w:p>
        </w:tc>
      </w:tr>
      <w:tr>
        <w:trPr>
          <w:trHeight w:val="216"/>
        </w:trPr>
        <w:tc>
          <w:tcPr>
            <w:tcW w:w="40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w w:val="92"/>
              </w:rPr>
              <w:t>its stated maturity date at the office of the trustee, paying agent, and security registrar for the</w:t>
            </w:r>
          </w:p>
        </w:tc>
      </w:tr>
      <w:tr>
        <w:trPr>
          <w:trHeight w:val="230"/>
        </w:trPr>
        <w:tc>
          <w:tcPr>
            <w:tcW w:w="4060" w:type="dxa"/>
            <w:vAlign w:val="bottom"/>
          </w:tcPr>
          <w:p>
            <w:pPr>
              <w:spacing w:after="0"/>
              <w:rPr>
                <w:sz w:val="20"/>
                <w:szCs w:val="20"/>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Notes or at such other office as the Company may designate.</w:t>
            </w:r>
          </w:p>
        </w:tc>
      </w:tr>
      <w:tr>
        <w:trPr>
          <w:trHeight w:val="324"/>
        </w:trPr>
        <w:tc>
          <w:tcPr>
            <w:tcW w:w="4060" w:type="dxa"/>
            <w:vAlign w:val="bottom"/>
          </w:tcPr>
          <w:p>
            <w:pPr>
              <w:spacing w:after="0"/>
              <w:rPr>
                <w:sz w:val="20"/>
                <w:szCs w:val="20"/>
                <w:color w:val="auto"/>
              </w:rPr>
            </w:pPr>
            <w:r>
              <w:rPr>
                <w:rFonts w:ascii="Arial" w:cs="Arial" w:eastAsia="Arial" w:hAnsi="Arial"/>
                <w:sz w:val="18"/>
                <w:szCs w:val="18"/>
                <w:b w:val="1"/>
                <w:bCs w:val="1"/>
                <w:color w:val="auto"/>
              </w:rPr>
              <w:t>Type of Note:</w:t>
            </w:r>
          </w:p>
        </w:tc>
        <w:tc>
          <w:tcPr>
            <w:tcW w:w="6960" w:type="dxa"/>
            <w:vAlign w:val="bottom"/>
          </w:tcPr>
          <w:p>
            <w:pPr>
              <w:ind w:left="140"/>
              <w:spacing w:after="0"/>
              <w:rPr>
                <w:sz w:val="20"/>
                <w:szCs w:val="20"/>
                <w:color w:val="auto"/>
              </w:rPr>
            </w:pPr>
            <w:r>
              <w:rPr>
                <w:rFonts w:ascii="Arial" w:cs="Arial" w:eastAsia="Arial" w:hAnsi="Arial"/>
                <w:sz w:val="18"/>
                <w:szCs w:val="18"/>
                <w:color w:val="auto"/>
              </w:rPr>
              <w:t>Fixed rate note</w:t>
            </w:r>
          </w:p>
        </w:tc>
      </w:tr>
      <w:tr>
        <w:trPr>
          <w:trHeight w:val="310"/>
        </w:trPr>
        <w:tc>
          <w:tcPr>
            <w:tcW w:w="4060" w:type="dxa"/>
            <w:vAlign w:val="bottom"/>
          </w:tcPr>
          <w:p>
            <w:pPr>
              <w:spacing w:after="0"/>
              <w:rPr>
                <w:sz w:val="20"/>
                <w:szCs w:val="20"/>
                <w:color w:val="auto"/>
              </w:rPr>
            </w:pPr>
            <w:r>
              <w:rPr>
                <w:rFonts w:ascii="Arial" w:cs="Arial" w:eastAsia="Arial" w:hAnsi="Arial"/>
                <w:sz w:val="18"/>
                <w:szCs w:val="18"/>
                <w:b w:val="1"/>
                <w:bCs w:val="1"/>
                <w:color w:val="auto"/>
              </w:rPr>
              <w:t>Listing:</w:t>
            </w:r>
          </w:p>
        </w:tc>
        <w:tc>
          <w:tcPr>
            <w:tcW w:w="6960" w:type="dxa"/>
            <w:vAlign w:val="bottom"/>
          </w:tcPr>
          <w:p>
            <w:pPr>
              <w:ind w:left="140"/>
              <w:spacing w:after="0"/>
              <w:rPr>
                <w:sz w:val="20"/>
                <w:szCs w:val="20"/>
                <w:color w:val="auto"/>
              </w:rPr>
            </w:pPr>
            <w:r>
              <w:rPr>
                <w:rFonts w:ascii="Arial" w:cs="Arial" w:eastAsia="Arial" w:hAnsi="Arial"/>
                <w:sz w:val="18"/>
                <w:szCs w:val="18"/>
                <w:color w:val="auto"/>
                <w:w w:val="91"/>
              </w:rPr>
              <w:t>The Company intends to list the Notes on The Nasdaq Global Select Market within 30 days of</w:t>
            </w:r>
          </w:p>
        </w:tc>
      </w:tr>
      <w:tr>
        <w:trPr>
          <w:trHeight w:val="230"/>
        </w:trPr>
        <w:tc>
          <w:tcPr>
            <w:tcW w:w="4060" w:type="dxa"/>
            <w:vAlign w:val="bottom"/>
          </w:tcPr>
          <w:p>
            <w:pPr>
              <w:spacing w:after="0"/>
              <w:rPr>
                <w:sz w:val="20"/>
                <w:szCs w:val="20"/>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the original issue date under the trading symbol “PNNTG”.</w:t>
            </w:r>
          </w:p>
        </w:tc>
      </w:tr>
      <w:tr>
        <w:trPr>
          <w:trHeight w:val="324"/>
        </w:trPr>
        <w:tc>
          <w:tcPr>
            <w:tcW w:w="4060" w:type="dxa"/>
            <w:vAlign w:val="bottom"/>
          </w:tcPr>
          <w:p>
            <w:pPr>
              <w:spacing w:after="0"/>
              <w:rPr>
                <w:sz w:val="20"/>
                <w:szCs w:val="20"/>
                <w:color w:val="auto"/>
              </w:rPr>
            </w:pPr>
            <w:r>
              <w:rPr>
                <w:rFonts w:ascii="Arial" w:cs="Arial" w:eastAsia="Arial" w:hAnsi="Arial"/>
                <w:sz w:val="18"/>
                <w:szCs w:val="18"/>
                <w:b w:val="1"/>
                <w:bCs w:val="1"/>
                <w:color w:val="auto"/>
              </w:rPr>
              <w:t>Stated Maturity Date:</w:t>
            </w:r>
          </w:p>
        </w:tc>
        <w:tc>
          <w:tcPr>
            <w:tcW w:w="6960" w:type="dxa"/>
            <w:vAlign w:val="bottom"/>
          </w:tcPr>
          <w:p>
            <w:pPr>
              <w:ind w:left="140"/>
              <w:spacing w:after="0"/>
              <w:rPr>
                <w:sz w:val="20"/>
                <w:szCs w:val="20"/>
                <w:color w:val="auto"/>
              </w:rPr>
            </w:pPr>
            <w:r>
              <w:rPr>
                <w:rFonts w:ascii="Arial" w:cs="Arial" w:eastAsia="Arial" w:hAnsi="Arial"/>
                <w:sz w:val="18"/>
                <w:szCs w:val="18"/>
                <w:color w:val="auto"/>
              </w:rPr>
              <w:t>October 15, 2024</w:t>
            </w:r>
          </w:p>
        </w:tc>
      </w:tr>
      <w:tr>
        <w:trPr>
          <w:trHeight w:val="324"/>
        </w:trPr>
        <w:tc>
          <w:tcPr>
            <w:tcW w:w="406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6960" w:type="dxa"/>
            <w:vAlign w:val="bottom"/>
          </w:tcPr>
          <w:p>
            <w:pPr>
              <w:ind w:left="140"/>
              <w:spacing w:after="0"/>
              <w:rPr>
                <w:sz w:val="20"/>
                <w:szCs w:val="20"/>
                <w:color w:val="auto"/>
              </w:rPr>
            </w:pPr>
            <w:r>
              <w:rPr>
                <w:rFonts w:ascii="Arial" w:cs="Arial" w:eastAsia="Arial" w:hAnsi="Arial"/>
                <w:sz w:val="18"/>
                <w:szCs w:val="18"/>
                <w:color w:val="auto"/>
              </w:rPr>
              <w:t>5.50% per year</w:t>
            </w:r>
          </w:p>
        </w:tc>
      </w:tr>
      <w:tr>
        <w:trPr>
          <w:trHeight w:val="324"/>
        </w:trPr>
        <w:tc>
          <w:tcPr>
            <w:tcW w:w="4060" w:type="dxa"/>
            <w:vAlign w:val="bottom"/>
          </w:tcPr>
          <w:p>
            <w:pPr>
              <w:spacing w:after="0"/>
              <w:rPr>
                <w:sz w:val="20"/>
                <w:szCs w:val="20"/>
                <w:color w:val="auto"/>
              </w:rPr>
            </w:pPr>
            <w:r>
              <w:rPr>
                <w:rFonts w:ascii="Arial" w:cs="Arial" w:eastAsia="Arial" w:hAnsi="Arial"/>
                <w:sz w:val="18"/>
                <w:szCs w:val="18"/>
                <w:b w:val="1"/>
                <w:bCs w:val="1"/>
                <w:color w:val="auto"/>
              </w:rPr>
              <w:t>Underwriting Discount:</w:t>
            </w:r>
          </w:p>
        </w:tc>
        <w:tc>
          <w:tcPr>
            <w:tcW w:w="6960" w:type="dxa"/>
            <w:vAlign w:val="bottom"/>
          </w:tcPr>
          <w:p>
            <w:pPr>
              <w:ind w:left="140"/>
              <w:spacing w:after="0"/>
              <w:rPr>
                <w:sz w:val="20"/>
                <w:szCs w:val="20"/>
                <w:color w:val="auto"/>
              </w:rPr>
            </w:pPr>
            <w:r>
              <w:rPr>
                <w:rFonts w:ascii="Arial" w:cs="Arial" w:eastAsia="Arial" w:hAnsi="Arial"/>
                <w:sz w:val="18"/>
                <w:szCs w:val="18"/>
                <w:color w:val="auto"/>
              </w:rPr>
              <w:t>3.00% (or $2,250,000 total assuming the over-allotment option is not exercised)</w:t>
            </w:r>
          </w:p>
        </w:tc>
      </w:tr>
      <w:tr>
        <w:trPr>
          <w:trHeight w:val="338"/>
        </w:trPr>
        <w:tc>
          <w:tcPr>
            <w:tcW w:w="4060" w:type="dxa"/>
            <w:vAlign w:val="bottom"/>
          </w:tcPr>
          <w:p>
            <w:pPr>
              <w:spacing w:after="0"/>
              <w:rPr>
                <w:sz w:val="20"/>
                <w:szCs w:val="20"/>
                <w:color w:val="auto"/>
              </w:rPr>
            </w:pPr>
            <w:r>
              <w:rPr>
                <w:rFonts w:ascii="Arial" w:cs="Arial" w:eastAsia="Arial" w:hAnsi="Arial"/>
                <w:sz w:val="18"/>
                <w:szCs w:val="18"/>
                <w:b w:val="1"/>
                <w:bCs w:val="1"/>
                <w:color w:val="auto"/>
              </w:rPr>
              <w:t>Net Proceeds to the Issuer, before Expenses:</w:t>
            </w:r>
          </w:p>
        </w:tc>
        <w:tc>
          <w:tcPr>
            <w:tcW w:w="6960" w:type="dxa"/>
            <w:vAlign w:val="bottom"/>
          </w:tcPr>
          <w:p>
            <w:pPr>
              <w:ind w:left="140"/>
              <w:spacing w:after="0"/>
              <w:rPr>
                <w:sz w:val="20"/>
                <w:szCs w:val="20"/>
                <w:color w:val="auto"/>
              </w:rPr>
            </w:pPr>
            <w:r>
              <w:rPr>
                <w:rFonts w:ascii="Arial" w:cs="Arial" w:eastAsia="Arial" w:hAnsi="Arial"/>
                <w:sz w:val="18"/>
                <w:szCs w:val="18"/>
                <w:color w:val="auto"/>
              </w:rPr>
              <w:t>97.00% (or $72,750,000 total assuming the over-allotment option is not exercised)</w:t>
            </w:r>
          </w:p>
        </w:tc>
      </w:tr>
      <w:tr>
        <w:trPr>
          <w:trHeight w:val="445"/>
        </w:trPr>
        <w:tc>
          <w:tcPr>
            <w:tcW w:w="4060" w:type="dxa"/>
            <w:vAlign w:val="bottom"/>
          </w:tcPr>
          <w:p>
            <w:pPr>
              <w:spacing w:after="0"/>
              <w:rPr>
                <w:sz w:val="20"/>
                <w:szCs w:val="20"/>
                <w:color w:val="auto"/>
              </w:rPr>
            </w:pPr>
            <w:r>
              <w:rPr>
                <w:rFonts w:ascii="Arial" w:cs="Arial" w:eastAsia="Arial" w:hAnsi="Arial"/>
                <w:sz w:val="18"/>
                <w:szCs w:val="18"/>
                <w:b w:val="1"/>
                <w:bCs w:val="1"/>
                <w:color w:val="auto"/>
              </w:rPr>
              <w:t>Day Count Basis:</w:t>
            </w:r>
          </w:p>
        </w:tc>
        <w:tc>
          <w:tcPr>
            <w:tcW w:w="6960" w:type="dxa"/>
            <w:vAlign w:val="bottom"/>
          </w:tcPr>
          <w:p>
            <w:pPr>
              <w:ind w:left="140"/>
              <w:spacing w:after="0"/>
              <w:rPr>
                <w:sz w:val="20"/>
                <w:szCs w:val="20"/>
                <w:color w:val="auto"/>
              </w:rPr>
            </w:pPr>
            <w:r>
              <w:rPr>
                <w:rFonts w:ascii="Arial" w:cs="Arial" w:eastAsia="Arial" w:hAnsi="Arial"/>
                <w:sz w:val="18"/>
                <w:szCs w:val="18"/>
                <w:color w:val="auto"/>
              </w:rPr>
              <w:t>360-day year of twelve 30-day months</w:t>
            </w:r>
          </w:p>
        </w:tc>
      </w:tr>
      <w:tr>
        <w:trPr>
          <w:trHeight w:val="324"/>
        </w:trPr>
        <w:tc>
          <w:tcPr>
            <w:tcW w:w="406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6960" w:type="dxa"/>
            <w:vAlign w:val="bottom"/>
          </w:tcPr>
          <w:p>
            <w:pPr>
              <w:ind w:left="140"/>
              <w:spacing w:after="0"/>
              <w:rPr>
                <w:sz w:val="20"/>
                <w:szCs w:val="20"/>
                <w:color w:val="auto"/>
              </w:rPr>
            </w:pPr>
            <w:r>
              <w:rPr>
                <w:rFonts w:ascii="Arial" w:cs="Arial" w:eastAsia="Arial" w:hAnsi="Arial"/>
                <w:sz w:val="18"/>
                <w:szCs w:val="18"/>
                <w:color w:val="auto"/>
              </w:rPr>
              <w:t>September 24, 2019</w:t>
            </w:r>
          </w:p>
        </w:tc>
      </w:tr>
      <w:tr>
        <w:trPr>
          <w:trHeight w:val="324"/>
        </w:trPr>
        <w:tc>
          <w:tcPr>
            <w:tcW w:w="4060" w:type="dxa"/>
            <w:vAlign w:val="bottom"/>
          </w:tcPr>
          <w:p>
            <w:pPr>
              <w:spacing w:after="0"/>
              <w:rPr>
                <w:sz w:val="20"/>
                <w:szCs w:val="20"/>
                <w:color w:val="auto"/>
              </w:rPr>
            </w:pPr>
            <w:r>
              <w:rPr>
                <w:rFonts w:ascii="Arial" w:cs="Arial" w:eastAsia="Arial" w:hAnsi="Arial"/>
                <w:sz w:val="18"/>
                <w:szCs w:val="18"/>
                <w:b w:val="1"/>
                <w:bCs w:val="1"/>
                <w:color w:val="auto"/>
              </w:rPr>
              <w:t>Settlement Date:</w:t>
            </w:r>
          </w:p>
        </w:tc>
        <w:tc>
          <w:tcPr>
            <w:tcW w:w="6960" w:type="dxa"/>
            <w:vAlign w:val="bottom"/>
          </w:tcPr>
          <w:p>
            <w:pPr>
              <w:ind w:left="140"/>
              <w:spacing w:after="0"/>
              <w:rPr>
                <w:sz w:val="20"/>
                <w:szCs w:val="20"/>
                <w:color w:val="auto"/>
              </w:rPr>
            </w:pPr>
            <w:r>
              <w:rPr>
                <w:rFonts w:ascii="Arial" w:cs="Arial" w:eastAsia="Arial" w:hAnsi="Arial"/>
                <w:sz w:val="18"/>
                <w:szCs w:val="18"/>
                <w:color w:val="auto"/>
              </w:rPr>
              <w:t>September 27, 2019 (T+3)***</w:t>
            </w:r>
          </w:p>
        </w:tc>
      </w:tr>
      <w:tr>
        <w:trPr>
          <w:trHeight w:val="324"/>
        </w:trPr>
        <w:tc>
          <w:tcPr>
            <w:tcW w:w="4060" w:type="dxa"/>
            <w:vAlign w:val="bottom"/>
          </w:tcPr>
          <w:p>
            <w:pPr>
              <w:spacing w:after="0"/>
              <w:rPr>
                <w:sz w:val="20"/>
                <w:szCs w:val="20"/>
                <w:color w:val="auto"/>
              </w:rPr>
            </w:pPr>
            <w:r>
              <w:rPr>
                <w:rFonts w:ascii="Arial" w:cs="Arial" w:eastAsia="Arial" w:hAnsi="Arial"/>
                <w:sz w:val="18"/>
                <w:szCs w:val="18"/>
                <w:b w:val="1"/>
                <w:bCs w:val="1"/>
                <w:color w:val="auto"/>
              </w:rPr>
              <w:t>Date Interest Starts Accruing:</w:t>
            </w:r>
          </w:p>
        </w:tc>
        <w:tc>
          <w:tcPr>
            <w:tcW w:w="6960" w:type="dxa"/>
            <w:vAlign w:val="bottom"/>
          </w:tcPr>
          <w:p>
            <w:pPr>
              <w:ind w:left="140"/>
              <w:spacing w:after="0"/>
              <w:rPr>
                <w:sz w:val="20"/>
                <w:szCs w:val="20"/>
                <w:color w:val="auto"/>
              </w:rPr>
            </w:pPr>
            <w:r>
              <w:rPr>
                <w:rFonts w:ascii="Arial" w:cs="Arial" w:eastAsia="Arial" w:hAnsi="Arial"/>
                <w:sz w:val="18"/>
                <w:szCs w:val="18"/>
                <w:color w:val="auto"/>
              </w:rPr>
              <w:t>September 27, 2019</w:t>
            </w:r>
          </w:p>
        </w:tc>
      </w:tr>
      <w:tr>
        <w:trPr>
          <w:trHeight w:val="310"/>
        </w:trPr>
        <w:tc>
          <w:tcPr>
            <w:tcW w:w="406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6960" w:type="dxa"/>
            <w:vAlign w:val="bottom"/>
          </w:tcPr>
          <w:p>
            <w:pPr>
              <w:ind w:left="140"/>
              <w:spacing w:after="0"/>
              <w:rPr>
                <w:sz w:val="20"/>
                <w:szCs w:val="20"/>
                <w:color w:val="auto"/>
              </w:rPr>
            </w:pPr>
            <w:r>
              <w:rPr>
                <w:rFonts w:ascii="Arial" w:cs="Arial" w:eastAsia="Arial" w:hAnsi="Arial"/>
                <w:sz w:val="18"/>
                <w:szCs w:val="18"/>
                <w:color w:val="auto"/>
                <w:w w:val="95"/>
              </w:rPr>
              <w:t>Every January 15, April 15, July 15 and October 15, commencing January 15, 2020. If an</w:t>
            </w:r>
          </w:p>
        </w:tc>
      </w:tr>
      <w:tr>
        <w:trPr>
          <w:trHeight w:val="216"/>
        </w:trPr>
        <w:tc>
          <w:tcPr>
            <w:tcW w:w="40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w w:val="95"/>
              </w:rPr>
              <w:t>interest payment date falls on a non-business day, the applicable interest payment will be</w:t>
            </w:r>
          </w:p>
        </w:tc>
      </w:tr>
      <w:tr>
        <w:trPr>
          <w:trHeight w:val="216"/>
        </w:trPr>
        <w:tc>
          <w:tcPr>
            <w:tcW w:w="40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w w:val="97"/>
              </w:rPr>
              <w:t>made on the next business day and no additional interest will accrue as a result of such</w:t>
            </w:r>
          </w:p>
        </w:tc>
      </w:tr>
      <w:tr>
        <w:trPr>
          <w:trHeight w:val="230"/>
        </w:trPr>
        <w:tc>
          <w:tcPr>
            <w:tcW w:w="4060" w:type="dxa"/>
            <w:vAlign w:val="bottom"/>
          </w:tcPr>
          <w:p>
            <w:pPr>
              <w:spacing w:after="0"/>
              <w:rPr>
                <w:sz w:val="20"/>
                <w:szCs w:val="20"/>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delayed payment.</w:t>
            </w:r>
          </w:p>
        </w:tc>
      </w:tr>
      <w:tr>
        <w:trPr>
          <w:trHeight w:val="310"/>
        </w:trPr>
        <w:tc>
          <w:tcPr>
            <w:tcW w:w="4060" w:type="dxa"/>
            <w:vAlign w:val="bottom"/>
          </w:tcPr>
          <w:p>
            <w:pPr>
              <w:spacing w:after="0"/>
              <w:rPr>
                <w:sz w:val="20"/>
                <w:szCs w:val="20"/>
                <w:color w:val="auto"/>
              </w:rPr>
            </w:pPr>
            <w:r>
              <w:rPr>
                <w:rFonts w:ascii="Arial" w:cs="Arial" w:eastAsia="Arial" w:hAnsi="Arial"/>
                <w:sz w:val="18"/>
                <w:szCs w:val="18"/>
                <w:b w:val="1"/>
                <w:bCs w:val="1"/>
                <w:color w:val="auto"/>
              </w:rPr>
              <w:t>Interest Periods:</w:t>
            </w:r>
          </w:p>
        </w:tc>
        <w:tc>
          <w:tcPr>
            <w:tcW w:w="6960" w:type="dxa"/>
            <w:vAlign w:val="bottom"/>
          </w:tcPr>
          <w:p>
            <w:pPr>
              <w:ind w:left="140"/>
              <w:spacing w:after="0"/>
              <w:rPr>
                <w:sz w:val="20"/>
                <w:szCs w:val="20"/>
                <w:color w:val="auto"/>
              </w:rPr>
            </w:pPr>
            <w:r>
              <w:rPr>
                <w:rFonts w:ascii="Arial" w:cs="Arial" w:eastAsia="Arial" w:hAnsi="Arial"/>
                <w:sz w:val="18"/>
                <w:szCs w:val="18"/>
                <w:color w:val="auto"/>
                <w:w w:val="94"/>
              </w:rPr>
              <w:t>The initial interest period will be the period from and including September 27, 2019, to, but</w:t>
            </w:r>
          </w:p>
        </w:tc>
      </w:tr>
      <w:tr>
        <w:trPr>
          <w:trHeight w:val="216"/>
        </w:trPr>
        <w:tc>
          <w:tcPr>
            <w:tcW w:w="40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w w:val="94"/>
              </w:rPr>
              <w:t>excluding, the initial interest payment date, and the subsequent interest periods will be the</w:t>
            </w:r>
          </w:p>
        </w:tc>
      </w:tr>
      <w:tr>
        <w:trPr>
          <w:trHeight w:val="216"/>
        </w:trPr>
        <w:tc>
          <w:tcPr>
            <w:tcW w:w="40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w w:val="98"/>
              </w:rPr>
              <w:t>periods from and including an interest payment date to, but excluding, the next interest</w:t>
            </w:r>
          </w:p>
        </w:tc>
      </w:tr>
      <w:tr>
        <w:trPr>
          <w:trHeight w:val="230"/>
        </w:trPr>
        <w:tc>
          <w:tcPr>
            <w:tcW w:w="4060" w:type="dxa"/>
            <w:vAlign w:val="bottom"/>
          </w:tcPr>
          <w:p>
            <w:pPr>
              <w:spacing w:after="0"/>
              <w:rPr>
                <w:sz w:val="20"/>
                <w:szCs w:val="20"/>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payment date or the stated maturity date, as the case may be.</w:t>
            </w:r>
          </w:p>
        </w:tc>
      </w:tr>
      <w:tr>
        <w:trPr>
          <w:trHeight w:val="324"/>
        </w:trPr>
        <w:tc>
          <w:tcPr>
            <w:tcW w:w="4060" w:type="dxa"/>
            <w:vAlign w:val="bottom"/>
          </w:tcPr>
          <w:p>
            <w:pPr>
              <w:spacing w:after="0"/>
              <w:rPr>
                <w:sz w:val="20"/>
                <w:szCs w:val="20"/>
                <w:color w:val="auto"/>
              </w:rPr>
            </w:pPr>
            <w:r>
              <w:rPr>
                <w:rFonts w:ascii="Arial" w:cs="Arial" w:eastAsia="Arial" w:hAnsi="Arial"/>
                <w:sz w:val="18"/>
                <w:szCs w:val="18"/>
                <w:b w:val="1"/>
                <w:bCs w:val="1"/>
                <w:color w:val="auto"/>
              </w:rPr>
              <w:t>Specified Currency:</w:t>
            </w:r>
          </w:p>
        </w:tc>
        <w:tc>
          <w:tcPr>
            <w:tcW w:w="6960" w:type="dxa"/>
            <w:vAlign w:val="bottom"/>
          </w:tcPr>
          <w:p>
            <w:pPr>
              <w:ind w:left="140"/>
              <w:spacing w:after="0"/>
              <w:rPr>
                <w:sz w:val="20"/>
                <w:szCs w:val="20"/>
                <w:color w:val="auto"/>
              </w:rPr>
            </w:pPr>
            <w:r>
              <w:rPr>
                <w:rFonts w:ascii="Arial" w:cs="Arial" w:eastAsia="Arial" w:hAnsi="Arial"/>
                <w:sz w:val="18"/>
                <w:szCs w:val="18"/>
                <w:color w:val="auto"/>
              </w:rPr>
              <w:t>U.S. Dollars</w:t>
            </w:r>
          </w:p>
        </w:tc>
      </w:tr>
      <w:tr>
        <w:trPr>
          <w:trHeight w:val="257"/>
        </w:trPr>
        <w:tc>
          <w:tcPr>
            <w:tcW w:w="4060" w:type="dxa"/>
            <w:vAlign w:val="bottom"/>
            <w:tcBorders>
              <w:bottom w:val="single" w:sz="8" w:color="auto"/>
            </w:tcBorders>
          </w:tcPr>
          <w:p>
            <w:pPr>
              <w:spacing w:after="0"/>
              <w:rPr>
                <w:sz w:val="22"/>
                <w:szCs w:val="22"/>
                <w:color w:val="auto"/>
              </w:rPr>
            </w:pPr>
          </w:p>
        </w:tc>
        <w:tc>
          <w:tcPr>
            <w:tcW w:w="696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270" w:right="439" w:bottom="1440" w:gutter="0" w:footer="0" w:header="0"/>
        </w:sectPr>
      </w:pPr>
    </w:p>
    <w:bookmarkStart w:id="41" w:name="page42"/>
    <w:bookmarkEnd w:id="41"/>
    <w:p>
      <w:pPr>
        <w:ind w:left="4"/>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The Company will issue the Notes in denominations of $25 and integral multiples of $25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-456565</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3484" w:space="720"/>
            <w:col w:w="6820"/>
          </w:cols>
          <w:pgMar w:left="436" w:top="378" w:right="439" w:bottom="1440" w:gutter="0" w:footer="0" w:header="0"/>
        </w:sectPr>
      </w:pPr>
    </w:p>
    <w:p>
      <w:pPr>
        <w:ind w:left="4"/>
        <w:spacing w:after="0"/>
        <w:rPr>
          <w:sz w:val="20"/>
          <w:szCs w:val="20"/>
          <w:color w:val="auto"/>
        </w:rPr>
      </w:pPr>
      <w:r>
        <w:rPr>
          <w:rFonts w:ascii="Arial" w:cs="Arial" w:eastAsia="Arial" w:hAnsi="Arial"/>
          <w:sz w:val="15"/>
          <w:szCs w:val="15"/>
          <w:b w:val="1"/>
          <w:bCs w:val="1"/>
          <w:color w:val="auto"/>
        </w:rPr>
        <w:t>Business Day:</w:t>
      </w:r>
    </w:p>
    <w:p>
      <w:pPr>
        <w:spacing w:after="0" w:line="20" w:lineRule="exact"/>
        <w:rPr>
          <w:sz w:val="20"/>
          <w:szCs w:val="20"/>
          <w:color w:val="auto"/>
        </w:rPr>
      </w:pPr>
      <w:r>
        <w:rPr>
          <w:sz w:val="20"/>
          <w:szCs w:val="20"/>
          <w:color w:val="auto"/>
        </w:rPr>
        <w:br w:type="column"/>
      </w:r>
    </w:p>
    <w:p>
      <w:pPr>
        <w:jc w:val="both"/>
        <w:ind w:right="140"/>
        <w:spacing w:after="0" w:line="263" w:lineRule="auto"/>
        <w:rPr>
          <w:sz w:val="20"/>
          <w:szCs w:val="20"/>
          <w:color w:val="auto"/>
        </w:rPr>
      </w:pPr>
      <w:r>
        <w:rPr>
          <w:rFonts w:ascii="Arial" w:cs="Arial" w:eastAsia="Arial" w:hAnsi="Arial"/>
          <w:sz w:val="18"/>
          <w:szCs w:val="18"/>
          <w:color w:val="auto"/>
        </w:rPr>
        <w:t>Each Monday, Tuesday, Wednesday, Thursday and Friday that is not a day on which banking institutions in the City of New York or another place of payment are authorized or obligated by law or executive order to close.</w:t>
      </w:r>
    </w:p>
    <w:p>
      <w:pPr>
        <w:spacing w:after="0" w:line="72" w:lineRule="exact"/>
        <w:rPr>
          <w:sz w:val="20"/>
          <w:szCs w:val="20"/>
          <w:color w:val="auto"/>
        </w:rPr>
      </w:pPr>
    </w:p>
    <w:p>
      <w:pPr>
        <w:sectPr>
          <w:pgSz w:w="11900" w:h="16838" w:orient="portrait"/>
          <w:cols w:equalWidth="0" w:num="2">
            <w:col w:w="3484" w:space="720"/>
            <w:col w:w="6820"/>
          </w:cols>
          <w:pgMar w:left="436" w:top="378" w:right="43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Optional Redemption:</w:t>
      </w:r>
    </w:p>
    <w:p>
      <w:pPr>
        <w:spacing w:after="0" w:line="20" w:lineRule="exact"/>
        <w:rPr>
          <w:sz w:val="20"/>
          <w:szCs w:val="20"/>
          <w:color w:val="auto"/>
        </w:rPr>
      </w:pPr>
      <w:r>
        <w:rPr>
          <w:sz w:val="20"/>
          <w:szCs w:val="20"/>
          <w:color w:val="auto"/>
        </w:rPr>
        <w:br w:type="column"/>
      </w:r>
    </w:p>
    <w:p>
      <w:pPr>
        <w:ind w:right="140"/>
        <w:spacing w:after="0" w:line="273" w:lineRule="auto"/>
        <w:rPr>
          <w:sz w:val="20"/>
          <w:szCs w:val="20"/>
          <w:color w:val="auto"/>
        </w:rPr>
      </w:pPr>
      <w:r>
        <w:rPr>
          <w:rFonts w:ascii="Arial" w:cs="Arial" w:eastAsia="Arial" w:hAnsi="Arial"/>
          <w:sz w:val="17"/>
          <w:szCs w:val="17"/>
          <w:color w:val="auto"/>
        </w:rPr>
        <w:t>The Notes may be redeemed in whole or in part at any time or from time to time at the Company’s option on or after October 15, 2021, upon not less than 30 days nor more than 60 days written notice by mail prior to the date fixed for redemption thereof, at a redemption price of 100% of the outstanding principal amount of the Notes plus accrued and unpaid interest payments otherwise payable for the then-current quarterly interest period accrued to but not including the date fixed for redemption.</w:t>
      </w:r>
    </w:p>
    <w:p>
      <w:pPr>
        <w:spacing w:after="0" w:line="66" w:lineRule="exact"/>
        <w:rPr>
          <w:sz w:val="20"/>
          <w:szCs w:val="20"/>
          <w:color w:val="auto"/>
        </w:rPr>
      </w:pPr>
    </w:p>
    <w:p>
      <w:pPr>
        <w:sectPr>
          <w:pgSz w:w="11900" w:h="16838" w:orient="portrait"/>
          <w:cols w:equalWidth="0" w:num="2">
            <w:col w:w="3484" w:space="720"/>
            <w:col w:w="6820"/>
          </w:cols>
          <w:pgMar w:left="436" w:top="378" w:right="439" w:bottom="1440" w:gutter="0" w:footer="0" w:header="0"/>
          <w:type w:val="continuous"/>
        </w:sectPr>
      </w:pPr>
    </w:p>
    <w:p>
      <w:pPr>
        <w:ind w:left="4"/>
        <w:spacing w:after="0"/>
        <w:rPr>
          <w:sz w:val="20"/>
          <w:szCs w:val="20"/>
          <w:color w:val="auto"/>
        </w:rPr>
      </w:pPr>
      <w:r>
        <w:rPr>
          <w:rFonts w:ascii="Arial" w:cs="Arial" w:eastAsia="Arial" w:hAnsi="Arial"/>
          <w:sz w:val="17"/>
          <w:szCs w:val="17"/>
          <w:b w:val="1"/>
          <w:bCs w:val="1"/>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708062 401 / US7080624015</w:t>
      </w:r>
    </w:p>
    <w:p>
      <w:pPr>
        <w:spacing w:after="0" w:line="136" w:lineRule="exact"/>
        <w:rPr>
          <w:sz w:val="20"/>
          <w:szCs w:val="20"/>
          <w:color w:val="auto"/>
        </w:rPr>
      </w:pPr>
    </w:p>
    <w:p>
      <w:pPr>
        <w:sectPr>
          <w:pgSz w:w="11900" w:h="16838" w:orient="portrait"/>
          <w:cols w:equalWidth="0" w:num="2">
            <w:col w:w="3484" w:space="720"/>
            <w:col w:w="6820"/>
          </w:cols>
          <w:pgMar w:left="436" w:top="378" w:right="439" w:bottom="1440" w:gutter="0" w:footer="0" w:header="0"/>
          <w:type w:val="continuous"/>
        </w:sectPr>
      </w:pPr>
    </w:p>
    <w:p>
      <w:pPr>
        <w:ind w:left="4"/>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380"/>
        <w:spacing w:after="0" w:line="311" w:lineRule="auto"/>
        <w:rPr>
          <w:sz w:val="20"/>
          <w:szCs w:val="20"/>
          <w:color w:val="auto"/>
        </w:rPr>
      </w:pPr>
      <w:r>
        <w:rPr>
          <w:rFonts w:ascii="Arial" w:cs="Arial" w:eastAsia="Arial" w:hAnsi="Arial"/>
          <w:sz w:val="16"/>
          <w:szCs w:val="16"/>
          <w:color w:val="auto"/>
        </w:rPr>
        <w:t>The Company intends to use the net proceeds from this offering to reduce outstanding obligations under its Credit Facilities and/or SBA debentures, to invest in new or existing portfolio companies or for other general corporate or strategic purposes.</w:t>
      </w:r>
    </w:p>
    <w:p>
      <w:pPr>
        <w:spacing w:after="0" w:line="37" w:lineRule="exact"/>
        <w:rPr>
          <w:sz w:val="20"/>
          <w:szCs w:val="20"/>
          <w:color w:val="auto"/>
        </w:rPr>
      </w:pPr>
    </w:p>
    <w:p>
      <w:pPr>
        <w:sectPr>
          <w:pgSz w:w="11900" w:h="16838" w:orient="portrait"/>
          <w:cols w:equalWidth="0" w:num="2">
            <w:col w:w="3484" w:space="720"/>
            <w:col w:w="6820"/>
          </w:cols>
          <w:pgMar w:left="436" w:top="378" w:right="43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Keefe, Bruyette &amp; Woods, Inc. and Morgan Stanley &amp; Co. LLC</w:t>
      </w:r>
    </w:p>
    <w:p>
      <w:pPr>
        <w:spacing w:after="0" w:line="136" w:lineRule="exact"/>
        <w:rPr>
          <w:sz w:val="20"/>
          <w:szCs w:val="20"/>
          <w:color w:val="auto"/>
        </w:rPr>
      </w:pPr>
    </w:p>
    <w:p>
      <w:pPr>
        <w:sectPr>
          <w:pgSz w:w="11900" w:h="16838" w:orient="portrait"/>
          <w:cols w:equalWidth="0" w:num="2">
            <w:col w:w="3484" w:space="720"/>
            <w:col w:w="6820"/>
          </w:cols>
          <w:pgMar w:left="436" w:top="378" w:right="43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BB&amp;T Capital Markets, a division of BB&amp;T Securities, LLC, Janney Montgomery Scott LLC, Ladenburg Thalmann &amp; Co. Inc., Maxim Group LLC</w:t>
      </w:r>
    </w:p>
    <w:p>
      <w:pPr>
        <w:spacing w:after="0" w:line="72" w:lineRule="exact"/>
        <w:rPr>
          <w:sz w:val="20"/>
          <w:szCs w:val="20"/>
          <w:color w:val="auto"/>
        </w:rPr>
      </w:pPr>
    </w:p>
    <w:p>
      <w:pPr>
        <w:sectPr>
          <w:pgSz w:w="11900" w:h="16838" w:orient="portrait"/>
          <w:cols w:equalWidth="0" w:num="2">
            <w:col w:w="3484" w:space="720"/>
            <w:col w:w="6820"/>
          </w:cols>
          <w:pgMar w:left="436" w:top="378" w:right="439" w:bottom="1440" w:gutter="0" w:footer="0" w:header="0"/>
          <w:type w:val="continuous"/>
        </w:sectPr>
      </w:pPr>
    </w:p>
    <w:p>
      <w:pPr>
        <w:ind w:left="4"/>
        <w:spacing w:after="0"/>
        <w:rPr>
          <w:sz w:val="20"/>
          <w:szCs w:val="20"/>
          <w:color w:val="auto"/>
        </w:rPr>
      </w:pPr>
      <w:r>
        <w:rPr>
          <w:rFonts w:ascii="Arial" w:cs="Arial" w:eastAsia="Arial" w:hAnsi="Arial"/>
          <w:sz w:val="16"/>
          <w:szCs w:val="16"/>
          <w:b w:val="1"/>
          <w:bCs w:val="1"/>
          <w:color w:val="auto"/>
        </w:rPr>
        <w:t>Trustee, Paying Agent, and Security 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American Stock Transfer &amp; Trust Company, LLC</w:t>
      </w:r>
    </w:p>
    <w:p>
      <w:pPr>
        <w:spacing w:after="0" w:line="154" w:lineRule="exact"/>
        <w:rPr>
          <w:sz w:val="20"/>
          <w:szCs w:val="20"/>
          <w:color w:val="auto"/>
        </w:rPr>
      </w:pPr>
    </w:p>
    <w:p>
      <w:pPr>
        <w:sectPr>
          <w:pgSz w:w="11900" w:h="16838" w:orient="portrait"/>
          <w:cols w:equalWidth="0" w:num="2">
            <w:col w:w="3604" w:space="600"/>
            <w:col w:w="6820"/>
          </w:cols>
          <w:pgMar w:left="436" w:top="378" w:right="439" w:bottom="1440" w:gutter="0" w:footer="0" w:header="0"/>
          <w:type w:val="continuous"/>
        </w:sectPr>
      </w:pPr>
    </w:p>
    <w:p>
      <w:pPr>
        <w:ind w:left="424" w:hanging="424"/>
        <w:spacing w:after="0"/>
        <w:tabs>
          <w:tab w:leader="none" w:pos="424"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Note: A securities rating is not a recommendation to buy, sell or hold securities and may be subject to revision or withdrawal at any time.</w:t>
      </w:r>
    </w:p>
    <w:p>
      <w:pPr>
        <w:spacing w:after="0" w:line="35" w:lineRule="exact"/>
        <w:rPr>
          <w:sz w:val="20"/>
          <w:szCs w:val="20"/>
          <w:color w:val="auto"/>
        </w:rPr>
      </w:pPr>
    </w:p>
    <w:p>
      <w:pPr>
        <w:ind w:left="424" w:right="40" w:hanging="424"/>
        <w:spacing w:after="0" w:line="265" w:lineRule="auto"/>
        <w:tabs>
          <w:tab w:leader="none" w:pos="424" w:val="left"/>
        </w:tabs>
        <w:numPr>
          <w:ilvl w:val="0"/>
          <w:numId w:val="55"/>
        </w:numPr>
        <w:rPr>
          <w:rFonts w:ascii="Arial" w:cs="Arial" w:eastAsia="Arial" w:hAnsi="Arial"/>
          <w:sz w:val="17"/>
          <w:szCs w:val="17"/>
          <w:color w:val="auto"/>
        </w:rPr>
      </w:pPr>
      <w:r>
        <w:rPr>
          <w:rFonts w:ascii="Arial" w:cs="Arial" w:eastAsia="Arial" w:hAnsi="Arial"/>
          <w:sz w:val="17"/>
          <w:szCs w:val="17"/>
          <w:color w:val="auto"/>
        </w:rPr>
        <w:t>Variable price reoffer. The underwriters propose to offer the Notes for sale, from time to time, in one or more negotiated transactions, at prices that may be different than par. These sales may occur at market prices prevailing at the time of sale, at prices related to such prevailing market prices or at prices negotiated by the joint book-running managers or with approval from the joint book-running managers.</w:t>
      </w:r>
    </w:p>
    <w:p>
      <w:pPr>
        <w:ind w:left="424" w:right="180" w:hanging="424"/>
        <w:spacing w:after="0" w:line="271" w:lineRule="auto"/>
        <w:tabs>
          <w:tab w:leader="none" w:pos="424" w:val="left"/>
        </w:tabs>
        <w:numPr>
          <w:ilvl w:val="0"/>
          <w:numId w:val="56"/>
        </w:numPr>
        <w:rPr>
          <w:rFonts w:ascii="Arial" w:cs="Arial" w:eastAsia="Arial" w:hAnsi="Arial"/>
          <w:sz w:val="17"/>
          <w:szCs w:val="17"/>
          <w:color w:val="auto"/>
        </w:rPr>
      </w:pPr>
      <w:r>
        <w:rPr>
          <w:rFonts w:ascii="Arial" w:cs="Arial" w:eastAsia="Arial" w:hAnsi="Arial"/>
          <w:sz w:val="17"/>
          <w:szCs w:val="17"/>
          <w:color w:val="auto"/>
        </w:rPr>
        <w:t>Under Rule 15c6-1 of the Securities Exchange Act of 1934, as amended, trades in the secondary market generally are required to settle in two business days, unless the parties to any such trade expressly agree otherwise. Accordingly, purchasers who wish to trade the Notes on the date of pricing or the next two succeeding business days will be required, by virtue of the fact that the Notes initially will settle T+3, to specify an alternate settlement cycle at the time of any such trade to prevent a failed settlement. Purchasers of the Notes who wish to trade the Notes on the date of pricing or the next two succeeding business days should consult their own advisor.</w:t>
      </w:r>
    </w:p>
    <w:p>
      <w:pPr>
        <w:spacing w:after="0" w:line="178" w:lineRule="exact"/>
        <w:rPr>
          <w:sz w:val="20"/>
          <w:szCs w:val="20"/>
          <w:color w:val="auto"/>
        </w:rPr>
      </w:pPr>
    </w:p>
    <w:p>
      <w:pPr>
        <w:ind w:left="4" w:right="180"/>
        <w:spacing w:after="0" w:line="286" w:lineRule="auto"/>
        <w:rPr>
          <w:sz w:val="20"/>
          <w:szCs w:val="20"/>
          <w:color w:val="auto"/>
        </w:rPr>
      </w:pPr>
      <w:r>
        <w:rPr>
          <w:rFonts w:ascii="Arial" w:cs="Arial" w:eastAsia="Arial" w:hAnsi="Arial"/>
          <w:sz w:val="17"/>
          <w:szCs w:val="17"/>
          <w:i w:val="1"/>
          <w:iCs w:val="1"/>
          <w:color w:val="auto"/>
        </w:rPr>
        <w:t>This pricing term sheet, the preliminary prospectus supplement, the accompanying prospectus and the pricing press release are not offers to sell or the solicitation of offers to buy, nor will there be any sale of the Notes referred to in this press release, in any jurisdiction where such offer, solicitation or sale would be unlawful prior to the registration or qualification under the securities laws of such jurisdiction.</w:t>
      </w:r>
    </w:p>
    <w:p>
      <w:pPr>
        <w:spacing w:after="0" w:line="161" w:lineRule="exact"/>
        <w:rPr>
          <w:sz w:val="20"/>
          <w:szCs w:val="20"/>
          <w:color w:val="auto"/>
        </w:rPr>
      </w:pPr>
    </w:p>
    <w:p>
      <w:pPr>
        <w:ind w:left="4" w:right="20"/>
        <w:spacing w:after="0" w:line="292" w:lineRule="auto"/>
        <w:rPr>
          <w:sz w:val="20"/>
          <w:szCs w:val="20"/>
          <w:color w:val="auto"/>
        </w:rPr>
      </w:pPr>
      <w:r>
        <w:rPr>
          <w:rFonts w:ascii="Arial" w:cs="Arial" w:eastAsia="Arial" w:hAnsi="Arial"/>
          <w:sz w:val="16"/>
          <w:szCs w:val="16"/>
          <w:b w:val="1"/>
          <w:bCs w:val="1"/>
          <w:color w:val="auto"/>
        </w:rPr>
        <w:t>A shelf registration statement relating to these securities is on file with and has been declared effective by the U.S. Securities and Exchange Commission. The offering may be made only by means of a prospectus and a related preliminary prospectus supplement, copies of which may be obtained, when available, from Keefe, Bruyette &amp; Woods, Inc., Attn: Debt Capital Markets, 787 7th Avenue, 4th Floor, New York, NY 10019, (telephone number: 1-800-966-1559) and Morgan Stanley &amp; Co. LLC, 180 Varick Street, New York, NY 10014, Attention: Prospectus Department (telephone number: 1-866-718-1649, email: prospectus@morganstanley.com). Investors are advised to carefully consider the investment objectives, risks and charges and expenses of the Company before investing. The preliminary prospectus supplement and accompanying prospectus contain this and other information about the Company and should be read carefully before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8" w:right="439" w:bottom="1440" w:gutter="0" w:footer="0" w:header="0"/>
          <w:type w:val="continuous"/>
        </w:sectPr>
      </w:pPr>
    </w:p>
    <w:bookmarkStart w:id="42" w:name="page43"/>
    <w:bookmarkEnd w:id="42"/>
    <w:p>
      <w:pPr>
        <w:jc w:val="center"/>
        <w:ind w:right="-2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Form of Certificate Required by Section 6(g)</w:t>
      </w:r>
    </w:p>
    <w:p>
      <w:pPr>
        <w:spacing w:after="0" w:line="252" w:lineRule="exact"/>
        <w:rPr>
          <w:sz w:val="20"/>
          <w:szCs w:val="20"/>
          <w:color w:val="auto"/>
        </w:rPr>
      </w:pPr>
    </w:p>
    <w:p>
      <w:pPr>
        <w:ind w:left="424" w:hanging="424"/>
        <w:spacing w:after="0"/>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the Registration Statement, the Pricing Prospectus and the Prospectus.</w:t>
      </w:r>
    </w:p>
    <w:p>
      <w:pPr>
        <w:spacing w:after="0" w:line="130"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representations and warranties of each of the Company, the Adviser and the Administrator as set forth in the Underwriting Agreement are true and correct as of the [time of purchase][applicable additional time of purchase].</w:t>
      </w:r>
    </w:p>
    <w:p>
      <w:pPr>
        <w:spacing w:after="0" w:line="75" w:lineRule="exact"/>
        <w:rPr>
          <w:rFonts w:ascii="Arial" w:cs="Arial" w:eastAsia="Arial" w:hAnsi="Arial"/>
          <w:sz w:val="18"/>
          <w:szCs w:val="18"/>
          <w:color w:val="auto"/>
        </w:rPr>
      </w:pPr>
    </w:p>
    <w:p>
      <w:pPr>
        <w:ind w:left="424" w:right="460" w:hanging="424"/>
        <w:spacing w:after="0" w:line="277" w:lineRule="auto"/>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the Company, the Adviser and the Administrator has performed all of its obligations under the Underwriting Agreement as are to be performed at or before the [time of purchase][applicable additional time of purchase].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conditions set forth in paragraphs (e) and (f) of Section 6 of the Underwriting Agreement have been met.</w:t>
      </w:r>
    </w:p>
    <w:p>
      <w:pPr>
        <w:spacing w:after="0" w:line="130" w:lineRule="exact"/>
        <w:rPr>
          <w:rFonts w:ascii="Arial" w:cs="Arial" w:eastAsia="Arial" w:hAnsi="Arial"/>
          <w:sz w:val="18"/>
          <w:szCs w:val="18"/>
          <w:color w:val="auto"/>
        </w:rPr>
      </w:pPr>
    </w:p>
    <w:p>
      <w:pPr>
        <w:ind w:left="424" w:right="180" w:hanging="424"/>
        <w:spacing w:after="0" w:line="263" w:lineRule="auto"/>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financial statements and other financial information included in the Registration Statement, the Pricing Prospectus and the Prospectus fairly present in all material respects the financial condition of the Company as of the date presented in the Registration Statement, the Pricing Prospectus and the Prospectus, as appropriate.</w:t>
      </w:r>
    </w:p>
    <w:p>
      <w:pPr>
        <w:sectPr>
          <w:pgSz w:w="11900" w:h="16838" w:orient="portrait"/>
          <w:cols w:equalWidth="0" w:num="1">
            <w:col w:w="10984"/>
          </w:cols>
          <w:pgMar w:left="436" w:top="270" w:right="4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THIRD SUPPLEMENTAL INDENTURE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AMERICAN STOCK TRANSFER &amp; TRUST COMPANY, LLC,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Dated as of September 27, 2019</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THIRD SUPPLEMENTAL INDENTURE</w:t>
      </w:r>
    </w:p>
    <w:p>
      <w:pPr>
        <w:spacing w:after="0" w:line="225" w:lineRule="exact"/>
        <w:rPr>
          <w:sz w:val="20"/>
          <w:szCs w:val="20"/>
          <w:color w:val="auto"/>
        </w:rPr>
      </w:pPr>
    </w:p>
    <w:p>
      <w:pPr>
        <w:ind w:left="4" w:right="60"/>
        <w:spacing w:after="0" w:line="286" w:lineRule="auto"/>
        <w:rPr>
          <w:sz w:val="20"/>
          <w:szCs w:val="20"/>
          <w:color w:val="auto"/>
        </w:rPr>
      </w:pPr>
      <w:r>
        <w:rPr>
          <w:rFonts w:ascii="Arial" w:cs="Arial" w:eastAsia="Arial" w:hAnsi="Arial"/>
          <w:sz w:val="17"/>
          <w:szCs w:val="17"/>
          <w:color w:val="auto"/>
        </w:rPr>
        <w:t>THIS THIRD SUPPLEMENTAL INDENTURE (this “Third Supplemental Indenture”), dated as of September 27, 2019, is between PennantPark Investment Corporation, a Maryland corporation (the “Company”), and American Stock Transfer &amp; Trust Company, LLC, as trustee (the “Trustee”). All capitalized terms used but not otherwise defined herein shall have the meaning set forth in the Base Indenture (as defined below).</w:t>
      </w:r>
    </w:p>
    <w:p>
      <w:pPr>
        <w:spacing w:after="0" w:line="3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left="4" w:right="160"/>
        <w:spacing w:after="0" w:line="311" w:lineRule="auto"/>
        <w:rPr>
          <w:sz w:val="20"/>
          <w:szCs w:val="20"/>
          <w:color w:val="auto"/>
        </w:rPr>
      </w:pPr>
      <w:r>
        <w:rPr>
          <w:rFonts w:ascii="Arial" w:cs="Arial" w:eastAsia="Arial" w:hAnsi="Arial"/>
          <w:sz w:val="16"/>
          <w:szCs w:val="16"/>
          <w:color w:val="auto"/>
        </w:rPr>
        <w:t>WHEREAS, the Company and the Trustee executed and delivered an Indenture, dated as of January 22, 2013 (the “Base Indenture,” and, as supplemented by this Third Supplemental Indenture, the “Indenture”), to provide for the issuance by the Company from time to time of the Company’s debt securities (the “Securities”) evidencing its unsecured indebtedness, to be issued in one or more series as provided in the Base Indenture;</w:t>
      </w:r>
    </w:p>
    <w:p>
      <w:pPr>
        <w:spacing w:after="0" w:line="149" w:lineRule="exact"/>
        <w:rPr>
          <w:sz w:val="20"/>
          <w:szCs w:val="20"/>
          <w:color w:val="auto"/>
        </w:rPr>
      </w:pPr>
    </w:p>
    <w:p>
      <w:pPr>
        <w:ind w:left="4" w:right="440"/>
        <w:spacing w:after="0" w:line="308" w:lineRule="auto"/>
        <w:rPr>
          <w:sz w:val="20"/>
          <w:szCs w:val="20"/>
          <w:color w:val="auto"/>
        </w:rPr>
      </w:pPr>
      <w:r>
        <w:rPr>
          <w:rFonts w:ascii="Arial" w:cs="Arial" w:eastAsia="Arial" w:hAnsi="Arial"/>
          <w:sz w:val="17"/>
          <w:szCs w:val="17"/>
          <w:color w:val="auto"/>
        </w:rPr>
        <w:t>WHEREAS, the Company desires to issue and sell up to $75,000,000 aggregate principal amount (including up to $11,250,000 aggregate principal amount pursuant to the underwriters’ overallotment option) of the Company’s 5.50% Notes due 2024 (the “Notes”);</w:t>
      </w:r>
    </w:p>
    <w:p>
      <w:pPr>
        <w:spacing w:after="0" w:line="146" w:lineRule="exact"/>
        <w:rPr>
          <w:sz w:val="20"/>
          <w:szCs w:val="20"/>
          <w:color w:val="auto"/>
        </w:rPr>
      </w:pPr>
    </w:p>
    <w:p>
      <w:pPr>
        <w:ind w:left="4" w:right="220"/>
        <w:spacing w:after="0" w:line="296" w:lineRule="auto"/>
        <w:rPr>
          <w:sz w:val="20"/>
          <w:szCs w:val="20"/>
          <w:color w:val="auto"/>
        </w:rPr>
      </w:pPr>
      <w:r>
        <w:rPr>
          <w:rFonts w:ascii="Arial" w:cs="Arial" w:eastAsia="Arial" w:hAnsi="Arial"/>
          <w:sz w:val="16"/>
          <w:szCs w:val="16"/>
          <w:color w:val="auto"/>
        </w:rPr>
        <w:t>WHEREAS, Sections 901(5) and 901(7)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Base Indenture when there is no Security Outstanding of any series created prior to the execution of a supplemental indenture that is entitled to the benefit of such provision and (ii) establish the form or terms of Securities of any series as permitted by Sections 201 and 301 of the Base Indenture;</w:t>
      </w:r>
    </w:p>
    <w:p>
      <w:pPr>
        <w:spacing w:after="0" w:line="161"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WHEREAS, the Company desires to establish the form and terms of the Notes and to modify, alter, supplement and change certain provisions of the Base Indenture for the benefit of the Holders of the Notes (except as may be provided in a future supplemental indenture to the Indenture (“Future Supplemental Indenture”)); and</w:t>
      </w:r>
    </w:p>
    <w:p>
      <w:pPr>
        <w:spacing w:after="0" w:line="184"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WHEREAS, the Company has duly authorized the execution and delivery of this Third Supplemental Indenture to provide for the issuance of the Notes and all acts and things necessary to make this Third Supplemental Indenture a valid and legally binding obligation of the Company and to constitute a valid agreement of the Company, in accordance with its terms, have been done and performed;</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it is mutually agreed, for the equal and proportionate benefit of all Holders of the Notes, as follows:</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TERMS OF THE NOTES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Terms of the Notes</w:t>
      </w:r>
      <w:r>
        <w:rPr>
          <w:rFonts w:ascii="Arial" w:cs="Arial" w:eastAsia="Arial" w:hAnsi="Arial"/>
          <w:sz w:val="18"/>
          <w:szCs w:val="18"/>
          <w:color w:val="auto"/>
        </w:rPr>
        <w:t>. The following terms relating to the Notes are hereby established:</w:t>
      </w:r>
    </w:p>
    <w:p>
      <w:pPr>
        <w:spacing w:after="0" w:line="117" w:lineRule="exact"/>
        <w:rPr>
          <w:sz w:val="20"/>
          <w:szCs w:val="20"/>
          <w:color w:val="auto"/>
        </w:rPr>
      </w:pPr>
    </w:p>
    <w:p>
      <w:pPr>
        <w:ind w:left="4" w:right="500" w:hanging="4"/>
        <w:spacing w:after="0" w:line="277" w:lineRule="auto"/>
        <w:tabs>
          <w:tab w:leader="none" w:pos="2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Notes shall constitute a series of Securities having the title “5.50% Notes due 2024” and shall be designated as Senior Securities under the Indenture. The Notes shall bear a CUSIP number of 708062 401 and an ISIN number of US7080624015.</w:t>
      </w:r>
    </w:p>
    <w:p>
      <w:pPr>
        <w:sectPr>
          <w:pgSz w:w="11900" w:h="16838" w:orient="portrait"/>
          <w:cols w:equalWidth="0" w:num="1">
            <w:col w:w="11024"/>
          </w:cols>
          <w:pgMar w:left="436" w:top="121" w:right="439" w:bottom="1440" w:gutter="0" w:footer="0" w:header="0"/>
        </w:sectPr>
      </w:pPr>
    </w:p>
    <w:bookmarkStart w:id="44" w:name="page45"/>
    <w:bookmarkEnd w:id="44"/>
    <w:p>
      <w:pPr>
        <w:ind w:left="4" w:right="20" w:hanging="4"/>
        <w:spacing w:after="0" w:line="291" w:lineRule="auto"/>
        <w:tabs>
          <w:tab w:leader="none" w:pos="259"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aggregate principal amount of the Notes that may be initially authenticated and delivered under the Indenture (except for Notes authenticated and delivered upon registration of, transfer of, or in exchange for, or in lieu of, other Notes pursuant to Sections 304, 305, 306, 906 or 1107 of the Base Indenture) shall be up to $75,000,000 aggregate principal amount (including up to $11,250,000 aggregate principal amount pursuant to the underwriters’ overallotment option). Under a Board Resolution, Officer’s Certificate pursuant to Board Resolutions or an indenture supplement, the Company may from time to time, without the consent of the Holders of Notes, issue additional Notes (in any such case, “Additional Notes”) having the same ranking and the same interest rate, maturity and other terms as the Notes. Any Additional Notes and the existing Notes shall constitute a single series under the Indenture and all references to the relevant Notes herein shall include the Additional Notes unless the context otherwise requires.</w:t>
      </w:r>
    </w:p>
    <w:p>
      <w:pPr>
        <w:spacing w:after="0" w:line="58" w:lineRule="exact"/>
        <w:rPr>
          <w:rFonts w:ascii="Arial" w:cs="Arial" w:eastAsia="Arial" w:hAnsi="Arial"/>
          <w:sz w:val="16"/>
          <w:szCs w:val="16"/>
          <w:color w:val="auto"/>
        </w:rPr>
      </w:pPr>
    </w:p>
    <w:p>
      <w:pPr>
        <w:ind w:left="244" w:hanging="244"/>
        <w:spacing w:after="0"/>
        <w:tabs>
          <w:tab w:leader="none" w:pos="24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entire outstanding principal of the Notes shall be payable on October 15, 2024.</w:t>
      </w:r>
    </w:p>
    <w:p>
      <w:pPr>
        <w:spacing w:after="0" w:line="117" w:lineRule="exact"/>
        <w:rPr>
          <w:rFonts w:ascii="Arial" w:cs="Arial" w:eastAsia="Arial" w:hAnsi="Arial"/>
          <w:sz w:val="18"/>
          <w:szCs w:val="18"/>
          <w:color w:val="auto"/>
        </w:rPr>
      </w:pPr>
    </w:p>
    <w:p>
      <w:pPr>
        <w:ind w:left="4" w:hanging="4"/>
        <w:spacing w:after="0" w:line="285" w:lineRule="auto"/>
        <w:tabs>
          <w:tab w:leader="none" w:pos="259"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rate at which the Notes shall bear interest shall be 5.50% per annum (the “Applicable Interest Rate”). The date from which interest shall accrue on the Notes shall be September 27, 2019, or the most recent Interest Payment Date to which interest has been paid or provided for; the Interest Payment Dates for the Notes shall be January 15, April 15, July 15 and October 15 of each year, commencing January 15, 2020 (</w:t>
      </w:r>
      <w:r>
        <w:rPr>
          <w:rFonts w:ascii="Arial" w:cs="Arial" w:eastAsia="Arial" w:hAnsi="Arial"/>
          <w:sz w:val="16"/>
          <w:szCs w:val="16"/>
          <w:i w:val="1"/>
          <w:iCs w:val="1"/>
          <w:color w:val="auto"/>
        </w:rPr>
        <w:t>provided</w:t>
      </w:r>
      <w:r>
        <w:rPr>
          <w:rFonts w:ascii="Arial" w:cs="Arial" w:eastAsia="Arial" w:hAnsi="Arial"/>
          <w:sz w:val="16"/>
          <w:szCs w:val="16"/>
          <w:color w:val="auto"/>
        </w:rPr>
        <w:t>, that if an Interest Payment Date falls on a day that is not a Business Day in The City of New York, then the applicable interest payment shall be made on the next succeeding Business Day and no additional interest shall accrue as a result of such delayed payment); the initial interest period shall be the period from, and including, September 27, 2019 (or the most recent Interest Payment Date to which interest has been paid or provided for), to, but excluding, the initial Interest Payment Date, and the subsequent interest periods shall be the periods from, and including, an Interest Payment Date to, but excluding, the next Interest Payment Date or the Stated Maturity, as the case may be; the interest so payable, and punctually paid or duly provided for, on any Interest Payment Date, shall be paid to the Person in whose name the Note (or one or more predecessor Notes) is registered at the close of business on the Regular Record Date for such interest, which shall be January 3, April 3, July 3 and October 3 of each year, commencing January 3, 2020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Regular Record Date falls on a day that is not a Business Day in The City of New York, then that Regular Record Date shall be the next succeeding Business Day), as the case may be, next preceding such Interest Payment Date. Payment of principal of (and premium, if any) and any such interest on the Notes shall be made at the Corporate Trust Office of the Trustee in such coin or currency of the United States of America as at the time of payment is legal tender for payment of public and private debts;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option of the Company payment of interest may be made by check mailed to the address of the Person entitled thereto as such address shall appear in the Security Register. Interest on the Notes shall be computed on the basis of a 360-day year of twelve 30-day months.</w:t>
      </w:r>
    </w:p>
    <w:p>
      <w:pPr>
        <w:spacing w:after="0" w:line="68" w:lineRule="exact"/>
        <w:rPr>
          <w:rFonts w:ascii="Arial" w:cs="Arial" w:eastAsia="Arial" w:hAnsi="Arial"/>
          <w:sz w:val="16"/>
          <w:szCs w:val="16"/>
          <w:color w:val="auto"/>
        </w:rPr>
      </w:pPr>
    </w:p>
    <w:p>
      <w:pPr>
        <w:ind w:left="4" w:right="120" w:hanging="4"/>
        <w:spacing w:after="0" w:line="272" w:lineRule="auto"/>
        <w:tabs>
          <w:tab w:leader="none" w:pos="249"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The Notes shall be initially issuable in global form (each such Note, a “Global Note”). The Global Notes and the Trustee’s certificate of authentication thereon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Third Supplemental Indenture. Each Global Note shall represent the outstanding Notes as shall be specified therein and each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principal amount of outstanding Notes represented thereby shall be made by the Trustee or the Security Registrar, in accordance with Sections 203 and 305 of the Base Indenture.</w:t>
      </w:r>
    </w:p>
    <w:p>
      <w:pPr>
        <w:spacing w:after="0" w:line="69" w:lineRule="exact"/>
        <w:rPr>
          <w:rFonts w:ascii="Arial" w:cs="Arial" w:eastAsia="Arial" w:hAnsi="Arial"/>
          <w:sz w:val="17"/>
          <w:szCs w:val="17"/>
          <w:color w:val="auto"/>
        </w:rPr>
      </w:pPr>
    </w:p>
    <w:p>
      <w:pPr>
        <w:ind w:left="4" w:right="40" w:hanging="4"/>
        <w:spacing w:after="0" w:line="277" w:lineRule="auto"/>
        <w:tabs>
          <w:tab w:leader="none" w:pos="22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depositary for such Global Notes (the “Depositary”) shall be The Depository Trust Company, New York, New York. The Security Registrar with respect to the Global Notes shall be the Trustee.</w:t>
      </w:r>
    </w:p>
    <w:p>
      <w:pPr>
        <w:spacing w:after="0" w:line="62" w:lineRule="exact"/>
        <w:rPr>
          <w:rFonts w:ascii="Arial" w:cs="Arial" w:eastAsia="Arial" w:hAnsi="Arial"/>
          <w:sz w:val="18"/>
          <w:szCs w:val="18"/>
          <w:color w:val="auto"/>
        </w:rPr>
      </w:pPr>
    </w:p>
    <w:p>
      <w:pPr>
        <w:ind w:left="4" w:right="20" w:hanging="4"/>
        <w:spacing w:after="0" w:line="277" w:lineRule="auto"/>
        <w:tabs>
          <w:tab w:leader="none" w:pos="2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Notes shall be defeasible pursuant to Section 1402 or Section 1403 of the Base Indenture. Covenant defeasance contained in Section 1403 of the Base Indenture shall apply to the covenants contained in Sections 1008 and 1009 of the Indenture.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45" w:name="page46"/>
    <w:bookmarkEnd w:id="45"/>
    <w:p>
      <w:pPr>
        <w:ind w:left="264" w:hanging="264"/>
        <w:spacing w:after="0"/>
        <w:tabs>
          <w:tab w:leader="none" w:pos="264"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Notes shall be redeemable pursuant to Section 1101 of the Base Indenture and as follows:</w:t>
      </w:r>
    </w:p>
    <w:p>
      <w:pPr>
        <w:spacing w:after="0" w:line="117" w:lineRule="exact"/>
        <w:rPr>
          <w:rFonts w:ascii="Arial" w:cs="Arial" w:eastAsia="Arial" w:hAnsi="Arial"/>
          <w:sz w:val="18"/>
          <w:szCs w:val="18"/>
          <w:color w:val="auto"/>
        </w:rPr>
      </w:pPr>
    </w:p>
    <w:p>
      <w:pPr>
        <w:jc w:val="both"/>
        <w:ind w:left="4" w:right="100" w:hanging="4"/>
        <w:spacing w:after="0" w:line="263" w:lineRule="auto"/>
        <w:tabs>
          <w:tab w:leader="none" w:pos="21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Notes shall be redeemable in whole or in part, at any time or from time to time, at the option of the Company, on or after October 15, 2021, at a redemption price of $25 per Note plus accrued and unpaid interest payments otherwise payable for the then-current quarterly interest period accrued to, but excluding, the Redemption Date.</w:t>
      </w:r>
    </w:p>
    <w:p>
      <w:pPr>
        <w:spacing w:after="0" w:line="76" w:lineRule="exact"/>
        <w:rPr>
          <w:sz w:val="20"/>
          <w:szCs w:val="20"/>
          <w:color w:val="auto"/>
        </w:rPr>
      </w:pPr>
    </w:p>
    <w:p>
      <w:pPr>
        <w:ind w:left="4" w:right="20" w:hanging="4"/>
        <w:spacing w:after="0" w:line="259" w:lineRule="auto"/>
        <w:tabs>
          <w:tab w:leader="none" w:pos="269"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Notice of redemption shall be given in writing and mailed, first-class postage prepaid or by overnight courier guaranteeing next-day delivery, to each Holder of the Notes to be redeemed, not less than thirty (30) nor more than sixty (60) days prior to the Redemption Date, at the Holder’s address appearing in the Security Register. All notices of redemption shall contain the information set forth in Section 1104 of the Base Indenture and the delivery of such shall be subject to the terms of the Indenture.</w:t>
      </w:r>
    </w:p>
    <w:p>
      <w:pPr>
        <w:spacing w:after="0" w:line="78" w:lineRule="exact"/>
        <w:rPr>
          <w:rFonts w:ascii="Arial" w:cs="Arial" w:eastAsia="Arial" w:hAnsi="Arial"/>
          <w:sz w:val="18"/>
          <w:szCs w:val="18"/>
          <w:color w:val="auto"/>
        </w:rPr>
      </w:pPr>
    </w:p>
    <w:p>
      <w:pPr>
        <w:ind w:left="324" w:hanging="324"/>
        <w:spacing w:after="0"/>
        <w:tabs>
          <w:tab w:leader="none" w:pos="324"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exercise of the Company’s option to redeem the Notes shall be done in compliance with the Investment Company Act (as defined below).</w:t>
      </w:r>
    </w:p>
    <w:p>
      <w:pPr>
        <w:spacing w:after="0" w:line="128" w:lineRule="exact"/>
        <w:rPr>
          <w:rFonts w:ascii="Arial" w:cs="Arial" w:eastAsia="Arial" w:hAnsi="Arial"/>
          <w:sz w:val="17"/>
          <w:szCs w:val="17"/>
          <w:color w:val="auto"/>
        </w:rPr>
      </w:pPr>
    </w:p>
    <w:p>
      <w:pPr>
        <w:ind w:left="4" w:right="680" w:hanging="4"/>
        <w:spacing w:after="0" w:line="277" w:lineRule="auto"/>
        <w:tabs>
          <w:tab w:leader="none" w:pos="309"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Company elects to redeem only a portion of the Notes, the Trustee shall determine the method for selecting the particular Notes to be redeemed, in accordance with the Investment Company Act.</w:t>
      </w:r>
    </w:p>
    <w:p>
      <w:pPr>
        <w:spacing w:after="0" w:line="62" w:lineRule="exact"/>
        <w:rPr>
          <w:rFonts w:ascii="Arial" w:cs="Arial" w:eastAsia="Arial" w:hAnsi="Arial"/>
          <w:sz w:val="18"/>
          <w:szCs w:val="18"/>
          <w:color w:val="auto"/>
        </w:rPr>
      </w:pPr>
    </w:p>
    <w:p>
      <w:pPr>
        <w:ind w:left="4" w:right="380" w:hanging="4"/>
        <w:spacing w:after="0" w:line="277" w:lineRule="auto"/>
        <w:tabs>
          <w:tab w:leader="none" w:pos="259"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Unless the Company defaults in payment of the Redemption Price, on and after the Redemption Date, interest shall cease to accrue on the Notes called for redemption hereunder.</w:t>
      </w:r>
    </w:p>
    <w:p>
      <w:pPr>
        <w:spacing w:after="0" w:line="62" w:lineRule="exact"/>
        <w:rPr>
          <w:sz w:val="20"/>
          <w:szCs w:val="20"/>
          <w:color w:val="auto"/>
        </w:rPr>
      </w:pPr>
    </w:p>
    <w:p>
      <w:pPr>
        <w:ind w:left="224" w:hanging="224"/>
        <w:spacing w:after="0"/>
        <w:tabs>
          <w:tab w:leader="none" w:pos="2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Notes shall not be subject to any sinking fund pursuant to Section 1201 of the Base Indenture.</w:t>
      </w:r>
    </w:p>
    <w:p>
      <w:pPr>
        <w:spacing w:after="0" w:line="117" w:lineRule="exact"/>
        <w:rPr>
          <w:rFonts w:ascii="Arial" w:cs="Arial" w:eastAsia="Arial" w:hAnsi="Arial"/>
          <w:sz w:val="18"/>
          <w:szCs w:val="18"/>
          <w:color w:val="auto"/>
        </w:rPr>
      </w:pPr>
    </w:p>
    <w:p>
      <w:pPr>
        <w:ind w:left="224" w:hanging="224"/>
        <w:spacing w:after="0"/>
        <w:tabs>
          <w:tab w:leader="none" w:pos="2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Notes shall be issuable in denominations of $25 and integral multiples of $25 in excess thereof.</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62"/>
        </w:numPr>
        <w:rPr>
          <w:rFonts w:ascii="Arial" w:cs="Arial" w:eastAsia="Arial" w:hAnsi="Arial"/>
          <w:sz w:val="18"/>
          <w:szCs w:val="18"/>
          <w:color w:val="auto"/>
        </w:rPr>
      </w:pPr>
      <w:r>
        <w:rPr>
          <w:rFonts w:ascii="Arial" w:cs="Arial" w:eastAsia="Arial" w:hAnsi="Arial"/>
          <w:sz w:val="18"/>
          <w:szCs w:val="18"/>
          <w:color w:val="auto"/>
        </w:rPr>
        <w:t>Holders of the Notes shall not have the option to have the Notes repaid prior to the Stated Maturity.</w:t>
      </w:r>
    </w:p>
    <w:p>
      <w:pPr>
        <w:spacing w:after="0" w:line="200" w:lineRule="exact"/>
        <w:rPr>
          <w:sz w:val="20"/>
          <w:szCs w:val="20"/>
          <w:color w:val="auto"/>
        </w:rPr>
      </w:pPr>
    </w:p>
    <w:p>
      <w:pPr>
        <w:spacing w:after="0" w:line="24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DEFINITIONS AND OTHER PROVISIONS OF GENERAL APPLICATION</w:t>
      </w:r>
    </w:p>
    <w:p>
      <w:pPr>
        <w:spacing w:after="0" w:line="211"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Section 2.01. Except as may be provided in a Future Supplemental Indenture, for the benefit of the Holders of the Notes but no other series of Securities under the Indenture, whether now or hereafter issued and Outstanding, Article One of the Base Indenture shall be amended by replacing the definition of “Subsidiary” in Section 101 with the following:</w:t>
      </w:r>
    </w:p>
    <w:p>
      <w:pPr>
        <w:spacing w:after="0" w:line="184"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partnership, joint venture, limited liability company or other business entity of which a majority of the outstanding shares or other interests having voting power is at the time directly or indirectly owned or controlled by such Person or one or more of the Subsidiaries of such Person. Unless the context otherwise requires, all references to Subsidiary or Subsidiaries under this Indenture shall refer to Subsidiaries of the Company.”</w:t>
      </w:r>
    </w:p>
    <w:p>
      <w:pPr>
        <w:spacing w:after="0" w:line="187"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Section 2.02.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in appropriate alphabetical sequence, as follows:</w:t>
      </w:r>
    </w:p>
    <w:p>
      <w:pPr>
        <w:spacing w:after="0" w:line="184" w:lineRule="exact"/>
        <w:rPr>
          <w:sz w:val="20"/>
          <w:szCs w:val="20"/>
          <w:color w:val="auto"/>
        </w:rPr>
      </w:pPr>
    </w:p>
    <w:p>
      <w:pPr>
        <w:ind w:left="4" w:right="1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w:t>
      </w:r>
    </w:p>
    <w:p>
      <w:pPr>
        <w:spacing w:after="0" w:line="157" w:lineRule="exact"/>
        <w:rPr>
          <w:sz w:val="20"/>
          <w:szCs w:val="20"/>
          <w:color w:val="auto"/>
        </w:rPr>
      </w:pPr>
    </w:p>
    <w:p>
      <w:pPr>
        <w:ind w:left="4" w:right="5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and the rules, regulations and interpretations promulgated thereunder, to the extent applicable, and any statute successor thereto.”</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46" w:name="page47"/>
    <w:bookmarkEnd w:id="46"/>
    <w:p>
      <w:pPr>
        <w:ind w:left="50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III</w:t>
      </w:r>
    </w:p>
    <w:p>
      <w:pPr>
        <w:spacing w:after="0" w:line="23" w:lineRule="exact"/>
        <w:rPr>
          <w:sz w:val="20"/>
          <w:szCs w:val="20"/>
          <w:color w:val="auto"/>
        </w:rPr>
      </w:pPr>
    </w:p>
    <w:p>
      <w:pPr>
        <w:ind w:left="5064"/>
        <w:spacing w:after="0"/>
        <w:rPr>
          <w:sz w:val="20"/>
          <w:szCs w:val="20"/>
          <w:color w:val="auto"/>
        </w:rPr>
      </w:pPr>
      <w:r>
        <w:rPr>
          <w:rFonts w:ascii="Arial" w:cs="Arial" w:eastAsia="Arial" w:hAnsi="Arial"/>
          <w:sz w:val="18"/>
          <w:szCs w:val="18"/>
          <w:color w:val="auto"/>
        </w:rPr>
        <w:t>REMEDIES</w:t>
      </w:r>
    </w:p>
    <w:p>
      <w:pPr>
        <w:spacing w:after="0" w:line="211"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Section 3.01. Except as may be provided in a Future Supplemental Indenture, for the benefit of the Holders of the Notes but no other series of Securities under the Indenture, whether now or hereafter issued and Outstanding, Section 501 of the Base Indenture shall be amended by replacing clause (2) thereof in its entirety with the following:</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“(2) default in the payment of the principal (or premium, if any) of any Note when it becomes due and payable at its Maturity; or”</w:t>
      </w:r>
    </w:p>
    <w:p>
      <w:pPr>
        <w:spacing w:after="0" w:line="200" w:lineRule="exact"/>
        <w:rPr>
          <w:sz w:val="20"/>
          <w:szCs w:val="20"/>
          <w:color w:val="auto"/>
        </w:rPr>
      </w:pPr>
    </w:p>
    <w:p>
      <w:pPr>
        <w:spacing w:after="0" w:line="24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CONSOLIDATION, MERGER, CONVEYANCE OR TRANSFER</w:t>
      </w:r>
    </w:p>
    <w:p>
      <w:pPr>
        <w:spacing w:after="0" w:line="211" w:lineRule="exact"/>
        <w:rPr>
          <w:sz w:val="20"/>
          <w:szCs w:val="20"/>
          <w:color w:val="auto"/>
        </w:rPr>
      </w:pPr>
    </w:p>
    <w:p>
      <w:pPr>
        <w:ind w:left="4" w:right="40"/>
        <w:spacing w:after="0" w:line="291" w:lineRule="auto"/>
        <w:rPr>
          <w:sz w:val="20"/>
          <w:szCs w:val="20"/>
          <w:color w:val="auto"/>
        </w:rPr>
      </w:pPr>
      <w:r>
        <w:rPr>
          <w:rFonts w:ascii="Arial" w:cs="Arial" w:eastAsia="Arial" w:hAnsi="Arial"/>
          <w:sz w:val="16"/>
          <w:szCs w:val="16"/>
          <w:color w:val="auto"/>
        </w:rPr>
        <w:t>Section 4.01. Except as may be provided in a Future Supplemental Indenture, for the benefit of the Holders of the Notes but no other series of Securities under the Indenture, whether now or hereafter issued and Outstanding, Section 801 of the Base Indenture shall be amended by replacing clause</w:t>
      </w:r>
    </w:p>
    <w:p>
      <w:pPr>
        <w:ind w:left="4" w:right="7820" w:hanging="4"/>
        <w:spacing w:after="0" w:line="386" w:lineRule="auto"/>
        <w:tabs>
          <w:tab w:leader="none" w:pos="25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thereof in its entirety with the following: “(3) [RESERVED]; and”</w:t>
      </w:r>
    </w:p>
    <w:p>
      <w:pPr>
        <w:spacing w:after="0" w:line="29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SUPPLEMENTAL INDENTURES</w:t>
      </w:r>
    </w:p>
    <w:p>
      <w:pPr>
        <w:spacing w:after="0" w:line="211"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Section 5.01. Except as may be provided in a Future Supplemental Indenture, for the benefit of the Holders of the Notes but no other series of Securities under the Indenture, whether now or hereafter issued and Outstanding, Section 901 of the Base Indenture shall be amended by replacing clause (6) thereof in its entirety with the following:</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“(6) to secure the Securities pursuant to the requirements of Section 801 or otherwise; or”</w:t>
      </w:r>
    </w:p>
    <w:p>
      <w:pPr>
        <w:spacing w:after="0" w:line="200" w:lineRule="exact"/>
        <w:rPr>
          <w:sz w:val="20"/>
          <w:szCs w:val="20"/>
          <w:color w:val="auto"/>
        </w:rPr>
      </w:pPr>
    </w:p>
    <w:p>
      <w:pPr>
        <w:spacing w:after="0" w:line="241"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Section 6.01. Except as may be provided in a Future Supplemental Indenture, for the benefit of the Holders of the Notes but no other series of Securities under the Indenture, whether now or hereafter issued and Outstanding, Article Ten of the Base Indenture shall be amended by replacing Section 1006 thereof in its entirety with the following:</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1006. [RESERVED]</w:t>
      </w:r>
      <w:r>
        <w:rPr>
          <w:rFonts w:ascii="Arial" w:cs="Arial" w:eastAsia="Arial" w:hAnsi="Arial"/>
          <w:sz w:val="18"/>
          <w:szCs w:val="18"/>
          <w:color w:val="auto"/>
        </w:rPr>
        <w:t>”</w:t>
      </w:r>
    </w:p>
    <w:p>
      <w:pPr>
        <w:spacing w:after="0" w:line="121"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Section 6.02. Except as may be provided in a Future Supplemental Indenture, for the benefit of the Holders of the Notes but no other series of Securities under the Indenture, whether now or hereafter issued and Outstanding, Article Ten of the Base Indenture shall be amended by replacing Section 1007 thereof in its entirety with the following:</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1007. Waiver of Certain Covenants.</w:t>
      </w:r>
    </w:p>
    <w:p>
      <w:pPr>
        <w:spacing w:after="0" w:line="12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The Company may omit in any particular instance to comply with any covenant or condition, as specified pursuant to Section 301(15), for Securities of any series, in any covenants of the Company added to Article Ten pursuant to Section 301(14) or Section 301(15) in connection with the Securities of a series, if before or after the time for such compliance the Holders of at least a majority in 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164" w:lineRule="exact"/>
        <w:rPr>
          <w:sz w:val="20"/>
          <w:szCs w:val="20"/>
          <w:color w:val="auto"/>
        </w:rPr>
      </w:pPr>
    </w:p>
    <w:p>
      <w:pPr>
        <w:jc w:val="both"/>
        <w:ind w:left="4" w:right="40"/>
        <w:spacing w:after="0" w:line="263" w:lineRule="auto"/>
        <w:rPr>
          <w:sz w:val="20"/>
          <w:szCs w:val="20"/>
          <w:color w:val="auto"/>
        </w:rPr>
      </w:pPr>
      <w:r>
        <w:rPr>
          <w:rFonts w:ascii="Arial" w:cs="Arial" w:eastAsia="Arial" w:hAnsi="Arial"/>
          <w:sz w:val="18"/>
          <w:szCs w:val="18"/>
          <w:color w:val="auto"/>
        </w:rPr>
        <w:t>Section 6.03. Except as may be provided in a Future Supplemental Indenture, for the benefit of the Holders of the Notes but no other series of Securities under the Indenture, whether now or hereafter issued and Outstanding, Article Ten of the Base Indenture shall be amended by adding the following new Sections 1008, 1009, 1010 and 1011 thereto, each as set forth below:</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1008. Section 18(a)(1)(A) of the Investment Company Act.</w:t>
      </w:r>
    </w:p>
    <w:p>
      <w:pPr>
        <w:spacing w:after="0" w:line="121"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The Company hereby agrees that for the period of time during which Notes are Outstanding, the Company will not violate, whether or not it is subject to, Section 18(a)(1)(A) of the Investment Company Act as modified by Section 61(a)(1) and (2) of the Investment Company Act, each as in effect from time to time or any successor provisions thereto of the Investment Company Act, as such obligations may be amended or superseded, giving effect to any exemptive relief granted to the Company by the Commission.”</w:t>
      </w:r>
    </w:p>
    <w:p>
      <w:pPr>
        <w:sectPr>
          <w:pgSz w:w="11900" w:h="16838" w:orient="portrait"/>
          <w:cols w:equalWidth="0" w:num="1">
            <w:col w:w="11004"/>
          </w:cols>
          <w:pgMar w:left="436" w:top="274" w:right="459" w:bottom="1440" w:gutter="0" w:footer="0" w:header="0"/>
        </w:sectPr>
      </w:pP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004"/>
          </w:cols>
          <w:pgMar w:left="436" w:top="274" w:right="4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Section 1009. Commission Reports and Reports to Holders.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at any time, the Company is not subject to the reporting requirements of Sections 13 or 15(d) of the Securities Exchange Act of 1934, as amended, to file any periodic reports with the Commission, the Company agrees to publish on its website and to furnish to the Holders of Notes and the Trustee for the period of time during which the Notes are Outstanding: (i) within 90 days after the end of the each fiscal year of the Company,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GAAP.”</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1010. Listing of the Notes.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agrees to use its best efforts to (i) effect, within 30 days of issuance and delivery of the Notes, the listing of the Notes on the Nasdaq Global Select Market and (ii) maintain the listing of the Notes on the Nasdaq Global Select Market.”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1011. Certificated Notes.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 xml:space="preserve">The Notes shall be eligible for the Direct Registration System service offered by DTC and may be represented in the form of uncertificated or certificated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holder of certificated Notes and, upon request, every holder of uncertificated Notes shall be entitled to have a certificate for Notes signed by, or in the name of,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DEFEASANCE AND COVENANT DEFEASANCE</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Section 7.01. Except as may be provided in a Future Supplemental Indenture, for the benefit of the Holders of the Notes but no other series of Securities under the Indenture, whether now or hereafter issued and Outstanding, Article Fourteen of the Base Indenture shall be amended by replacing Section 1403 thereof in its entirety with the following: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1403. Covenant Defeasance.</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Upon the Company’s exercise of the above option applicable to this Section with respect to any Securities of or within a series, if specified pursuant to Section 301, its obligations under any other covenant,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such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501(7) or otherwise, as the case may be, but, except as specified above, the remainder of this Indenture and such Securities and any coupons appertaining thereto shall be unaffected thereby. Following a covenant defeasance, payment of such Securities may not be accelerated because of an Event of Default solely by reference to such Sections specified above in this Section 1503.”</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Section 8.01. This Third Supplemental Indenture and the Notes shall be governed by and construed in accordance with the laws of the State of New York. This Third Supplemental Indenture is subject to the provisions of the Trust Indenture Act of 1939, as amended, that are required to be part of the Indenture and shall, to the extent applicable, be governed by such provisions.</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Section 8.02. In case any provision in this Third Supplemental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Section 8.03. This Third Supplemental Indenture may be executed in any number of counterparts, each of which so executed shall be deemed to be an original, but all such counterparts shall together constitute but one and the same Third Supplemental Indenture. The exchange of copies of this Third Supplemental Indenture and of signature pages by facsimile, .pdf transmission, email or other electronic means shall constitute effective execution and delivery of this Third Supplemental Indenture for all purposes. Signatures of the parties hereto transmitted by facsimile, .pdf transmission, email or other electronic means shall be deemed to be their original signatures for all purposes.</w:t>
      </w:r>
    </w:p>
    <w:p>
      <w:pPr>
        <w:spacing w:after="0" w:line="17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Section 8.04. The Base Indenture, as supplemented and amended by this Third Supplemental Indenture, is in all respects ratified and confirmed, and the Base Indenture and this Third Supplemental Indenture shall be read, taken and construed as one and the same instrument with respect to the Notes. All provisions included in this Third Supplemental Indenture supersede any conflicting provisions included in the Base Indenture with respect to the Notes, unless not permitted by law. The Trustee accepts the trusts created by the Indenture, as supplemented by this Third Supplemental Indenture, and agrees to perform the same upon the terms and conditions of the Base Indenture, as supplemented by this Third Supplemental Indenture.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Section 8.05. The provisions of this Third Supplemental Indenture shall become effective as of the date hereof.</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Section 8.06. Notwithstanding anything else to the contrary herein, the terms and provisions of this Third Supplemental Indenture shall apply only to the Notes and shall not apply to any other series of Securities under the Indenture and this Third Supplemental Indenture shall not and does not otherwise affect, modify, alter, supplement or change the terms and provisions of any other series of Securities under the Indenture, whether now or hereafter issued and Outstanding.</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Section 8.07. The recitals contained herein and in the Notes, except the Trustee’s certificate of authentication, shall be taken as the statements of the Company, and the Trustee assumes no responsibility for their correctness. The Trustee makes no representations as to the validity or sufficiency of this Third Supplemental Indenture, the Notes or any Additional Notes, except that the Trustee represents that it is duly authorized to execute and deliver this Third Supplemental Indenture, authenticate the Notes and any Additional Notes and perform its obligations hereunder. The Trustee shall not be accountable for the use or application by the Company of the Notes or any Additional Notes or the proceeds thereof.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Third Supplemental Indenture to be duly executed as of the date first above written.</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PENNANTPARK INVESTMENT CORPORATION</w:t>
      </w:r>
    </w:p>
    <w:p>
      <w:pPr>
        <w:spacing w:after="0" w:line="237"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AMERICAN STOCK TRANSFER &amp; TRUST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LLC, as Trustee</w:t>
      </w:r>
    </w:p>
    <w:p>
      <w:pPr>
        <w:spacing w:after="0" w:line="224"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Paul H.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Assistant General Counsel</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Supplemental Indenture</w:t>
      </w:r>
      <w:r>
        <w:rPr>
          <w:rFonts w:ascii="Arial" w:cs="Arial" w:eastAsia="Arial" w:hAnsi="Arial"/>
          <w:sz w:val="18"/>
          <w:szCs w:val="18"/>
          <w:color w:val="auto"/>
        </w:rPr>
        <w:t>]</w:t>
      </w:r>
    </w:p>
    <w:p>
      <w:pPr>
        <w:sectPr>
          <w:pgSz w:w="11900" w:h="16838" w:orient="portrait"/>
          <w:cols w:equalWidth="0" w:num="1">
            <w:col w:w="10540"/>
          </w:cols>
          <w:pgMar w:left="440" w:top="274" w:right="9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GLOBAL NOTE]</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SECURITY IS A GLOBAL NOTE WITHIN THE MEANING OF THE INDENTURE HEREINAFTER DEFINED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TO THE COMPANY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ectPr>
          <w:pgSz w:w="11900" w:h="16838" w:orient="portrait"/>
          <w:cols w:equalWidth="0" w:num="1">
            <w:col w:w="11020"/>
          </w:cols>
          <w:pgMar w:left="440" w:top="270"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CUSIP No. 708062 401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ISIN No. US7080624015</w:t>
      </w:r>
    </w:p>
    <w:p>
      <w:pPr>
        <w:spacing w:after="0" w:line="200" w:lineRule="exact"/>
        <w:rPr>
          <w:sz w:val="20"/>
          <w:szCs w:val="20"/>
          <w:color w:val="auto"/>
        </w:rPr>
      </w:pPr>
    </w:p>
    <w:p>
      <w:pPr>
        <w:sectPr>
          <w:pgSz w:w="11900" w:h="16838" w:orient="portrait"/>
          <w:cols w:equalWidth="0" w:num="2">
            <w:col w:w="8180" w:space="720"/>
            <w:col w:w="2120"/>
          </w:cols>
          <w:pgMar w:left="440" w:top="270" w:right="439" w:bottom="144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5.50% Notes due 2024</w:t>
      </w:r>
    </w:p>
    <w:p>
      <w:pPr>
        <w:sectPr>
          <w:pgSz w:w="11900" w:h="16838" w:orient="portrait"/>
          <w:cols w:equalWidth="0" w:num="1">
            <w:col w:w="11020"/>
          </w:cols>
          <w:pgMar w:left="440" w:top="270" w:right="439" w:bottom="1440" w:gutter="0" w:footer="0" w:header="0"/>
          <w:type w:val="continuous"/>
        </w:sectPr>
      </w:pPr>
    </w:p>
    <w:p>
      <w:pPr>
        <w:spacing w:after="0" w:line="24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PennantPark Investment Corporation, a corporation duly organized and existing under the laws of the State of Maryland (herein called the “Company”, which term includes any successor Person under the Indenture hereinafter referred to), for value received, hereby promises to pay to Cede &amp; Co., or</w:t>
      </w:r>
    </w:p>
    <w:p>
      <w:pPr>
        <w:ind w:right="40"/>
        <w:spacing w:after="0" w:line="284" w:lineRule="auto"/>
        <w:rPr>
          <w:sz w:val="20"/>
          <w:szCs w:val="20"/>
          <w:color w:val="auto"/>
        </w:rPr>
      </w:pPr>
      <w:r>
        <w:rPr>
          <w:rFonts w:ascii="Arial" w:cs="Arial" w:eastAsia="Arial" w:hAnsi="Arial"/>
          <w:sz w:val="16"/>
          <w:szCs w:val="16"/>
          <w:color w:val="auto"/>
        </w:rPr>
        <w:t>registered assigns, the principal sum of (U.S. $ ) on October 15, 2024, and to pay interest thereon from September 27, 2019 or from the most recent Interest Payment Date to which interest has been paid or duly provided for, quarterly on January 15, April 15, July 15 and October 15 of each year, commencing January 15, 2020 (</w:t>
      </w:r>
      <w:r>
        <w:rPr>
          <w:rFonts w:ascii="Arial" w:cs="Arial" w:eastAsia="Arial" w:hAnsi="Arial"/>
          <w:sz w:val="16"/>
          <w:szCs w:val="16"/>
          <w:i w:val="1"/>
          <w:iCs w:val="1"/>
          <w:color w:val="auto"/>
        </w:rPr>
        <w:t>provided</w:t>
      </w:r>
      <w:r>
        <w:rPr>
          <w:rFonts w:ascii="Arial" w:cs="Arial" w:eastAsia="Arial" w:hAnsi="Arial"/>
          <w:sz w:val="16"/>
          <w:szCs w:val="16"/>
          <w:color w:val="auto"/>
        </w:rPr>
        <w:t>, that if an Interest Payment Date falls on a day that is not a Business Day in The City of New York, then the applicable interest payment shall be made on the next succeeding Business Day and no additional interest shall accrue as a result of such delayed payment), at the rate of 5.50% per annum, until the principal hereof is paid or made available for payment. The interest so payable, and punctually paid or duly provided for, on any Interest Payment Date shall, as provided in such Indenture, be paid to the Person in whose name this Security is registered at the close of business on the Regular Record Date for such interest, which shall be January 3, April 3, July 3 and October 3 of each year, commencing January 3, 2020 (</w:t>
      </w:r>
      <w:r>
        <w:rPr>
          <w:rFonts w:ascii="Arial" w:cs="Arial" w:eastAsia="Arial" w:hAnsi="Arial"/>
          <w:sz w:val="16"/>
          <w:szCs w:val="16"/>
          <w:i w:val="1"/>
          <w:iCs w:val="1"/>
          <w:color w:val="auto"/>
        </w:rPr>
        <w:t>provided</w:t>
      </w:r>
      <w:r>
        <w:rPr>
          <w:rFonts w:ascii="Arial" w:cs="Arial" w:eastAsia="Arial" w:hAnsi="Arial"/>
          <w:sz w:val="16"/>
          <w:szCs w:val="16"/>
          <w:color w:val="auto"/>
        </w:rPr>
        <w:t>, that if a Regular Record Date falls on a day that is not a Business Day in The City of New York, then that Regular Record Date shall be the next succeeding Business Day), as the case may be, next preceding such Interest Payment Date. Any such interest not so punctually paid or duly provided for shall forthwith cease to be payable to the Holder on such Regular Record Date and may either be paid to the Person in whose name this Security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spacing w:after="0" w:line="17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Payment of the principal of (and premium, if any) and any such interest on this Security shall be made at the Corporate Trust Office of the Trustee in New York, New York in such coin or currency of the United States of America as at the time of payment is legal tender for payment of public and private debts;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the option of the Company payment of interest may be made by check mailed to the address of the Person entitled thereto as such address shall appear in the Security Register.</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type w:val="continuous"/>
        </w:sectPr>
      </w:pPr>
    </w:p>
    <w:bookmarkStart w:id="51" w:name="page52"/>
    <w:bookmarkEnd w:id="51"/>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40" w:top="274" w:right="47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instrument to be duly executed by the undersigned officer.</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PENNANTPARK INVESTMENT CORPORATION</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420"/>
          </w:cols>
          <w:pgMar w:left="440" w:top="274" w:right="10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AMERICAN STOCK TRANSFER &amp; TRUST COMPANY,</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 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20"/>
          </w:cols>
          <w:pgMar w:left="440" w:top="274" w:right="5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PennantPark Investment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5.50% Notes due 2024</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 Indenture, dated as of January 22, 2013 (herein called the “Base Indenture”), between the Company and American Stock Transfer &amp; Trust Company, LLC,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Third Supplemental Indenture, dated as of September 27, 2019 (the “Third Supplemental Indenture” and, together with the Base Indenture, herein called the “Indenture”). In the event of any conflict between the Base Indenture and the Third Supplemental Indenture, the Third Supplemental Indenture shall govern and control.</w:t>
      </w:r>
    </w:p>
    <w:p>
      <w:pPr>
        <w:spacing w:after="0" w:line="19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Security is one of the series designated on the face hereof, initially limited in aggregate principal amount to $ . Under a Board Resolution, an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and other terms as the Securities. Any Additional Securities and the existing Securities shall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6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Securities of this series are subject to redemption in whole or in part at any time or from time to time, at the option of the Company, on or after October 15, 2021, at a redemption price of $25 per security plus accrued and unpaid interest payments otherwise payable for the then-current quarterly interest period accrued to the date fixed for redemption.</w:t>
      </w:r>
    </w:p>
    <w:p>
      <w:pPr>
        <w:spacing w:after="0" w:line="184"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Notice of redemption shall be given in writing and mailed, first-class postage prepaid or by overnight courier guaranteeing next-day delivery, to each Holder of the Securities to be redeemed, not less than thirty (30) nor more than sixty (60) days prior to the Redemption Date, at the Holder’s address appearing in the Security Register. All notices of redemption shall contain the information set forth in Section 1104 of the Base Indenture.</w:t>
      </w:r>
    </w:p>
    <w:p>
      <w:pPr>
        <w:spacing w:after="0" w:line="1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exercise of the Company’s option to redeem the Securities shall be done in compliance with the Investment Company Act of 1940, as amended, and the rules, regulations and interpretations promulgated thereunder, to the extent applicable, and any statute successor thereto (the “Investment Company Act”).</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the Company elects to redeem only a portion of the Securities, the Trustee shall determine the method for selecting the particular Securities to be redeemed, in accordance with the Investment Company Act, and the rules and regulations promulgated thereunder, to the extent applicable. In the event of redemption of this Security in part only, a new Security or Securities of this series and of like tenor for the unredeemed portion hereof shall be issued in the name of the Holder hereof upon the cancellation hereof.</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shall cease to accrue on the Securities called for redemption.</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Holders of Securities do not have the option to have the Securities repaid prior to October 15, 2024.</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70" w:right="459" w:bottom="1440" w:gutter="0" w:footer="0" w:header="0"/>
        </w:sectPr>
      </w:pPr>
    </w:p>
    <w:bookmarkStart w:id="55" w:name="page56"/>
    <w:bookmarkEnd w:id="55"/>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6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(1) such Holder shall have previously given the Trustee written notice of a continuing Event of Default with respect to the Securities of this series, (2) the Holders of not less than 25% in principal amount of the Securities of this series at the time Outstanding shall have made written request to the Trustee to institute proceedings in respect of such Event of Default as Trustee, (3) such Holder offered the Trustee indemnity satisfactory to the Trustee against the costs, expenses and liabilities to be incurred in compliance with such request, (4) for sixty (60) days after receipt of such notice, request and offer of indemnity, the Trustee shall have failed to institute any such proceeding, and (5) the Trustee shall not have received from the Holders of a majority in principal amount of Securities of this series at the time Outstanding a direction inconsistent with such request.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shall be issued to the designated transferee or transferees.</w:t>
      </w:r>
    </w:p>
    <w:p>
      <w:pPr>
        <w:spacing w:after="0" w:line="16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Securities of this series are issuable only in registered form without coupons in denominations of $25 and any integral multiples of $25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or Trustee may require payment of a sum sufficient to cover any tax or other governmental charge payable in connection therewith.</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this Security shall be governed by and construed in accordance with the laws of the State of New York.</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00"/>
          </w:cols>
          <w:pgMar w:left="440" w:top="274" w:right="4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One International Place, 40th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-121920</wp:posOffset>
            </wp:positionV>
            <wp:extent cx="1080135" cy="394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80135" cy="39433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100 Oliver Street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Boston, MA 02110-2605</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+1 617 728 7100 Main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+1 617 426 6567 Fax</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www.dechert.com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11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N-2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have acted as counsel to PennantPark Investment Corporation,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of a registration statement on Form N-2 (Registration No. 333-230014) as originally filed on March 1, 2019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under the Investment Company Act of 1940, as amended (the “</w:t>
      </w:r>
      <w:r>
        <w:rPr>
          <w:rFonts w:ascii="Arial" w:cs="Arial" w:eastAsia="Arial" w:hAnsi="Arial"/>
          <w:sz w:val="16"/>
          <w:szCs w:val="16"/>
          <w:u w:val="single" w:color="auto"/>
          <w:color w:val="auto"/>
        </w:rPr>
        <w:t>Investment Company Act</w:t>
      </w:r>
      <w:r>
        <w:rPr>
          <w:rFonts w:ascii="Arial" w:cs="Arial" w:eastAsia="Arial" w:hAnsi="Arial"/>
          <w:sz w:val="16"/>
          <w:szCs w:val="16"/>
          <w:color w:val="auto"/>
        </w:rPr>
        <w:t>”), and as subsequently amended on April 12, 2019 (the registration statement at the time when it became effective on April 29, 2019, including the prospectus and the information deemed to be part thereof at the time of effectiveness, the exhibits thereto and the documents incorporated by reference therein, being hereinafter referred to collectively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 final prospectus supplement, dated September 24, 2019 (including the base prospectus filed therewith,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filed with the Commission on September 25, 2019 pursuant to Rule 497 under the Securities Act, relating to the proposed issuance by the Company of $86,250,000 aggregate principal amount of 5.50% unsecured notes due 2024 (the “</w:t>
      </w:r>
      <w:r>
        <w:rPr>
          <w:rFonts w:ascii="Arial" w:cs="Arial" w:eastAsia="Arial" w:hAnsi="Arial"/>
          <w:sz w:val="16"/>
          <w:szCs w:val="16"/>
          <w:u w:val="single" w:color="auto"/>
          <w:color w:val="auto"/>
        </w:rPr>
        <w:t>Notes</w:t>
      </w:r>
      <w:r>
        <w:rPr>
          <w:rFonts w:ascii="Arial" w:cs="Arial" w:eastAsia="Arial" w:hAnsi="Arial"/>
          <w:sz w:val="16"/>
          <w:szCs w:val="16"/>
          <w:color w:val="auto"/>
        </w:rPr>
        <w:t>”), including up to $11,250,000 aggregate principal amount of Notes that may be sold pursuant to the underwriters’ over-allotment option, to be sold to underwriters pursuant to an underwriting agreement substantially in the form filed as Exhibit 1.1 to the Company’s Current Report on Form 8-K filed with the Commission on September 27, 2019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This opinion letter is being furnished to the Company in accordance with the requirements of Item 25 of Form N-2 under the Investment Company Act, and we express no opinion herein as to any matter other than as to the legality of the Indenture (as defined below) and the Notes.</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Notes are to be issued pursuant to the indenture dated as of January 22, 2013 (the “</w:t>
      </w:r>
      <w:r>
        <w:rPr>
          <w:rFonts w:ascii="Arial" w:cs="Arial" w:eastAsia="Arial" w:hAnsi="Arial"/>
          <w:sz w:val="17"/>
          <w:szCs w:val="17"/>
          <w:u w:val="single" w:color="auto"/>
          <w:color w:val="auto"/>
        </w:rPr>
        <w:t>Base Indenture</w:t>
      </w:r>
      <w:r>
        <w:rPr>
          <w:rFonts w:ascii="Arial" w:cs="Arial" w:eastAsia="Arial" w:hAnsi="Arial"/>
          <w:sz w:val="17"/>
          <w:szCs w:val="17"/>
          <w:color w:val="auto"/>
        </w:rPr>
        <w:t>”), between the Company and American Stock Transfer &amp; Trust Company, LLC,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as supplemented by the third supplemental indenture dated as of September 27, 2019 (together with the Base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between the Company and the Trustee.</w:t>
      </w:r>
    </w:p>
    <w:p>
      <w:pPr>
        <w:sectPr>
          <w:pgSz w:w="11900" w:h="16838" w:orient="portrait"/>
          <w:cols w:equalWidth="0" w:num="1">
            <w:col w:w="10260"/>
          </w:cols>
          <w:pgMar w:left="1200" w:top="121" w:right="439" w:bottom="1440" w:gutter="0" w:footer="0" w:header="0"/>
        </w:sectPr>
      </w:pPr>
    </w:p>
    <w:bookmarkStart w:id="57" w:name="page58"/>
    <w:bookmarkEnd w:id="57"/>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September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-121920</wp:posOffset>
            </wp:positionV>
            <wp:extent cx="1080135" cy="394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80135" cy="39433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Page 2</w:t>
      </w:r>
    </w:p>
    <w:p>
      <w:pPr>
        <w:spacing w:after="0" w:line="33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rendering the opinions set forth below, including the following documents:</w:t>
      </w:r>
    </w:p>
    <w:p>
      <w:pPr>
        <w:spacing w:after="0" w:line="77" w:lineRule="exact"/>
        <w:rPr>
          <w:sz w:val="20"/>
          <w:szCs w:val="20"/>
          <w:color w:val="auto"/>
        </w:rPr>
      </w:pPr>
    </w:p>
    <w:p>
      <w:pPr>
        <w:ind w:left="1200" w:hanging="533"/>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1200" w:hanging="533"/>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Prospectus Supplement;</w:t>
      </w:r>
    </w:p>
    <w:p>
      <w:pPr>
        <w:spacing w:after="0" w:line="130" w:lineRule="exact"/>
        <w:rPr>
          <w:rFonts w:ascii="Arial" w:cs="Arial" w:eastAsia="Arial" w:hAnsi="Arial"/>
          <w:sz w:val="18"/>
          <w:szCs w:val="18"/>
          <w:color w:val="auto"/>
        </w:rPr>
      </w:pPr>
    </w:p>
    <w:p>
      <w:pPr>
        <w:ind w:left="1200" w:hanging="533"/>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130" w:lineRule="exact"/>
        <w:rPr>
          <w:rFonts w:ascii="Arial" w:cs="Arial" w:eastAsia="Arial" w:hAnsi="Arial"/>
          <w:sz w:val="18"/>
          <w:szCs w:val="18"/>
          <w:color w:val="auto"/>
        </w:rPr>
      </w:pPr>
    </w:p>
    <w:p>
      <w:pPr>
        <w:ind w:left="1200" w:hanging="533"/>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Indenture;</w:t>
      </w:r>
    </w:p>
    <w:p>
      <w:pPr>
        <w:spacing w:after="0" w:line="130" w:lineRule="exact"/>
        <w:rPr>
          <w:rFonts w:ascii="Arial" w:cs="Arial" w:eastAsia="Arial" w:hAnsi="Arial"/>
          <w:sz w:val="18"/>
          <w:szCs w:val="18"/>
          <w:color w:val="auto"/>
        </w:rPr>
      </w:pPr>
    </w:p>
    <w:p>
      <w:pPr>
        <w:ind w:left="1200" w:hanging="533"/>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specimen copy of the form of the Notes to be issued pursuant to the Indenture;</w:t>
      </w:r>
    </w:p>
    <w:p>
      <w:pPr>
        <w:spacing w:after="0" w:line="130" w:lineRule="exact"/>
        <w:rPr>
          <w:rFonts w:ascii="Arial" w:cs="Arial" w:eastAsia="Arial" w:hAnsi="Arial"/>
          <w:sz w:val="18"/>
          <w:szCs w:val="18"/>
          <w:color w:val="auto"/>
        </w:rPr>
      </w:pPr>
    </w:p>
    <w:p>
      <w:pPr>
        <w:ind w:left="1200" w:hanging="533"/>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Articles of Amendment and Restatement of the Company, as amended;</w:t>
      </w:r>
    </w:p>
    <w:p>
      <w:pPr>
        <w:spacing w:after="0" w:line="130" w:lineRule="exact"/>
        <w:rPr>
          <w:rFonts w:ascii="Arial" w:cs="Arial" w:eastAsia="Arial" w:hAnsi="Arial"/>
          <w:sz w:val="18"/>
          <w:szCs w:val="18"/>
          <w:color w:val="auto"/>
        </w:rPr>
      </w:pPr>
    </w:p>
    <w:p>
      <w:pPr>
        <w:ind w:left="1200" w:hanging="533"/>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Amended and Restated Bylaws of the Company;</w:t>
      </w:r>
    </w:p>
    <w:p>
      <w:pPr>
        <w:spacing w:after="0" w:line="130" w:lineRule="exact"/>
        <w:rPr>
          <w:rFonts w:ascii="Arial" w:cs="Arial" w:eastAsia="Arial" w:hAnsi="Arial"/>
          <w:sz w:val="18"/>
          <w:szCs w:val="18"/>
          <w:color w:val="auto"/>
        </w:rPr>
      </w:pPr>
    </w:p>
    <w:p>
      <w:pPr>
        <w:ind w:left="1200" w:right="160" w:hanging="533"/>
        <w:spacing w:after="0" w:line="277" w:lineRule="auto"/>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certificate of good standing with respect to the Company issued by the Secretary of State of the State of Delaware as of a recent date; and</w:t>
      </w:r>
    </w:p>
    <w:p>
      <w:pPr>
        <w:spacing w:after="0" w:line="75" w:lineRule="exact"/>
        <w:rPr>
          <w:rFonts w:ascii="Arial" w:cs="Arial" w:eastAsia="Arial" w:hAnsi="Arial"/>
          <w:sz w:val="18"/>
          <w:szCs w:val="18"/>
          <w:color w:val="auto"/>
        </w:rPr>
      </w:pPr>
    </w:p>
    <w:p>
      <w:pPr>
        <w:ind w:left="1200" w:right="20" w:hanging="533"/>
        <w:spacing w:after="0" w:line="277" w:lineRule="auto"/>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resolutions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resolutions approved by the pricing committee of the Board relating to, among other things, the authorization and issuance of the Notes.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to the facts upon which this opinion is based, we have relied, to the extent we deem proper, upon certificates of public officials and certificates and written statements of agents, officers, directors, employees and representatives of the Company without having independently verified such factual matters.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our examination, we have assumed the genuineness of all signatures, the authenticity of all documents submitted to us as original documents and the conformity to original documents of all documents submitted to us as copies. In addition, we have assumed (i) the legal capacity of natural persons who are signatories to the documents examined by us and (ii) the legal power and authority of all persons signing on behalf of the parties to such documents (other than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subject to the assumptions and qualifications set forth in this letter, we are of the opinion that:</w:t>
      </w:r>
    </w:p>
    <w:p>
      <w:pPr>
        <w:spacing w:after="0" w:line="131" w:lineRule="exact"/>
        <w:rPr>
          <w:sz w:val="20"/>
          <w:szCs w:val="20"/>
          <w:color w:val="auto"/>
        </w:rPr>
      </w:pPr>
    </w:p>
    <w:p>
      <w:pPr>
        <w:ind w:left="1640" w:right="520" w:hanging="433"/>
        <w:spacing w:after="0" w:line="277" w:lineRule="auto"/>
        <w:tabs>
          <w:tab w:leader="none" w:pos="1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Base Indenture constitutes the valid and legally binding obligation of the Company, enforceable against the Company in accordance with its terms.</w:t>
      </w:r>
    </w:p>
    <w:p>
      <w:pPr>
        <w:sectPr>
          <w:pgSz w:w="11900" w:h="16838" w:orient="portrait"/>
          <w:cols w:equalWidth="0" w:num="1">
            <w:col w:w="10200"/>
          </w:cols>
          <w:pgMar w:left="1200" w:top="274" w:right="499" w:bottom="1440" w:gutter="0" w:footer="0" w:header="0"/>
        </w:sectPr>
      </w:pPr>
    </w:p>
    <w:bookmarkStart w:id="58" w:name="page59"/>
    <w:bookmarkEnd w:id="58"/>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September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-121920</wp:posOffset>
            </wp:positionV>
            <wp:extent cx="1080135" cy="394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80135" cy="39433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Page 3</w:t>
      </w:r>
    </w:p>
    <w:p>
      <w:pPr>
        <w:spacing w:after="0" w:line="332" w:lineRule="exact"/>
        <w:rPr>
          <w:sz w:val="20"/>
          <w:szCs w:val="20"/>
          <w:color w:val="auto"/>
        </w:rPr>
      </w:pPr>
    </w:p>
    <w:p>
      <w:pPr>
        <w:ind w:left="1640" w:hanging="433"/>
        <w:spacing w:after="0" w:line="263" w:lineRule="auto"/>
        <w:tabs>
          <w:tab w:leader="none" w:pos="1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When the Third Supplemental Indenture is duly authorized, executed and delivered by the Company, the Third Supplemental Indenture will constitute the valid and legally binding obligation of the Company, enforceable against the Company in accordance with its terms.</w:t>
      </w:r>
    </w:p>
    <w:p>
      <w:pPr>
        <w:spacing w:after="0" w:line="89" w:lineRule="exact"/>
        <w:rPr>
          <w:rFonts w:ascii="Arial" w:cs="Arial" w:eastAsia="Arial" w:hAnsi="Arial"/>
          <w:sz w:val="18"/>
          <w:szCs w:val="18"/>
          <w:color w:val="auto"/>
        </w:rPr>
      </w:pPr>
    </w:p>
    <w:p>
      <w:pPr>
        <w:ind w:left="1640" w:right="220" w:hanging="433"/>
        <w:spacing w:after="0" w:line="259" w:lineRule="auto"/>
        <w:tabs>
          <w:tab w:leader="none" w:pos="1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When duly executed by the Company and authenticated by the Trustee in accordance with the terms of the Indenture and delivered to the underwriters against payment therefor in accordance with the terms of the Underwriting Agreement, the Notes will constitute the legal and binding obligations of the Company, enforceable against the Company in accordance with their terms.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opinions set forth herein are subject to the following assumptions, qualifications, limitations and exceptions being true and correct at or before the time of the Notes:</w:t>
      </w:r>
    </w:p>
    <w:p>
      <w:pPr>
        <w:spacing w:after="0" w:line="76" w:lineRule="exact"/>
        <w:rPr>
          <w:sz w:val="20"/>
          <w:szCs w:val="20"/>
          <w:color w:val="auto"/>
        </w:rPr>
      </w:pPr>
    </w:p>
    <w:p>
      <w:pPr>
        <w:ind w:left="440" w:hanging="435"/>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in good standing under the laws of the State of Maryland;</w:t>
      </w:r>
    </w:p>
    <w:p>
      <w:pPr>
        <w:spacing w:after="0" w:line="130" w:lineRule="exact"/>
        <w:rPr>
          <w:rFonts w:ascii="Arial" w:cs="Arial" w:eastAsia="Arial" w:hAnsi="Arial"/>
          <w:sz w:val="18"/>
          <w:szCs w:val="18"/>
          <w:color w:val="auto"/>
        </w:rPr>
      </w:pPr>
    </w:p>
    <w:p>
      <w:pPr>
        <w:ind w:left="440" w:hanging="435"/>
        <w:spacing w:after="0"/>
        <w:tabs>
          <w:tab w:leader="none" w:pos="4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Indenture and the Notes have been duly authorized, executed and delivered by each party thereto (other than the Company);</w:t>
      </w:r>
    </w:p>
    <w:p>
      <w:pPr>
        <w:spacing w:after="0" w:line="142" w:lineRule="exact"/>
        <w:rPr>
          <w:rFonts w:ascii="Arial" w:cs="Arial" w:eastAsia="Arial" w:hAnsi="Arial"/>
          <w:sz w:val="17"/>
          <w:szCs w:val="17"/>
          <w:color w:val="auto"/>
        </w:rPr>
      </w:pPr>
    </w:p>
    <w:p>
      <w:pPr>
        <w:ind w:left="440" w:hanging="435"/>
        <w:spacing w:after="0"/>
        <w:tabs>
          <w:tab w:leader="none" w:pos="4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final terms of the Notes have been duly established and approved by all necessary corporate action on the part of the Company;</w:t>
      </w:r>
    </w:p>
    <w:p>
      <w:pPr>
        <w:spacing w:after="0" w:line="153" w:lineRule="exact"/>
        <w:rPr>
          <w:rFonts w:ascii="Arial" w:cs="Arial" w:eastAsia="Arial" w:hAnsi="Arial"/>
          <w:sz w:val="16"/>
          <w:szCs w:val="16"/>
          <w:color w:val="auto"/>
        </w:rPr>
      </w:pPr>
    </w:p>
    <w:p>
      <w:pPr>
        <w:ind w:left="440" w:hanging="435"/>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terms of the Notes as established comply with the requirements of the Investment Company Act; and</w:t>
      </w:r>
    </w:p>
    <w:p>
      <w:pPr>
        <w:spacing w:after="0" w:line="130" w:lineRule="exact"/>
        <w:rPr>
          <w:rFonts w:ascii="Arial" w:cs="Arial" w:eastAsia="Arial" w:hAnsi="Arial"/>
          <w:sz w:val="18"/>
          <w:szCs w:val="18"/>
          <w:color w:val="auto"/>
        </w:rPr>
      </w:pPr>
    </w:p>
    <w:p>
      <w:pPr>
        <w:ind w:left="440" w:right="100" w:hanging="435"/>
        <w:spacing w:after="0" w:line="277" w:lineRule="auto"/>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Notes have been duly executed by the Company and authenticated by the Trustee in accordance with the Indenture and delivered to and paid for by the purchasers thereof.</w:t>
      </w:r>
    </w:p>
    <w:p>
      <w:pPr>
        <w:spacing w:after="0" w:line="17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 (iii) provisions of law which may require that a judgment for money damages rendered by a court in the United States be expressed only in U.S. dollars; (iv)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(v) governmental authority to limit, delay or prohibit the making of payments outside the United States or in foreign currency or composite currency.</w:t>
      </w:r>
    </w:p>
    <w:p>
      <w:pPr>
        <w:sectPr>
          <w:pgSz w:w="11900" w:h="16838" w:orient="portrait"/>
          <w:cols w:equalWidth="0" w:num="1">
            <w:col w:w="10260"/>
          </w:cols>
          <w:pgMar w:left="1200" w:top="274" w:right="439" w:bottom="1440" w:gutter="0" w:footer="0" w:header="0"/>
        </w:sectPr>
      </w:pPr>
    </w:p>
    <w:bookmarkStart w:id="59" w:name="page60"/>
    <w:bookmarkEnd w:id="59"/>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September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-121920</wp:posOffset>
            </wp:positionV>
            <wp:extent cx="1080135" cy="394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80135" cy="39433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Page 4</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We express no opinion as to the validity, legally binding effect or enforceability of any provision in any agreement or instrument that</w:t>
      </w:r>
    </w:p>
    <w:p>
      <w:pPr>
        <w:spacing w:after="0" w:line="35" w:lineRule="exact"/>
        <w:rPr>
          <w:sz w:val="20"/>
          <w:szCs w:val="20"/>
          <w:color w:val="auto"/>
        </w:rPr>
      </w:pPr>
    </w:p>
    <w:p>
      <w:pPr>
        <w:ind w:firstLine="7"/>
        <w:spacing w:after="0" w:line="255" w:lineRule="auto"/>
        <w:tabs>
          <w:tab w:leader="none" w:pos="2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opinions expressed herein are limited to the federal laws of the United States of America and the laws of the State of New York.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assume no obligation to advise you of any changes in the foregoing subsequent to the date of this opinion.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hereby consent to the filing of this opinion as an exhibit to the Company’s Current Report on Form 8-K filed with the Commission on September 27, 2019 and to the reference to this firm under the caption “Legal Matters” in the Registration Statement and the Prospectus Supplement. In giving such consent, we do not thereby admit that we are in the category of persons whose consent is required under Section 7 of the Securities Act or the rules and regulations of the Commission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Dechert LLP</w:t>
      </w:r>
    </w:p>
    <w:p>
      <w:pPr>
        <w:sectPr>
          <w:pgSz w:w="11900" w:h="16838" w:orient="portrait"/>
          <w:cols w:equalWidth="0" w:num="1">
            <w:col w:w="10240"/>
          </w:cols>
          <w:pgMar w:left="1200" w:top="274" w:right="4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5332095" cy="548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320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p>
      <w:pPr>
        <w:ind w:left="1120"/>
        <w:spacing w:after="0"/>
        <w:tabs>
          <w:tab w:leader="none" w:pos="15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Registration Statement on Form N-2:</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File No.: 333-230014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-19050</wp:posOffset>
            </wp:positionV>
            <wp:extent cx="16725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725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We have served as Maryland counsel to PennantPark Investment Corporation, a Maryland corporation (the “Company”) and a business development company under the Investment Company Act of 1940, as amended (the “1940 Act”), in connection with certain matters of Maryland law arising out of the registration by the Company of up to $86,250,000 aggregate principal amount of the Company’s 5.50% Notes due 2024 (the “Notes”), covered by the above-referenced Registration Statement, and all amendments thereto (the “Registration Statement”), filed by the Company with the United States Securities and Exchange Commission (the “Commission”) under the Securities Act of 1933, as amended (the “1933 Act”).</w:t>
      </w:r>
    </w:p>
    <w:p>
      <w:pPr>
        <w:spacing w:after="0" w:line="161" w:lineRule="exact"/>
        <w:rPr>
          <w:sz w:val="20"/>
          <w:szCs w:val="20"/>
          <w:color w:val="auto"/>
        </w:rPr>
      </w:pPr>
    </w:p>
    <w:p>
      <w:pPr>
        <w:ind w:right="140" w:firstLine="991"/>
        <w:spacing w:after="0" w:line="34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6" w:lineRule="exact"/>
        <w:rPr>
          <w:sz w:val="20"/>
          <w:szCs w:val="20"/>
          <w:color w:val="auto"/>
        </w:rPr>
      </w:pPr>
    </w:p>
    <w:p>
      <w:pPr>
        <w:ind w:right="140" w:firstLine="987"/>
        <w:spacing w:after="0" w:line="277" w:lineRule="auto"/>
        <w:tabs>
          <w:tab w:leader="none" w:pos="117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 substantially in the form in which it was transmitted to the Commission under the 1933 Act;</w:t>
      </w:r>
    </w:p>
    <w:p>
      <w:pPr>
        <w:spacing w:after="0" w:line="62" w:lineRule="exact"/>
        <w:rPr>
          <w:rFonts w:ascii="Arial" w:cs="Arial" w:eastAsia="Arial" w:hAnsi="Arial"/>
          <w:sz w:val="18"/>
          <w:szCs w:val="18"/>
          <w:color w:val="auto"/>
        </w:rPr>
      </w:pPr>
    </w:p>
    <w:p>
      <w:pPr>
        <w:ind w:right="240" w:firstLine="987"/>
        <w:spacing w:after="0" w:line="277" w:lineRule="auto"/>
        <w:tabs>
          <w:tab w:leader="none" w:pos="117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Prospectus Supplement, dated September 24, 2019, in the form filed by the Company with the Commission pursuant to Rule 497 under the 1933 Act;</w:t>
      </w:r>
    </w:p>
    <w:p>
      <w:pPr>
        <w:spacing w:after="0" w:line="62" w:lineRule="exact"/>
        <w:rPr>
          <w:rFonts w:ascii="Arial" w:cs="Arial" w:eastAsia="Arial" w:hAnsi="Arial"/>
          <w:sz w:val="18"/>
          <w:szCs w:val="18"/>
          <w:color w:val="auto"/>
        </w:rPr>
      </w:pPr>
    </w:p>
    <w:p>
      <w:pPr>
        <w:ind w:left="1160" w:hanging="173"/>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charter of the Company, certified by the State Department of Assessments and Taxation of Maryland (the “SDAT”);</w:t>
      </w:r>
    </w:p>
    <w:p>
      <w:pPr>
        <w:spacing w:after="0" w:line="117" w:lineRule="exact"/>
        <w:rPr>
          <w:rFonts w:ascii="Arial" w:cs="Arial" w:eastAsia="Arial" w:hAnsi="Arial"/>
          <w:sz w:val="18"/>
          <w:szCs w:val="18"/>
          <w:color w:val="auto"/>
        </w:rPr>
      </w:pPr>
    </w:p>
    <w:p>
      <w:pPr>
        <w:ind w:left="1160" w:hanging="173"/>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Bylaws of the Company, certified as of the date hereof by an officer of the Company;</w:t>
      </w:r>
    </w:p>
    <w:p>
      <w:pPr>
        <w:spacing w:after="0" w:line="117" w:lineRule="exact"/>
        <w:rPr>
          <w:rFonts w:ascii="Arial" w:cs="Arial" w:eastAsia="Arial" w:hAnsi="Arial"/>
          <w:sz w:val="18"/>
          <w:szCs w:val="18"/>
          <w:color w:val="auto"/>
        </w:rPr>
      </w:pPr>
    </w:p>
    <w:p>
      <w:pPr>
        <w:ind w:left="1160" w:hanging="173"/>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020"/>
          </w:cols>
          <w:pgMar w:left="440" w:top="121" w:right="4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995160" cy="43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437515"/>
                    </a:xfrm>
                    <a:prstGeom prst="rect">
                      <a:avLst/>
                    </a:prstGeom>
                    <a:noFill/>
                  </pic:spPr>
                </pic:pic>
              </a:graphicData>
            </a:graphic>
          </wp:anchor>
        </w:drawing>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 w:firstLine="987"/>
        <w:spacing w:after="0" w:line="263" w:lineRule="auto"/>
        <w:tabs>
          <w:tab w:leader="none" w:pos="11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of the Company, and a duly authorized committee thereof, relating to the authorization of the filing of the Registration Statement and the sale and issuance of the Notes, certified as of the date hereof by an officer of the Company;</w:t>
      </w:r>
    </w:p>
    <w:p>
      <w:pPr>
        <w:spacing w:after="0" w:line="75" w:lineRule="exact"/>
        <w:rPr>
          <w:rFonts w:ascii="Arial" w:cs="Arial" w:eastAsia="Arial" w:hAnsi="Arial"/>
          <w:sz w:val="18"/>
          <w:szCs w:val="18"/>
          <w:color w:val="auto"/>
        </w:rPr>
      </w:pPr>
    </w:p>
    <w:p>
      <w:pPr>
        <w:ind w:left="1160" w:hanging="173"/>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17" w:lineRule="exact"/>
        <w:rPr>
          <w:rFonts w:ascii="Arial" w:cs="Arial" w:eastAsia="Arial" w:hAnsi="Arial"/>
          <w:sz w:val="18"/>
          <w:szCs w:val="18"/>
          <w:color w:val="auto"/>
        </w:rPr>
      </w:pPr>
    </w:p>
    <w:p>
      <w:pPr>
        <w:ind w:right="320" w:firstLine="987"/>
        <w:spacing w:after="0" w:line="277" w:lineRule="auto"/>
        <w:tabs>
          <w:tab w:leader="none" w:pos="11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 Each individual executing any of the Documents, whether on behalf of such individual or any other person, is legally competent to do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w:t>
      </w:r>
    </w:p>
    <w:p>
      <w:pPr>
        <w:spacing w:after="0" w:line="103" w:lineRule="exact"/>
        <w:rPr>
          <w:sz w:val="20"/>
          <w:szCs w:val="20"/>
          <w:color w:val="auto"/>
        </w:rPr>
      </w:pPr>
    </w:p>
    <w:p>
      <w:pPr>
        <w:ind w:left="1160" w:hanging="173"/>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17" w:lineRule="exact"/>
        <w:rPr>
          <w:rFonts w:ascii="Arial" w:cs="Arial" w:eastAsia="Arial" w:hAnsi="Arial"/>
          <w:sz w:val="18"/>
          <w:szCs w:val="18"/>
          <w:color w:val="auto"/>
        </w:rPr>
      </w:pPr>
    </w:p>
    <w:p>
      <w:pPr>
        <w:ind w:right="180" w:firstLine="987"/>
        <w:spacing w:after="0" w:line="263" w:lineRule="auto"/>
        <w:tabs>
          <w:tab w:leader="none" w:pos="1171"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75" w:lineRule="exact"/>
        <w:rPr>
          <w:rFonts w:ascii="Arial" w:cs="Arial" w:eastAsia="Arial" w:hAnsi="Arial"/>
          <w:sz w:val="18"/>
          <w:szCs w:val="18"/>
          <w:color w:val="auto"/>
        </w:rPr>
      </w:pPr>
    </w:p>
    <w:p>
      <w:pPr>
        <w:ind w:firstLine="987"/>
        <w:spacing w:after="0" w:line="273" w:lineRule="auto"/>
        <w:tabs>
          <w:tab w:leader="none" w:pos="1171" w:val="left"/>
        </w:tabs>
        <w:numPr>
          <w:ilvl w:val="0"/>
          <w:numId w:val="71"/>
        </w:numPr>
        <w:rPr>
          <w:rFonts w:ascii="Arial" w:cs="Arial" w:eastAsia="Arial" w:hAnsi="Arial"/>
          <w:sz w:val="17"/>
          <w:szCs w:val="17"/>
          <w:color w:val="auto"/>
        </w:rPr>
      </w:pPr>
      <w:r>
        <w:rPr>
          <w:rFonts w:ascii="Arial" w:cs="Arial" w:eastAsia="Arial" w:hAnsi="Arial"/>
          <w:sz w:val="17"/>
          <w:szCs w:val="17"/>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17" w:lineRule="exact"/>
        <w:rPr>
          <w:sz w:val="20"/>
          <w:szCs w:val="20"/>
          <w:color w:val="auto"/>
        </w:rPr>
      </w:pPr>
    </w:p>
    <w:p>
      <w:pPr>
        <w:ind w:right="260" w:firstLine="987"/>
        <w:spacing w:after="0" w:line="277" w:lineRule="auto"/>
        <w:tabs>
          <w:tab w:leader="none" w:pos="11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ectPr>
          <w:pgSz w:w="11900" w:h="16838" w:orient="portrait"/>
          <w:cols w:equalWidth="0" w:num="1">
            <w:col w:w="11000"/>
          </w:cols>
          <w:pgMar w:left="440" w:top="1003"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995160" cy="43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437515"/>
                    </a:xfrm>
                    <a:prstGeom prst="rect">
                      <a:avLst/>
                    </a:prstGeom>
                    <a:noFill/>
                  </pic:spPr>
                </pic:pic>
              </a:graphicData>
            </a:graphic>
          </wp:anchor>
        </w:drawing>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60" w:firstLine="987"/>
        <w:spacing w:after="0" w:line="277" w:lineRule="auto"/>
        <w:tabs>
          <w:tab w:leader="none" w:pos="117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issuance of the Notes has been duly authorized and, when and if issued and delivered against payment therefor in accordance with the Resolutions, the Notes will be validly issued.</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The foregoing opinion is limited to the laws of the State of Maryland and we do not express any opinion herein concerning any other law. We express no opinion as to compliance with the 1940 Act or other federal securities laws, or state securities laws, including the securities laws of the State of Maryland. To the extent that any matter as to which our opinion is expressed herein would be governed by the laws of any jurisdiction other than the State of Maryland, we do not express any opinion on such matter.</w:t>
      </w:r>
    </w:p>
    <w:p>
      <w:pPr>
        <w:spacing w:after="0" w:line="18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4"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This opinion is being furnished to you for submission to the Commission as an exhibit to the Company’s Current Report on Form 8-K relating to the issuance of the Notes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Venable LLP</w:t>
      </w:r>
    </w:p>
    <w:sectPr>
      <w:pgSz w:w="11900" w:h="16838" w:orient="portrait"/>
      <w:cols w:equalWidth="0" w:num="1">
        <w:col w:w="10920"/>
      </w:cols>
      <w:pgMar w:left="440" w:top="100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decimal"/>
      <w:start w:val="1"/>
    </w:lvl>
  </w:abstractNum>
  <w:abstractNum w:abstractNumId="2">
    <w:nsid w:val="5C482A97"/>
    <w:multiLevelType w:val="hybridMultilevel"/>
    <w:lvl w:ilvl="0">
      <w:lvlJc w:val="left"/>
      <w:lvlText w:val="%1."/>
      <w:numFmt w:val="decimal"/>
      <w:start w:val="2"/>
    </w:lvl>
  </w:abstractNum>
  <w:abstractNum w:abstractNumId="3">
    <w:nsid w:val="2463B9EA"/>
    <w:multiLevelType w:val="hybridMultilevel"/>
    <w:lvl w:ilvl="0">
      <w:lvlJc w:val="left"/>
      <w:lvlText w:val="%1."/>
      <w:numFmt w:val="decimal"/>
      <w:start w:val="3"/>
    </w:lvl>
  </w:abstractNum>
  <w:abstractNum w:abstractNumId="4">
    <w:nsid w:val="5E884ADC"/>
    <w:multiLevelType w:val="hybridMultilevel"/>
    <w:lvl w:ilvl="0">
      <w:lvlJc w:val="left"/>
      <w:lvlText w:val="(%1)"/>
      <w:numFmt w:val="lowerLetter"/>
      <w:start w:val="1"/>
    </w:lvl>
  </w:abstractNum>
  <w:abstractNum w:abstractNumId="5">
    <w:nsid w:val="51EAD36B"/>
    <w:multiLevelType w:val="hybridMultilevel"/>
    <w:lvl w:ilvl="0">
      <w:lvlJc w:val="left"/>
      <w:lvlText w:val="%1"/>
      <w:numFmt w:val="lowerLetter"/>
      <w:start w:val="1"/>
    </w:lvl>
    <w:lvl w:ilvl="1">
      <w:lvlJc w:val="left"/>
      <w:lvlText w:val="(%2)"/>
      <w:numFmt w:val="lowerLetter"/>
      <w:start w:val="2"/>
    </w:lvl>
  </w:abstractNum>
  <w:abstractNum w:abstractNumId="6">
    <w:nsid w:val="2D517796"/>
    <w:multiLevelType w:val="hybridMultilevel"/>
    <w:lvl w:ilvl="0">
      <w:lvlJc w:val="left"/>
      <w:lvlText w:val="(%1)"/>
      <w:numFmt w:val="lowerLetter"/>
      <w:start w:val="9"/>
    </w:lvl>
    <w:lvl w:ilvl="1">
      <w:lvlJc w:val="left"/>
      <w:lvlText w:val="%2"/>
      <w:numFmt w:val="lowerLetter"/>
      <w:start w:val="1"/>
    </w:lvl>
  </w:abstractNum>
  <w:abstractNum w:abstractNumId="7">
    <w:nsid w:val="580BD78F"/>
    <w:multiLevelType w:val="hybridMultilevel"/>
    <w:lvl w:ilvl="0">
      <w:lvlJc w:val="left"/>
      <w:lvlText w:val="(%1)"/>
      <w:numFmt w:val="lowerLetter"/>
      <w:start w:val="61"/>
    </w:lvl>
    <w:lvl w:ilvl="1">
      <w:lvlJc w:val="left"/>
      <w:lvlText w:val="%2"/>
      <w:numFmt w:val="lowerLetter"/>
      <w:start w:val="1"/>
    </w:lvl>
  </w:abstractNum>
  <w:abstractNum w:abstractNumId="8">
    <w:nsid w:val="153EA438"/>
    <w:multiLevelType w:val="hybridMultilevel"/>
    <w:lvl w:ilvl="0">
      <w:lvlJc w:val="left"/>
      <w:lvlText w:val="(%1)"/>
      <w:numFmt w:val="lowerLetter"/>
      <w:start w:val="3"/>
    </w:lvl>
  </w:abstractNum>
  <w:abstractNum w:abstractNumId="9">
    <w:nsid w:val="3855585C"/>
    <w:multiLevelType w:val="hybridMultilevel"/>
    <w:lvl w:ilvl="0">
      <w:lvlJc w:val="left"/>
      <w:lvlText w:val="(%1)"/>
      <w:numFmt w:val="lowerLetter"/>
      <w:start w:val="7"/>
    </w:lvl>
  </w:abstractNum>
  <w:abstractNum w:abstractNumId="10">
    <w:nsid w:val="70A64E2A"/>
    <w:multiLevelType w:val="hybridMultilevel"/>
    <w:lvl w:ilvl="0">
      <w:lvlJc w:val="left"/>
      <w:lvlText w:val="(%1)"/>
      <w:numFmt w:val="lowerLetter"/>
      <w:start w:val="12"/>
    </w:lvl>
  </w:abstractNum>
  <w:abstractNum w:abstractNumId="11">
    <w:nsid w:val="6A2342EC"/>
    <w:multiLevelType w:val="hybridMultilevel"/>
    <w:lvl w:ilvl="0">
      <w:lvlJc w:val="left"/>
      <w:lvlText w:val="(%1)"/>
      <w:numFmt w:val="lowerLetter"/>
      <w:start w:val="16"/>
    </w:lvl>
  </w:abstractNum>
  <w:abstractNum w:abstractNumId="12">
    <w:nsid w:val="2A487CB0"/>
    <w:multiLevelType w:val="hybridMultilevel"/>
    <w:lvl w:ilvl="0">
      <w:lvlJc w:val="left"/>
      <w:lvlText w:val="(%1)"/>
      <w:numFmt w:val="lowerLetter"/>
      <w:start w:val="20"/>
    </w:lvl>
  </w:abstractNum>
  <w:abstractNum w:abstractNumId="13">
    <w:nsid w:val="1D4ED43B"/>
    <w:multiLevelType w:val="hybridMultilevel"/>
    <w:lvl w:ilvl="0">
      <w:lvlJc w:val="left"/>
      <w:lvlText w:val="(%1)"/>
      <w:numFmt w:val="lowerLetter"/>
      <w:start w:val="25"/>
    </w:lvl>
  </w:abstractNum>
  <w:abstractNum w:abstractNumId="14">
    <w:nsid w:val="725A06FB"/>
    <w:multiLevelType w:val="hybridMultilevel"/>
    <w:lvl w:ilvl="0">
      <w:lvlJc w:val="left"/>
      <w:lvlText w:val="(%1)"/>
      <w:numFmt w:val="lowerLetter"/>
      <w:start w:val="27"/>
    </w:lvl>
  </w:abstractNum>
  <w:abstractNum w:abstractNumId="15">
    <w:nsid w:val="2CD89A32"/>
    <w:multiLevelType w:val="hybridMultilevel"/>
    <w:lvl w:ilvl="0">
      <w:lvlJc w:val="left"/>
      <w:lvlText w:val="(%1)"/>
      <w:numFmt w:val="lowerLetter"/>
      <w:start w:val="30"/>
    </w:lvl>
  </w:abstractNum>
  <w:abstractNum w:abstractNumId="16">
    <w:nsid w:val="57E4CCAF"/>
    <w:multiLevelType w:val="hybridMultilevel"/>
    <w:lvl w:ilvl="0">
      <w:lvlJc w:val="left"/>
      <w:lvlText w:val="(%1)"/>
      <w:numFmt w:val="lowerLetter"/>
      <w:start w:val="31"/>
    </w:lvl>
  </w:abstractNum>
  <w:abstractNum w:abstractNumId="17">
    <w:nsid w:val="7A6D8D3C"/>
    <w:multiLevelType w:val="hybridMultilevel"/>
    <w:lvl w:ilvl="0">
      <w:lvlJc w:val="left"/>
      <w:lvlText w:val="(%1)"/>
      <w:numFmt w:val="lowerLetter"/>
      <w:start w:val="38"/>
    </w:lvl>
  </w:abstractNum>
  <w:abstractNum w:abstractNumId="18">
    <w:nsid w:val="4B588F54"/>
    <w:multiLevelType w:val="hybridMultilevel"/>
    <w:lvl w:ilvl="0">
      <w:lvlJc w:val="left"/>
      <w:lvlText w:val="(%1)"/>
      <w:numFmt w:val="lowerLetter"/>
      <w:start w:val="41"/>
    </w:lvl>
  </w:abstractNum>
  <w:abstractNum w:abstractNumId="19">
    <w:nsid w:val="542289EC"/>
    <w:multiLevelType w:val="hybridMultilevel"/>
    <w:lvl w:ilvl="0">
      <w:lvlJc w:val="left"/>
      <w:lvlText w:val="%1."/>
      <w:numFmt w:val="decimal"/>
      <w:start w:val="4"/>
    </w:lvl>
  </w:abstractNum>
  <w:abstractNum w:abstractNumId="20">
    <w:nsid w:val="6DE91B18"/>
    <w:multiLevelType w:val="hybridMultilevel"/>
    <w:lvl w:ilvl="0">
      <w:lvlJc w:val="left"/>
      <w:lvlText w:val="(%1)"/>
      <w:numFmt w:val="lowerLetter"/>
      <w:start w:val="1"/>
    </w:lvl>
  </w:abstractNum>
  <w:abstractNum w:abstractNumId="21">
    <w:nsid w:val="38437FDB"/>
    <w:multiLevelType w:val="hybridMultilevel"/>
    <w:lvl w:ilvl="0">
      <w:lvlJc w:val="left"/>
      <w:lvlText w:val="(%1)"/>
      <w:numFmt w:val="lowerLetter"/>
      <w:start w:val="2"/>
    </w:lvl>
  </w:abstractNum>
  <w:abstractNum w:abstractNumId="22">
    <w:nsid w:val="7644A45C"/>
    <w:multiLevelType w:val="hybridMultilevel"/>
    <w:lvl w:ilvl="0">
      <w:lvlJc w:val="left"/>
      <w:lvlText w:val="%1"/>
      <w:numFmt w:val="lowerRoman"/>
      <w:start w:val="1"/>
    </w:lvl>
    <w:lvl w:ilvl="1">
      <w:lvlJc w:val="left"/>
      <w:lvlText w:val="(%2)"/>
      <w:numFmt w:val="lowerLetter"/>
      <w:start w:val="5"/>
    </w:lvl>
  </w:abstractNum>
  <w:abstractNum w:abstractNumId="23">
    <w:nsid w:val="32FFF902"/>
    <w:multiLevelType w:val="hybridMultilevel"/>
    <w:lvl w:ilvl="0">
      <w:lvlJc w:val="left"/>
      <w:lvlText w:val="(%1)"/>
      <w:numFmt w:val="lowerRoman"/>
      <w:start w:val="2"/>
    </w:lvl>
    <w:lvl w:ilvl="1">
      <w:lvlJc w:val="left"/>
      <w:lvlText w:val="%2"/>
      <w:numFmt w:val="lowerLetter"/>
      <w:start w:val="1"/>
    </w:lvl>
  </w:abstractNum>
  <w:abstractNum w:abstractNumId="24">
    <w:nsid w:val="684A481A"/>
    <w:multiLevelType w:val="hybridMultilevel"/>
    <w:lvl w:ilvl="0">
      <w:lvlJc w:val="left"/>
      <w:lvlText w:val="(%1)"/>
      <w:numFmt w:val="lowerRoman"/>
      <w:start w:val="4"/>
    </w:lvl>
    <w:lvl w:ilvl="1">
      <w:lvlJc w:val="left"/>
      <w:lvlText w:val="(%2)"/>
      <w:numFmt w:val="lowerLetter"/>
      <w:start w:val="6"/>
    </w:lvl>
  </w:abstractNum>
  <w:abstractNum w:abstractNumId="25">
    <w:nsid w:val="579478FE"/>
    <w:multiLevelType w:val="hybridMultilevel"/>
    <w:lvl w:ilvl="0">
      <w:lvlJc w:val="left"/>
      <w:lvlText w:val="(%1)"/>
      <w:numFmt w:val="lowerLetter"/>
      <w:start w:val="11"/>
    </w:lvl>
  </w:abstractNum>
  <w:abstractNum w:abstractNumId="26">
    <w:nsid w:val="749ABB43"/>
    <w:multiLevelType w:val="hybridMultilevel"/>
    <w:lvl w:ilvl="0">
      <w:lvlJc w:val="left"/>
      <w:lvlText w:val="(%1)"/>
      <w:numFmt w:val="lowerLetter"/>
      <w:start w:val="17"/>
    </w:lvl>
  </w:abstractNum>
  <w:abstractNum w:abstractNumId="27">
    <w:nsid w:val="3DC240FB"/>
    <w:multiLevelType w:val="hybridMultilevel"/>
    <w:lvl w:ilvl="0">
      <w:lvlJc w:val="left"/>
      <w:lvlText w:val="%1."/>
      <w:numFmt w:val="decimal"/>
      <w:start w:val="5"/>
    </w:lvl>
  </w:abstractNum>
  <w:abstractNum w:abstractNumId="28">
    <w:nsid w:val="1BA026FA"/>
    <w:multiLevelType w:val="hybridMultilevel"/>
    <w:lvl w:ilvl="0">
      <w:lvlJc w:val="left"/>
      <w:lvlText w:val="(%1)"/>
      <w:numFmt w:val="lowerLetter"/>
      <w:start w:val="1"/>
    </w:lvl>
  </w:abstractNum>
  <w:abstractNum w:abstractNumId="29">
    <w:nsid w:val="79A1DEAA"/>
    <w:multiLevelType w:val="hybridMultilevel"/>
    <w:lvl w:ilvl="0">
      <w:lvlJc w:val="left"/>
      <w:lvlText w:val="(%1)"/>
      <w:numFmt w:val="lowerLetter"/>
      <w:start w:val="2"/>
    </w:lvl>
  </w:abstractNum>
  <w:abstractNum w:abstractNumId="30">
    <w:nsid w:val="75C6C33A"/>
    <w:multiLevelType w:val="hybridMultilevel"/>
    <w:lvl w:ilvl="0">
      <w:lvlJc w:val="left"/>
      <w:lvlText w:val="(%1)"/>
      <w:numFmt w:val="lowerLetter"/>
      <w:start w:val="7"/>
    </w:lvl>
  </w:abstractNum>
  <w:abstractNum w:abstractNumId="31">
    <w:nsid w:val="12E685FB"/>
    <w:multiLevelType w:val="hybridMultilevel"/>
    <w:lvl w:ilvl="0">
      <w:lvlJc w:val="left"/>
      <w:lvlText w:val="%1"/>
      <w:numFmt w:val="lowerLetter"/>
      <w:start w:val="1"/>
    </w:lvl>
    <w:lvl w:ilvl="1">
      <w:lvlJc w:val="left"/>
      <w:lvlText w:val="(%2)"/>
      <w:numFmt w:val="lowerLetter"/>
      <w:start w:val="15"/>
    </w:lvl>
  </w:abstractNum>
  <w:abstractNum w:abstractNumId="32">
    <w:nsid w:val="70C6A529"/>
    <w:multiLevelType w:val="hybridMultilevel"/>
    <w:lvl w:ilvl="0">
      <w:lvlJc w:val="left"/>
      <w:lvlText w:val="(%1)"/>
      <w:numFmt w:val="lowerLetter"/>
      <w:start w:val="22"/>
    </w:lvl>
    <w:lvl w:ilvl="1">
      <w:lvlJc w:val="left"/>
      <w:lvlText w:val="(%2)"/>
      <w:numFmt w:val="lowerLetter"/>
      <w:start w:val="16"/>
    </w:lvl>
  </w:abstractNum>
  <w:abstractNum w:abstractNumId="33">
    <w:nsid w:val="520EEDD1"/>
    <w:multiLevelType w:val="hybridMultilevel"/>
    <w:lvl w:ilvl="0">
      <w:lvlJc w:val="left"/>
      <w:lvlText w:val="(%1)"/>
      <w:numFmt w:val="lowerLetter"/>
      <w:start w:val="18"/>
    </w:lvl>
  </w:abstractNum>
  <w:abstractNum w:abstractNumId="34">
    <w:nsid w:val="374A3FE6"/>
    <w:multiLevelType w:val="hybridMultilevel"/>
    <w:lvl w:ilvl="0">
      <w:lvlJc w:val="left"/>
      <w:lvlText w:val="%1."/>
      <w:numFmt w:val="decimal"/>
      <w:start w:val="6"/>
    </w:lvl>
  </w:abstractNum>
  <w:abstractNum w:abstractNumId="35">
    <w:nsid w:val="4F4EF005"/>
    <w:multiLevelType w:val="hybridMultilevel"/>
    <w:lvl w:ilvl="0">
      <w:lvlJc w:val="left"/>
      <w:lvlText w:val="(%1)"/>
      <w:numFmt w:val="lowerLetter"/>
      <w:start w:val="1"/>
    </w:lvl>
  </w:abstractNum>
  <w:abstractNum w:abstractNumId="36">
    <w:nsid w:val="23F9C13C"/>
    <w:multiLevelType w:val="hybridMultilevel"/>
    <w:lvl w:ilvl="0">
      <w:lvlJc w:val="left"/>
      <w:lvlText w:val="(%1)"/>
      <w:numFmt w:val="lowerLetter"/>
      <w:start w:val="6"/>
    </w:lvl>
  </w:abstractNum>
  <w:abstractNum w:abstractNumId="37">
    <w:nsid w:val="649BB77C"/>
    <w:multiLevelType w:val="hybridMultilevel"/>
    <w:lvl w:ilvl="0">
      <w:lvlJc w:val="left"/>
      <w:lvlText w:val="%1."/>
      <w:numFmt w:val="decimal"/>
      <w:start w:val="7"/>
    </w:lvl>
  </w:abstractNum>
  <w:abstractNum w:abstractNumId="38">
    <w:nsid w:val="275AC794"/>
    <w:multiLevelType w:val="hybridMultilevel"/>
    <w:lvl w:ilvl="0">
      <w:lvlJc w:val="left"/>
      <w:lvlText w:val="(%1)"/>
      <w:numFmt w:val="lowerRoman"/>
      <w:start w:val="4"/>
    </w:lvl>
  </w:abstractNum>
  <w:abstractNum w:abstractNumId="39">
    <w:nsid w:val="39386575"/>
    <w:multiLevelType w:val="hybridMultilevel"/>
    <w:lvl w:ilvl="0">
      <w:lvlJc w:val="left"/>
      <w:lvlText w:val="%1."/>
      <w:numFmt w:val="decimal"/>
      <w:start w:val="8"/>
    </w:lvl>
  </w:abstractNum>
  <w:abstractNum w:abstractNumId="40">
    <w:nsid w:val="1CF10FD8"/>
    <w:multiLevelType w:val="hybridMultilevel"/>
    <w:lvl w:ilvl="0">
      <w:lvlJc w:val="left"/>
      <w:lvlText w:val="%1."/>
      <w:numFmt w:val="decimal"/>
      <w:start w:val="9"/>
    </w:lvl>
  </w:abstractNum>
  <w:abstractNum w:abstractNumId="41">
    <w:nsid w:val="180115BE"/>
    <w:multiLevelType w:val="hybridMultilevel"/>
    <w:lvl w:ilvl="0">
      <w:lvlJc w:val="left"/>
      <w:lvlText w:val="(%1)"/>
      <w:numFmt w:val="lowerLetter"/>
      <w:start w:val="1"/>
    </w:lvl>
    <w:lvl w:ilvl="1">
      <w:lvlJc w:val="left"/>
      <w:lvlText w:val="(%2)"/>
      <w:numFmt w:val="decimal"/>
      <w:start w:val="2"/>
    </w:lvl>
  </w:abstractNum>
  <w:abstractNum w:abstractNumId="42">
    <w:nsid w:val="235BA861"/>
    <w:multiLevelType w:val="hybridMultilevel"/>
    <w:lvl w:ilvl="0">
      <w:lvlJc w:val="left"/>
      <w:lvlText w:val="(%1)"/>
      <w:numFmt w:val="decimal"/>
      <w:start w:val="3"/>
    </w:lvl>
  </w:abstractNum>
  <w:abstractNum w:abstractNumId="43">
    <w:nsid w:val="47398C89"/>
    <w:multiLevelType w:val="hybridMultilevel"/>
    <w:lvl w:ilvl="0">
      <w:lvlJc w:val="left"/>
      <w:lvlText w:val="(%1)"/>
      <w:numFmt w:val="lowerLetter"/>
      <w:start w:val="61"/>
    </w:lvl>
    <w:lvl w:ilvl="1">
      <w:lvlJc w:val="left"/>
      <w:lvlText w:val="(%2)"/>
      <w:numFmt w:val="lowerLetter"/>
      <w:start w:val="2"/>
    </w:lvl>
  </w:abstractNum>
  <w:abstractNum w:abstractNumId="44">
    <w:nsid w:val="354FE9F9"/>
    <w:multiLevelType w:val="hybridMultilevel"/>
    <w:lvl w:ilvl="0">
      <w:lvlJc w:val="left"/>
      <w:lvlText w:val="(%1)"/>
      <w:numFmt w:val="lowerRoman"/>
      <w:start w:val="2"/>
    </w:lvl>
    <w:lvl w:ilvl="1">
      <w:lvlJc w:val="left"/>
      <w:lvlText w:val="(%2)"/>
      <w:numFmt w:val="lowerLetter"/>
      <w:start w:val="3"/>
    </w:lvl>
  </w:abstractNum>
  <w:abstractNum w:abstractNumId="45">
    <w:nsid w:val="15B5AF5C"/>
    <w:multiLevelType w:val="hybridMultilevel"/>
    <w:lvl w:ilvl="0">
      <w:lvlJc w:val="left"/>
      <w:lvlText w:val="(%1)"/>
      <w:numFmt w:val="lowerLetter"/>
      <w:start w:val="4"/>
    </w:lvl>
  </w:abstractNum>
  <w:abstractNum w:abstractNumId="46">
    <w:nsid w:val="741226BB"/>
    <w:multiLevelType w:val="hybridMultilevel"/>
    <w:lvl w:ilvl="0">
      <w:lvlJc w:val="left"/>
      <w:lvlText w:val="%1."/>
      <w:numFmt w:val="decimal"/>
      <w:start w:val="10"/>
    </w:lvl>
  </w:abstractNum>
  <w:abstractNum w:abstractNumId="47">
    <w:nsid w:val="D34B6A8"/>
    <w:multiLevelType w:val="hybridMultilevel"/>
    <w:lvl w:ilvl="0">
      <w:lvlJc w:val="left"/>
      <w:lvlText w:val="%1."/>
      <w:numFmt w:val="decimal"/>
      <w:start w:val="11"/>
    </w:lvl>
  </w:abstractNum>
  <w:abstractNum w:abstractNumId="48">
    <w:nsid w:val="10233C99"/>
    <w:multiLevelType w:val="hybridMultilevel"/>
    <w:lvl w:ilvl="0">
      <w:lvlJc w:val="left"/>
      <w:lvlText w:val="%1"/>
      <w:numFmt w:val="lowerRoman"/>
      <w:start w:val="1"/>
    </w:lvl>
    <w:lvl w:ilvl="1">
      <w:lvlJc w:val="left"/>
      <w:lvlText w:val="%2."/>
      <w:numFmt w:val="decimal"/>
      <w:start w:val="15"/>
    </w:lvl>
  </w:abstractNum>
  <w:abstractNum w:abstractNumId="49">
    <w:nsid w:val="3F6AB60F"/>
    <w:multiLevelType w:val="hybridMultilevel"/>
    <w:lvl w:ilvl="0">
      <w:lvlJc w:val="left"/>
      <w:lvlText w:val="(%1)"/>
      <w:numFmt w:val="lowerRoman"/>
      <w:start w:val="4"/>
    </w:lvl>
    <w:lvl w:ilvl="1">
      <w:lvlJc w:val="left"/>
      <w:lvlText w:val="%2."/>
      <w:numFmt w:val="decimal"/>
      <w:start w:val="18"/>
    </w:lvl>
  </w:abstractNum>
  <w:abstractNum w:abstractNumId="50">
    <w:nsid w:val="61574095"/>
    <w:multiLevelType w:val="hybridMultilevel"/>
    <w:lvl w:ilvl="0">
      <w:lvlJc w:val="left"/>
      <w:lvlText w:val="(%1)"/>
      <w:numFmt w:val="lowerLetter"/>
      <w:start w:val="1"/>
    </w:lvl>
  </w:abstractNum>
  <w:abstractNum w:abstractNumId="51">
    <w:nsid w:val="7E0C57B1"/>
    <w:multiLevelType w:val="hybridMultilevel"/>
    <w:lvl w:ilvl="0">
      <w:lvlJc w:val="left"/>
      <w:lvlText w:val="(%1)"/>
      <w:numFmt w:val="lowerRoman"/>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1)"/>
      <w:numFmt w:val="lowerLetter"/>
      <w:start w:val="2"/>
    </w:lvl>
  </w:abstractNum>
  <w:abstractNum w:abstractNumId="59">
    <w:nsid w:val="4AD084E9"/>
    <w:multiLevelType w:val="hybridMultilevel"/>
    <w:lvl w:ilvl="0">
      <w:lvlJc w:val="left"/>
      <w:lvlText w:val="(%1)"/>
      <w:numFmt w:val="lowerLetter"/>
      <w:start w:val="8"/>
    </w:lvl>
  </w:abstractNum>
  <w:abstractNum w:abstractNumId="60">
    <w:nsid w:val="1F48EAA1"/>
    <w:multiLevelType w:val="hybridMultilevel"/>
    <w:lvl w:ilvl="0">
      <w:lvlJc w:val="left"/>
      <w:lvlText w:val="(%1)"/>
      <w:numFmt w:val="lowerRoman"/>
      <w:start w:val="2"/>
    </w:lvl>
  </w:abstractNum>
  <w:abstractNum w:abstractNumId="61">
    <w:nsid w:val="1381823A"/>
    <w:multiLevelType w:val="hybridMultilevel"/>
    <w:lvl w:ilvl="0">
      <w:lvlJc w:val="left"/>
      <w:lvlText w:val="(%1)"/>
      <w:numFmt w:val="lowerLetter"/>
      <w:start w:val="9"/>
    </w:lvl>
  </w:abstractNum>
  <w:abstractNum w:abstractNumId="62">
    <w:nsid w:val="5DB70AE5"/>
    <w:multiLevelType w:val="hybridMultilevel"/>
    <w:lvl w:ilvl="0">
      <w:lvlJc w:val="left"/>
      <w:lvlText w:val="(%1)"/>
      <w:numFmt w:val="decimal"/>
      <w:start w:val="3"/>
    </w:lvl>
  </w:abstractNum>
  <w:abstractNum w:abstractNumId="63">
    <w:nsid w:val="100F8FCA"/>
    <w:multiLevelType w:val="hybridMultilevel"/>
    <w:lvl w:ilvl="0">
      <w:lvlJc w:val="left"/>
      <w:lvlText w:val="(%1)"/>
      <w:numFmt w:val="lowerRoman"/>
      <w:start w:val="1"/>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1."/>
      <w:numFmt w:val="decimal"/>
      <w:start w:val="2"/>
    </w:lvl>
  </w:abstractNum>
  <w:abstractNum w:abstractNumId="66">
    <w:nsid w:val="5F5E7FD0"/>
    <w:multiLevelType w:val="hybridMultilevel"/>
    <w:lvl w:ilvl="0">
      <w:lvlJc w:val="left"/>
      <w:lvlText w:val="%1."/>
      <w:numFmt w:val="lowerRoman"/>
      <w:start w:val="1"/>
    </w:lvl>
  </w:abstractNum>
  <w:abstractNum w:abstractNumId="67">
    <w:nsid w:val="98A3148"/>
    <w:multiLevelType w:val="hybridMultilevel"/>
    <w:lvl w:ilvl="0">
      <w:lvlJc w:val="left"/>
      <w:lvlText w:val="(%1)"/>
      <w:numFmt w:val="lowerRoman"/>
      <w:start w:val="1"/>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6"/>
    </w:lvl>
  </w:abstractNum>
  <w:abstractNum w:abstractNumId="70">
    <w:nsid w:val="42C296BD"/>
    <w:multiLevelType w:val="hybridMultilevel"/>
    <w:lvl w:ilvl="0">
      <w:lvlJc w:val="left"/>
      <w:lvlText w:val="%1."/>
      <w:numFmt w:val="decimal"/>
      <w:start w:val="2"/>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2020-05-05T15:09:05Z</dcterms:created>
  <dcterms:modified xsi:type="dcterms:W3CDTF">2020-05-05T15:09:05Z</dcterms:modified>
</cp:coreProperties>
</file>