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227330</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247015</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Pursuant to Section 13 Or 15(d)</w:t>
      </w:r>
    </w:p>
    <w:p>
      <w:pPr>
        <w:jc w:val="center"/>
        <w:ind w:right="-2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March 17, 2015</w:t>
      </w:r>
    </w:p>
    <w:p>
      <w:pPr>
        <w:spacing w:after="0" w:line="14"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218440</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239"/>
        <w:spacing w:after="0"/>
        <w:rPr>
          <w:sz w:val="20"/>
          <w:szCs w:val="20"/>
          <w:color w:val="auto"/>
        </w:rPr>
      </w:pPr>
      <w:r>
        <w:rPr>
          <w:rFonts w:ascii="Arial" w:cs="Arial" w:eastAsia="Arial" w:hAnsi="Arial"/>
          <w:sz w:val="43"/>
          <w:szCs w:val="43"/>
          <w:b w:val="1"/>
          <w:bCs w:val="1"/>
          <w:color w:val="auto"/>
        </w:rPr>
        <w:t>PennantPark Investment Corporation</w:t>
      </w:r>
    </w:p>
    <w:p>
      <w:pPr>
        <w:spacing w:after="0" w:line="50"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236220</wp:posOffset>
            </wp:positionV>
            <wp:extent cx="14916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00" w:type="dxa"/>
        <w:tblCellMar>
          <w:top w:w="0" w:type="dxa"/>
          <w:left w:w="0" w:type="dxa"/>
          <w:bottom w:w="0" w:type="dxa"/>
          <w:right w:w="0" w:type="dxa"/>
        </w:tblCellMar>
      </w:tblPr>
      <w:tr>
        <w:trPr>
          <w:trHeight w:val="212"/>
        </w:trPr>
        <w:tc>
          <w:tcPr>
            <w:tcW w:w="4040" w:type="dxa"/>
            <w:vAlign w:val="bottom"/>
          </w:tcPr>
          <w:p>
            <w:pPr>
              <w:jc w:val="center"/>
              <w:ind w:right="2341"/>
              <w:spacing w:after="0"/>
              <w:rPr>
                <w:sz w:val="20"/>
                <w:szCs w:val="20"/>
                <w:color w:val="auto"/>
              </w:rPr>
            </w:pPr>
            <w:r>
              <w:rPr>
                <w:rFonts w:ascii="Arial" w:cs="Arial" w:eastAsia="Arial" w:hAnsi="Arial"/>
                <w:sz w:val="18"/>
                <w:szCs w:val="18"/>
                <w:b w:val="1"/>
                <w:bCs w:val="1"/>
                <w:color w:val="auto"/>
                <w:w w:val="98"/>
              </w:rPr>
              <w:t>Maryland</w:t>
            </w:r>
          </w:p>
        </w:tc>
        <w:tc>
          <w:tcPr>
            <w:tcW w:w="2380" w:type="dxa"/>
            <w:vAlign w:val="bottom"/>
          </w:tcPr>
          <w:p>
            <w:pPr>
              <w:ind w:left="220"/>
              <w:spacing w:after="0"/>
              <w:rPr>
                <w:sz w:val="20"/>
                <w:szCs w:val="20"/>
                <w:color w:val="auto"/>
              </w:rPr>
            </w:pPr>
            <w:r>
              <w:rPr>
                <w:rFonts w:ascii="Arial" w:cs="Arial" w:eastAsia="Arial" w:hAnsi="Arial"/>
                <w:sz w:val="18"/>
                <w:szCs w:val="18"/>
                <w:b w:val="1"/>
                <w:bCs w:val="1"/>
                <w:color w:val="auto"/>
              </w:rPr>
              <w:t>814-00736</w:t>
            </w:r>
          </w:p>
        </w:tc>
        <w:tc>
          <w:tcPr>
            <w:tcW w:w="2480" w:type="dxa"/>
            <w:vAlign w:val="bottom"/>
          </w:tcPr>
          <w:p>
            <w:pPr>
              <w:jc w:val="right"/>
              <w:ind w:right="41"/>
              <w:spacing w:after="0"/>
              <w:rPr>
                <w:sz w:val="20"/>
                <w:szCs w:val="20"/>
                <w:color w:val="auto"/>
              </w:rPr>
            </w:pPr>
            <w:r>
              <w:rPr>
                <w:rFonts w:ascii="Arial" w:cs="Arial" w:eastAsia="Arial" w:hAnsi="Arial"/>
                <w:sz w:val="18"/>
                <w:szCs w:val="18"/>
                <w:b w:val="1"/>
                <w:bCs w:val="1"/>
                <w:color w:val="auto"/>
              </w:rPr>
              <w:t>20-8250744</w:t>
            </w:r>
          </w:p>
        </w:tc>
      </w:tr>
      <w:tr>
        <w:trPr>
          <w:trHeight w:val="148"/>
        </w:trPr>
        <w:tc>
          <w:tcPr>
            <w:tcW w:w="4040" w:type="dxa"/>
            <w:vAlign w:val="bottom"/>
          </w:tcPr>
          <w:p>
            <w:pPr>
              <w:jc w:val="center"/>
              <w:ind w:right="2321"/>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8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0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4040" w:type="dxa"/>
            <w:vAlign w:val="bottom"/>
          </w:tcPr>
          <w:p>
            <w:pPr>
              <w:jc w:val="center"/>
              <w:ind w:right="2341"/>
              <w:spacing w:after="0"/>
              <w:rPr>
                <w:sz w:val="20"/>
                <w:szCs w:val="20"/>
                <w:color w:val="auto"/>
              </w:rPr>
            </w:pPr>
            <w:r>
              <w:rPr>
                <w:rFonts w:ascii="Arial" w:cs="Arial" w:eastAsia="Arial" w:hAnsi="Arial"/>
                <w:sz w:val="14"/>
                <w:szCs w:val="14"/>
                <w:b w:val="1"/>
                <w:bCs w:val="1"/>
                <w:color w:val="auto"/>
                <w:w w:val="94"/>
              </w:rPr>
              <w:t>of incorporation)</w:t>
            </w:r>
          </w:p>
        </w:tc>
        <w:tc>
          <w:tcPr>
            <w:tcW w:w="2380" w:type="dxa"/>
            <w:vAlign w:val="bottom"/>
          </w:tcPr>
          <w:p>
            <w:pPr>
              <w:ind w:left="20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281"/>
              <w:spacing w:after="0"/>
              <w:rPr>
                <w:sz w:val="20"/>
                <w:szCs w:val="20"/>
                <w:color w:val="auto"/>
              </w:rPr>
            </w:pPr>
            <w:r>
              <w:rPr>
                <w:rFonts w:ascii="Arial" w:cs="Arial" w:eastAsia="Arial" w:hAnsi="Arial"/>
                <w:sz w:val="14"/>
                <w:szCs w:val="14"/>
                <w:b w:val="1"/>
                <w:bCs w:val="1"/>
                <w:color w:val="auto"/>
                <w:w w:val="94"/>
              </w:rPr>
              <w:t>Identification No.)</w:t>
            </w:r>
          </w:p>
        </w:tc>
      </w:tr>
      <w:tr>
        <w:trPr>
          <w:trHeight w:val="408"/>
        </w:trPr>
        <w:tc>
          <w:tcPr>
            <w:tcW w:w="6420" w:type="dxa"/>
            <w:vAlign w:val="bottom"/>
            <w:gridSpan w:val="2"/>
          </w:tcPr>
          <w:p>
            <w:pPr>
              <w:jc w:val="center"/>
              <w:ind w:right="982"/>
              <w:spacing w:after="0"/>
              <w:rPr>
                <w:sz w:val="20"/>
                <w:szCs w:val="20"/>
                <w:color w:val="auto"/>
              </w:rPr>
            </w:pPr>
            <w:r>
              <w:rPr>
                <w:rFonts w:ascii="Arial" w:cs="Arial" w:eastAsia="Arial" w:hAnsi="Arial"/>
                <w:sz w:val="18"/>
                <w:szCs w:val="18"/>
                <w:b w:val="1"/>
                <w:bCs w:val="1"/>
                <w:color w:val="auto"/>
                <w:w w:val="91"/>
              </w:rPr>
              <w:t>590 Madison Avenue, 15th Floor, New York, NY</w:t>
            </w:r>
          </w:p>
        </w:tc>
        <w:tc>
          <w:tcPr>
            <w:tcW w:w="2480" w:type="dxa"/>
            <w:vAlign w:val="bottom"/>
          </w:tcPr>
          <w:p>
            <w:pPr>
              <w:jc w:val="right"/>
              <w:ind w:right="261"/>
              <w:spacing w:after="0"/>
              <w:rPr>
                <w:sz w:val="20"/>
                <w:szCs w:val="20"/>
                <w:color w:val="auto"/>
              </w:rPr>
            </w:pPr>
            <w:r>
              <w:rPr>
                <w:rFonts w:ascii="Arial" w:cs="Arial" w:eastAsia="Arial" w:hAnsi="Arial"/>
                <w:sz w:val="18"/>
                <w:szCs w:val="18"/>
                <w:b w:val="1"/>
                <w:bCs w:val="1"/>
                <w:color w:val="auto"/>
              </w:rPr>
              <w:t>10022</w:t>
            </w:r>
          </w:p>
        </w:tc>
      </w:tr>
      <w:tr>
        <w:trPr>
          <w:trHeight w:val="186"/>
        </w:trPr>
        <w:tc>
          <w:tcPr>
            <w:tcW w:w="4040" w:type="dxa"/>
            <w:vAlign w:val="bottom"/>
          </w:tcPr>
          <w:p>
            <w:pPr>
              <w:jc w:val="center"/>
              <w:ind w:left="122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80" w:type="dxa"/>
            <w:vAlign w:val="bottom"/>
          </w:tcPr>
          <w:p>
            <w:pPr>
              <w:spacing w:after="0"/>
              <w:rPr>
                <w:sz w:val="16"/>
                <w:szCs w:val="16"/>
                <w:color w:val="auto"/>
              </w:rPr>
            </w:pPr>
          </w:p>
        </w:tc>
        <w:tc>
          <w:tcPr>
            <w:tcW w:w="2480" w:type="dxa"/>
            <w:vAlign w:val="bottom"/>
          </w:tcPr>
          <w:p>
            <w:pPr>
              <w:jc w:val="center"/>
              <w:ind w:left="130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212-905-1000</w:t>
      </w:r>
    </w:p>
    <w:p>
      <w:pPr>
        <w:spacing w:after="0" w:line="21"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227965</wp:posOffset>
            </wp:positionV>
            <wp:extent cx="1491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firstLine="44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320" w:top="368" w:right="579" w:bottom="1440" w:gutter="0" w:footer="0" w:header="0"/>
        </w:sectPr>
      </w:pPr>
    </w:p>
    <w:bookmarkStart w:id="1" w:name="page2"/>
    <w:bookmarkEnd w:id="1"/>
    <w:p>
      <w:pPr>
        <w:spacing w:after="0"/>
        <w:tabs>
          <w:tab w:leader="none" w:pos="11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March 17, 2015, PennantPark Investment Corporation (the “Company”) held a reconvened annual meeting of stockholders (the “Annual Meeting”) and submitted one matter to the vote of stockholders. The proposal is described in detail in the Company’s definitive joint proxy statement filed with the Securities and Exchange Commission on November 26, 2014. As of December 1, 2014, the record date, 75,092,911 shares of common stock were eligible to vote. A summary of the matter voted upon by the stockholders is set forth below.</w:t>
      </w:r>
    </w:p>
    <w:p>
      <w:pPr>
        <w:spacing w:after="0" w:line="183"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Proposal 1. </w:t>
      </w:r>
      <w:r>
        <w:rPr>
          <w:rFonts w:ascii="Arial" w:cs="Arial" w:eastAsia="Arial" w:hAnsi="Arial"/>
          <w:sz w:val="18"/>
          <w:szCs w:val="18"/>
          <w:color w:val="auto"/>
        </w:rPr>
        <w:t>Due to the absence of the affirmative vote of a majority of the outstanding shares of common stock, the named proxies for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approved an adjournment of the Annual Meeting to allow the polls to remain open until 9:30 a.m. on March 30, 2015 to solicit additional votes for the proposal to elect two Class II directors of the Company, each of whom will serve until the 2018 Annual Meeting or until his successor is duly elected and qualifies. The Annual Meeting will be reconvened at the offices of Dechert LLP, located at 1095 Avenue of the Americas, New York, New York, on March 30, 2015, at 9:30 a.m.</w:t>
      </w:r>
    </w:p>
    <w:p>
      <w:pPr>
        <w:sectPr>
          <w:pgSz w:w="11900" w:h="16838" w:orient="portrait"/>
          <w:cols w:equalWidth="0" w:num="1">
            <w:col w:w="11180"/>
          </w:cols>
          <w:pgMar w:left="320" w:top="270" w:right="3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p>
      <w:pPr>
        <w:ind w:left="7200"/>
        <w:spacing w:after="0"/>
        <w:rPr>
          <w:sz w:val="20"/>
          <w:szCs w:val="20"/>
          <w:color w:val="auto"/>
        </w:rPr>
      </w:pPr>
      <w:r>
        <w:rPr>
          <w:rFonts w:ascii="Arial" w:cs="Arial" w:eastAsia="Arial" w:hAnsi="Arial"/>
          <w:sz w:val="18"/>
          <w:szCs w:val="18"/>
          <w:b w:val="1"/>
          <w:bCs w:val="1"/>
          <w:color w:val="auto"/>
        </w:rPr>
        <w:t>PennantPark Investment Corporation</w:t>
      </w:r>
    </w:p>
    <w:p>
      <w:pPr>
        <w:spacing w:after="0" w:line="229" w:lineRule="exact"/>
        <w:rPr>
          <w:sz w:val="20"/>
          <w:szCs w:val="20"/>
          <w:color w:val="auto"/>
        </w:rPr>
      </w:pPr>
    </w:p>
    <w:p>
      <w:pPr>
        <w:spacing w:after="0"/>
        <w:tabs>
          <w:tab w:leader="none" w:pos="8020" w:val="left"/>
        </w:tabs>
        <w:rPr>
          <w:sz w:val="20"/>
          <w:szCs w:val="20"/>
          <w:color w:val="auto"/>
        </w:rPr>
      </w:pPr>
      <w:r>
        <w:rPr>
          <w:rFonts w:ascii="Arial" w:cs="Arial" w:eastAsia="Arial" w:hAnsi="Arial"/>
          <w:sz w:val="18"/>
          <w:szCs w:val="18"/>
          <w:color w:val="auto"/>
        </w:rPr>
        <w:t>Date: March 20, 2015</w:t>
      </w:r>
      <w:r>
        <w:rPr>
          <w:sz w:val="20"/>
          <w:szCs w:val="20"/>
          <w:color w:val="auto"/>
        </w:rPr>
        <w:tab/>
      </w:r>
      <w:r>
        <w:rPr>
          <w:rFonts w:ascii="Arial" w:cs="Arial" w:eastAsia="Arial" w:hAnsi="Arial"/>
          <w:sz w:val="17"/>
          <w:szCs w:val="17"/>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Aviv Efrat</w:t>
      </w:r>
    </w:p>
    <w:p>
      <w:pPr>
        <w:spacing w:after="0" w:line="23"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Chief Financial Officer &amp; Treasurer</w:t>
      </w:r>
    </w:p>
    <w:sectPr>
      <w:pgSz w:w="11900" w:h="16838" w:orient="portrait"/>
      <w:cols w:equalWidth="0" w:num="1">
        <w:col w:w="11240"/>
      </w:cols>
      <w:pgMar w:left="320" w:top="2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2020-05-05T15:11:04Z</dcterms:created>
  <dcterms:modified xsi:type="dcterms:W3CDTF">2020-05-05T15:11:04Z</dcterms:modified>
</cp:coreProperties>
</file>