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497(a)(1)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1569085"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9085" cy="360045"/>
                    </a:xfrm>
                    <a:prstGeom prst="rect">
                      <a:avLst/>
                    </a:prstGeom>
                    <a:noFill/>
                  </pic:spPr>
                </pic:pic>
              </a:graphicData>
            </a:graphic>
          </wp:anchor>
        </w:drawing>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333-150033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 ad</w:t>
      </w:r>
    </w:p>
    <w:p>
      <w:pPr>
        <w:spacing w:after="0" w:line="2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Announces Public Offering</w:t>
      </w:r>
    </w:p>
    <w:p>
      <w:pPr>
        <w:spacing w:after="0" w:line="177"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 xml:space="preserve">NEW YORK, NY – August 17, 2010 – PennantPark Investment Corporation (the “Company”) (NASDAQ: </w:t>
      </w:r>
      <w:r>
        <w:rPr>
          <w:rFonts w:ascii="Arial" w:cs="Arial" w:eastAsia="Arial" w:hAnsi="Arial"/>
          <w:sz w:val="18"/>
          <w:szCs w:val="18"/>
          <w:u w:val="single" w:color="auto"/>
          <w:color w:val="auto"/>
        </w:rPr>
        <w:t>PNNT</w:t>
      </w:r>
      <w:r>
        <w:rPr>
          <w:rFonts w:ascii="Arial" w:cs="Arial" w:eastAsia="Arial" w:hAnsi="Arial"/>
          <w:sz w:val="18"/>
          <w:szCs w:val="18"/>
          <w:color w:val="auto"/>
        </w:rPr>
        <w:t>) announced that it plans to make a public offering of 4,000,000 shares of its common stock. The Company also has granted the underwriters an option to purchase up to an additional 600,000 shares of common stock to cover over-allotments, if any. The offering price of the shares will be determined by market conditions at the time of pricing in consultation with the underwriters of the offering. The offering of the shares will be made under the Company’s shelf registration statement, which was filed with, and has been declared effective by, the Securities and Exchange Commission.</w:t>
      </w:r>
    </w:p>
    <w:p>
      <w:pPr>
        <w:spacing w:after="0" w:line="143" w:lineRule="exact"/>
        <w:rPr>
          <w:sz w:val="24"/>
          <w:szCs w:val="24"/>
          <w:color w:val="auto"/>
        </w:rPr>
      </w:pPr>
    </w:p>
    <w:p>
      <w:pPr>
        <w:ind w:right="120"/>
        <w:spacing w:after="0" w:line="268" w:lineRule="auto"/>
        <w:rPr>
          <w:sz w:val="20"/>
          <w:szCs w:val="20"/>
          <w:color w:val="auto"/>
        </w:rPr>
      </w:pPr>
      <w:r>
        <w:rPr>
          <w:rFonts w:ascii="Arial" w:cs="Arial" w:eastAsia="Arial" w:hAnsi="Arial"/>
          <w:sz w:val="18"/>
          <w:szCs w:val="18"/>
          <w:color w:val="auto"/>
        </w:rPr>
        <w:t>The Company expects to use the net proceeds for general corporate or strategic purposes, including repayment of outstanding indebtedness, funding investments in accordance with its investment objectives and to capitalize PennantPark SBIC LP.</w:t>
      </w:r>
    </w:p>
    <w:p>
      <w:pPr>
        <w:spacing w:after="0" w:line="132" w:lineRule="exact"/>
        <w:rPr>
          <w:sz w:val="24"/>
          <w:szCs w:val="24"/>
          <w:color w:val="auto"/>
        </w:rPr>
      </w:pPr>
    </w:p>
    <w:p>
      <w:pPr>
        <w:ind w:right="660"/>
        <w:spacing w:after="0" w:line="268" w:lineRule="auto"/>
        <w:rPr>
          <w:sz w:val="20"/>
          <w:szCs w:val="20"/>
          <w:color w:val="auto"/>
        </w:rPr>
      </w:pPr>
      <w:r>
        <w:rPr>
          <w:rFonts w:ascii="Arial" w:cs="Arial" w:eastAsia="Arial" w:hAnsi="Arial"/>
          <w:sz w:val="18"/>
          <w:szCs w:val="18"/>
          <w:color w:val="auto"/>
        </w:rPr>
        <w:t>J.P. Morgan Securities Inc., Morgan Stanley &amp; Co. Incorporated, SunTrust Robinson Humphrey, Inc., and Wells Fargo Securities, LLC are acting as joint bookrunning underwriters.</w:t>
      </w:r>
    </w:p>
    <w:p>
      <w:pPr>
        <w:spacing w:after="0" w:line="126" w:lineRule="exact"/>
        <w:rPr>
          <w:sz w:val="24"/>
          <w:szCs w:val="24"/>
          <w:color w:val="auto"/>
        </w:rPr>
      </w:pPr>
    </w:p>
    <w:p>
      <w:pPr>
        <w:jc w:val="both"/>
        <w:ind w:right="140"/>
        <w:spacing w:after="0" w:line="310" w:lineRule="auto"/>
        <w:rPr>
          <w:sz w:val="20"/>
          <w:szCs w:val="20"/>
          <w:color w:val="auto"/>
        </w:rPr>
      </w:pPr>
      <w:r>
        <w:rPr>
          <w:rFonts w:ascii="Arial" w:cs="Arial" w:eastAsia="Arial" w:hAnsi="Arial"/>
          <w:sz w:val="16"/>
          <w:szCs w:val="16"/>
          <w:b w:val="1"/>
          <w:bCs w:val="1"/>
          <w:color w:val="auto"/>
        </w:rPr>
        <w:t>Investors are advised to carefully consider the investment objectives, risks and charges and expenses of the Company before investing. The prospectus supplement dated August 17, 2010 and the accompanying prospectus dated February 24, 2010, which have been filed with the Securities and Exchange Commission, contain this and other information about the Company and should be read carefully before investing.</w:t>
      </w:r>
    </w:p>
    <w:p>
      <w:pPr>
        <w:spacing w:after="0" w:line="103" w:lineRule="exact"/>
        <w:rPr>
          <w:sz w:val="24"/>
          <w:szCs w:val="24"/>
          <w:color w:val="auto"/>
        </w:rPr>
      </w:pPr>
    </w:p>
    <w:p>
      <w:pPr>
        <w:jc w:val="both"/>
        <w:ind w:right="80"/>
        <w:spacing w:after="0" w:line="306" w:lineRule="auto"/>
        <w:rPr>
          <w:sz w:val="20"/>
          <w:szCs w:val="20"/>
          <w:color w:val="auto"/>
        </w:rPr>
      </w:pPr>
      <w:r>
        <w:rPr>
          <w:rFonts w:ascii="Arial" w:cs="Arial" w:eastAsia="Arial" w:hAnsi="Arial"/>
          <w:sz w:val="16"/>
          <w:szCs w:val="16"/>
          <w:color w:val="auto"/>
        </w:rPr>
        <w:t>This press release does not constitute an offer to sell or the solicitation of an offer to buy nor will there be any sale of the shares referred to in this press release in any state or jurisdiction in which such offer, solicitation or sale would be unlawful prior to the registration or qualification under the securities laws of such state or jurisdiction. A registration statement relating to these securities was filed and has been declared effective by the Securities and Exchange Commission.</w:t>
      </w:r>
    </w:p>
    <w:p>
      <w:pPr>
        <w:spacing w:after="0" w:line="101" w:lineRule="exact"/>
        <w:rPr>
          <w:sz w:val="24"/>
          <w:szCs w:val="24"/>
          <w:color w:val="auto"/>
        </w:rPr>
      </w:pPr>
    </w:p>
    <w:p>
      <w:pPr>
        <w:ind w:right="60"/>
        <w:spacing w:after="0" w:line="254" w:lineRule="auto"/>
        <w:rPr>
          <w:sz w:val="20"/>
          <w:szCs w:val="20"/>
          <w:color w:val="auto"/>
        </w:rPr>
      </w:pPr>
      <w:r>
        <w:rPr>
          <w:rFonts w:ascii="Arial" w:cs="Arial" w:eastAsia="Arial" w:hAnsi="Arial"/>
          <w:sz w:val="18"/>
          <w:szCs w:val="18"/>
          <w:b w:val="1"/>
          <w:bCs w:val="1"/>
          <w:color w:val="auto"/>
        </w:rPr>
        <w:t xml:space="preserve">The offering may be made only by means of a prospectus and a related prospectus supplement, copies of which may be obtained from the joint bookrunners at the following addresses: J.P. Morgan Securities Inc. c/o Broadridge Financial Solutions, 1155 Long Island Avenue, Edgewood, NY 11717 or by calling toll-free (866) 803-9204; Morgan Stanley &amp; Co. Incorporated, via telephone: (866) 718-1649, email: </w:t>
      </w:r>
      <w:r>
        <w:rPr>
          <w:rFonts w:ascii="Arial" w:cs="Arial" w:eastAsia="Arial" w:hAnsi="Arial"/>
          <w:sz w:val="18"/>
          <w:szCs w:val="18"/>
          <w:b w:val="1"/>
          <w:bCs w:val="1"/>
          <w:u w:val="single" w:color="auto"/>
          <w:color w:val="auto"/>
        </w:rPr>
        <w:t>prospectus@morganstanley.com</w:t>
      </w:r>
      <w:r>
        <w:rPr>
          <w:rFonts w:ascii="Arial" w:cs="Arial" w:eastAsia="Arial" w:hAnsi="Arial"/>
          <w:sz w:val="18"/>
          <w:szCs w:val="18"/>
          <w:b w:val="1"/>
          <w:bCs w:val="1"/>
          <w:color w:val="auto"/>
        </w:rPr>
        <w:t>, or standard mail at Morgan Stanley &amp; Co. Incorporated, 180 Varick Street, 2</w:t>
      </w:r>
      <w:r>
        <w:rPr>
          <w:rFonts w:ascii="Arial" w:cs="Arial" w:eastAsia="Arial" w:hAnsi="Arial"/>
          <w:sz w:val="11"/>
          <w:szCs w:val="11"/>
          <w:b w:val="1"/>
          <w:bCs w:val="1"/>
          <w:color w:val="auto"/>
        </w:rPr>
        <w:t>nd</w:t>
      </w:r>
      <w:r>
        <w:rPr>
          <w:rFonts w:ascii="Arial" w:cs="Arial" w:eastAsia="Arial" w:hAnsi="Arial"/>
          <w:sz w:val="18"/>
          <w:szCs w:val="18"/>
          <w:b w:val="1"/>
          <w:bCs w:val="1"/>
          <w:color w:val="auto"/>
        </w:rPr>
        <w:t xml:space="preserve"> Floor, New York, NY 10014, Attention: Prospectus Department; SunTrust Robinson Humphrey, Inc. at 3333 Peachtree Road NE, Atlanta, Georgia 30326, via telephone: (404) 926-5744 or email: prospectus@rhco.com; and Wells Fargo Securities, LLC, Attention: Equity Syndicate Department at 375 Park Avenue, New York, NY 10152-4077, equity.syndicate@wellsfargo.com or (800) 326-5897.</w:t>
      </w:r>
    </w:p>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PENNANTPARK INVESTMENT CORPORATION</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PennantPark Investment Corporation is a business development company which principally invests in U.S. middle-market private companies in the form of mezzanine debt, senior secured loans and equity investments. From time to time, the Company may also invest in public companies whose securities are thinly traded. PennantPark Investment Corporation is managed by PennantPark Investment Advisers, LLC.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ectPr>
          <w:pgSz w:w="11900" w:h="16838" w:orient="portrait"/>
          <w:cols w:equalWidth="0" w:num="1">
            <w:col w:w="11320"/>
          </w:cols>
          <w:pgMar w:left="240" w:top="280" w:right="339" w:bottom="1440" w:gutter="0" w:footer="0" w:header="0"/>
        </w:sectPr>
      </w:pP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CONTACT:</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color w:val="auto"/>
        </w:rPr>
        <w:t>PennantPark Investment Corporation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(212) 905-1000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www.pennantpark.com</w:t>
      </w:r>
    </w:p>
    <w:sectPr>
      <w:pgSz w:w="11900" w:h="16838" w:orient="portrait"/>
      <w:cols w:equalWidth="0" w:num="2">
        <w:col w:w="860" w:space="620"/>
        <w:col w:w="9840"/>
      </w:cols>
      <w:pgMar w:left="240" w:top="28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2019-12-11T04:26:25Z</dcterms:created>
  <dcterms:modified xsi:type="dcterms:W3CDTF">2019-12-11T04:26:25Z</dcterms:modified>
</cp:coreProperties>
</file>