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8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8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8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169545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ind w:left="4504"/>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784"/>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83"/>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83"/>
        <w:spacing w:after="0"/>
        <w:rPr>
          <w:sz w:val="20"/>
          <w:szCs w:val="20"/>
          <w:color w:val="auto"/>
        </w:rPr>
      </w:pPr>
      <w:r>
        <w:rPr>
          <w:rFonts w:ascii="Arial" w:cs="Arial" w:eastAsia="Arial" w:hAnsi="Arial"/>
          <w:sz w:val="18"/>
          <w:szCs w:val="18"/>
          <w:b w:val="1"/>
          <w:bCs w:val="1"/>
          <w:color w:val="auto"/>
        </w:rPr>
        <w:t>Date of Report: April 13, 2021</w:t>
      </w:r>
    </w:p>
    <w:p>
      <w:pPr>
        <w:spacing w:after="0" w:line="21" w:lineRule="exact"/>
        <w:rPr>
          <w:sz w:val="24"/>
          <w:szCs w:val="24"/>
          <w:color w:val="auto"/>
        </w:rPr>
      </w:pPr>
    </w:p>
    <w:p>
      <w:pPr>
        <w:jc w:val="center"/>
        <w:ind w:right="-83"/>
        <w:spacing w:after="0"/>
        <w:rPr>
          <w:sz w:val="20"/>
          <w:szCs w:val="20"/>
          <w:color w:val="auto"/>
        </w:rPr>
      </w:pPr>
      <w:r>
        <w:rPr>
          <w:rFonts w:ascii="Arial" w:cs="Arial" w:eastAsia="Arial" w:hAnsi="Arial"/>
          <w:sz w:val="14"/>
          <w:szCs w:val="14"/>
          <w:b w:val="1"/>
          <w:bCs w:val="1"/>
          <w:color w:val="auto"/>
        </w:rPr>
        <w:t>(Date of earliest event reported)</w:t>
      </w:r>
    </w:p>
    <w:p>
      <w:pPr>
        <w:spacing w:after="0" w:line="192" w:lineRule="exact"/>
        <w:rPr>
          <w:sz w:val="24"/>
          <w:szCs w:val="24"/>
          <w:color w:val="auto"/>
        </w:rPr>
      </w:pPr>
    </w:p>
    <w:p>
      <w:pPr>
        <w:jc w:val="center"/>
        <w:ind w:right="-83"/>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4"/>
          <w:szCs w:val="24"/>
          <w:color w:val="auto"/>
        </w:rPr>
      </w:pPr>
    </w:p>
    <w:p>
      <w:pPr>
        <w:jc w:val="center"/>
        <w:ind w:right="-83"/>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0944"/>
          </w:cols>
          <w:pgMar w:left="436" w:top="368" w:right="5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left="1484"/>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814-00736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20-8250744</w:t>
      </w:r>
    </w:p>
    <w:p>
      <w:pPr>
        <w:spacing w:after="0" w:line="31" w:lineRule="exact"/>
        <w:rPr>
          <w:sz w:val="24"/>
          <w:szCs w:val="24"/>
          <w:color w:val="auto"/>
        </w:rPr>
      </w:pPr>
    </w:p>
    <w:p>
      <w:pPr>
        <w:sectPr>
          <w:pgSz w:w="11900" w:h="16838" w:orient="portrait"/>
          <w:cols w:equalWidth="0" w:num="3">
            <w:col w:w="4504" w:space="720"/>
            <w:col w:w="2880" w:space="720"/>
            <w:col w:w="2120"/>
          </w:cols>
          <w:pgMar w:left="436" w:top="368" w:right="519" w:bottom="1440" w:gutter="0" w:footer="0" w:header="0"/>
          <w:type w:val="continuous"/>
        </w:sectPr>
      </w:pPr>
    </w:p>
    <w:p>
      <w:pPr>
        <w:spacing w:after="0" w:line="11"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80"/>
        <w:spacing w:after="0"/>
        <w:rPr>
          <w:sz w:val="20"/>
          <w:szCs w:val="20"/>
          <w:color w:val="auto"/>
        </w:rPr>
      </w:pPr>
      <w:r>
        <w:rPr>
          <w:rFonts w:ascii="Arial" w:cs="Arial" w:eastAsia="Arial" w:hAnsi="Arial"/>
          <w:sz w:val="14"/>
          <w:szCs w:val="14"/>
          <w:b w:val="1"/>
          <w:bCs w:val="1"/>
          <w:color w:val="auto"/>
        </w:rPr>
        <w:t>(IRS Employer</w:t>
      </w:r>
    </w:p>
    <w:p>
      <w:pPr>
        <w:jc w:val="center"/>
        <w:ind w:right="980"/>
        <w:spacing w:after="0"/>
        <w:rPr>
          <w:sz w:val="20"/>
          <w:szCs w:val="20"/>
          <w:color w:val="auto"/>
        </w:rPr>
      </w:pPr>
      <w:r>
        <w:rPr>
          <w:rFonts w:ascii="Arial" w:cs="Arial" w:eastAsia="Arial" w:hAnsi="Arial"/>
          <w:sz w:val="13"/>
          <w:szCs w:val="13"/>
          <w:b w:val="1"/>
          <w:bCs w:val="1"/>
          <w:color w:val="auto"/>
        </w:rPr>
        <w:t>Identification Number)</w:t>
      </w:r>
    </w:p>
    <w:p>
      <w:pPr>
        <w:spacing w:after="0" w:line="211" w:lineRule="exact"/>
        <w:rPr>
          <w:sz w:val="24"/>
          <w:szCs w:val="24"/>
          <w:color w:val="auto"/>
        </w:rPr>
      </w:pPr>
    </w:p>
    <w:p>
      <w:pPr>
        <w:sectPr>
          <w:pgSz w:w="11900" w:h="16838" w:orient="portrait"/>
          <w:cols w:equalWidth="0" w:num="3">
            <w:col w:w="4484" w:space="720"/>
            <w:col w:w="2620" w:space="720"/>
            <w:col w:w="2400"/>
          </w:cols>
          <w:pgMar w:left="436" w:top="368" w:right="519" w:bottom="1440" w:gutter="0" w:footer="0" w:header="0"/>
          <w:type w:val="continuous"/>
        </w:sectPr>
      </w:pPr>
    </w:p>
    <w:p>
      <w:pPr>
        <w:spacing w:after="0" w:line="19" w:lineRule="exact"/>
        <w:rPr>
          <w:sz w:val="24"/>
          <w:szCs w:val="24"/>
          <w:color w:val="auto"/>
        </w:rPr>
      </w:pPr>
    </w:p>
    <w:p>
      <w:pPr>
        <w:jc w:val="center"/>
        <w:ind w:right="1836"/>
        <w:spacing w:after="0"/>
        <w:rPr>
          <w:sz w:val="20"/>
          <w:szCs w:val="20"/>
          <w:color w:val="auto"/>
        </w:rPr>
      </w:pPr>
      <w:r>
        <w:rPr>
          <w:rFonts w:ascii="Arial" w:cs="Arial" w:eastAsia="Arial" w:hAnsi="Arial"/>
          <w:sz w:val="16"/>
          <w:szCs w:val="16"/>
          <w:b w:val="1"/>
          <w:bCs w:val="1"/>
          <w:color w:val="auto"/>
        </w:rPr>
        <w:t>590 Madison Avenue, 15th Floor,</w:t>
      </w:r>
    </w:p>
    <w:p>
      <w:pPr>
        <w:spacing w:after="0" w:line="50" w:lineRule="exact"/>
        <w:rPr>
          <w:sz w:val="24"/>
          <w:szCs w:val="24"/>
          <w:color w:val="auto"/>
        </w:rPr>
      </w:pPr>
    </w:p>
    <w:p>
      <w:pPr>
        <w:jc w:val="center"/>
        <w:ind w:right="1836"/>
        <w:spacing w:after="0"/>
        <w:rPr>
          <w:sz w:val="20"/>
          <w:szCs w:val="20"/>
          <w:color w:val="auto"/>
        </w:rPr>
      </w:pPr>
      <w:r>
        <w:rPr>
          <w:rFonts w:ascii="Arial" w:cs="Arial" w:eastAsia="Arial" w:hAnsi="Arial"/>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10022</w:t>
      </w:r>
    </w:p>
    <w:p>
      <w:pPr>
        <w:spacing w:after="0" w:line="277" w:lineRule="exact"/>
        <w:rPr>
          <w:sz w:val="24"/>
          <w:szCs w:val="24"/>
          <w:color w:val="auto"/>
        </w:rPr>
      </w:pPr>
    </w:p>
    <w:p>
      <w:pPr>
        <w:sectPr>
          <w:pgSz w:w="11900" w:h="16838" w:orient="portrait"/>
          <w:cols w:equalWidth="0" w:num="2">
            <w:col w:w="7404" w:space="720"/>
            <w:col w:w="2820"/>
          </w:cols>
          <w:pgMar w:left="436" w:top="368" w:right="519" w:bottom="1440" w:gutter="0" w:footer="0" w:header="0"/>
          <w:type w:val="continuous"/>
        </w:sectPr>
      </w:pPr>
    </w:p>
    <w:p>
      <w:pPr>
        <w:ind w:left="154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7284" w:space="720"/>
            <w:col w:w="2940"/>
          </w:cols>
          <w:pgMar w:left="436" w:top="368" w:right="519" w:bottom="1440" w:gutter="0" w:footer="0" w:header="0"/>
          <w:type w:val="continuous"/>
        </w:sectPr>
      </w:pPr>
    </w:p>
    <w:p>
      <w:pPr>
        <w:spacing w:after="0" w:line="10" w:lineRule="exact"/>
        <w:rPr>
          <w:sz w:val="24"/>
          <w:szCs w:val="24"/>
          <w:color w:val="auto"/>
        </w:rPr>
      </w:pPr>
    </w:p>
    <w:p>
      <w:pPr>
        <w:jc w:val="center"/>
        <w:ind w:right="-83"/>
        <w:spacing w:after="0"/>
        <w:rPr>
          <w:sz w:val="20"/>
          <w:szCs w:val="20"/>
          <w:color w:val="auto"/>
        </w:rPr>
      </w:pPr>
      <w:r>
        <w:rPr>
          <w:rFonts w:ascii="Arial" w:cs="Arial" w:eastAsia="Arial" w:hAnsi="Arial"/>
          <w:sz w:val="18"/>
          <w:szCs w:val="18"/>
          <w:b w:val="1"/>
          <w:bCs w:val="1"/>
          <w:color w:val="auto"/>
        </w:rPr>
        <w:t>(212) 905-1000</w:t>
      </w:r>
    </w:p>
    <w:p>
      <w:pPr>
        <w:spacing w:after="0" w:line="21" w:lineRule="exact"/>
        <w:rPr>
          <w:sz w:val="24"/>
          <w:szCs w:val="24"/>
          <w:color w:val="auto"/>
        </w:rPr>
      </w:pPr>
    </w:p>
    <w:p>
      <w:pPr>
        <w:jc w:val="center"/>
        <w:ind w:right="-8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8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8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 w:right="4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4" w:lineRule="exact"/>
        <w:rPr>
          <w:sz w:val="24"/>
          <w:szCs w:val="24"/>
          <w:color w:val="auto"/>
        </w:rPr>
      </w:pPr>
    </w:p>
    <w:tbl>
      <w:tblPr>
        <w:tblLayout w:type="fixed"/>
        <w:tblInd w:w="224" w:type="dxa"/>
        <w:tblCellMar>
          <w:top w:w="0" w:type="dxa"/>
          <w:left w:w="0" w:type="dxa"/>
          <w:bottom w:w="0" w:type="dxa"/>
          <w:right w:w="0" w:type="dxa"/>
        </w:tblCellMar>
      </w:tblPr>
      <w:tr>
        <w:trPr>
          <w:trHeight w:val="171"/>
        </w:trPr>
        <w:tc>
          <w:tcPr>
            <w:tcW w:w="106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258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Trading Symbol(s)</w:t>
            </w:r>
          </w:p>
        </w:tc>
        <w:tc>
          <w:tcPr>
            <w:tcW w:w="1640" w:type="dxa"/>
            <w:vAlign w:val="bottom"/>
          </w:tcPr>
          <w:p>
            <w:pPr>
              <w:spacing w:after="0"/>
              <w:rPr>
                <w:sz w:val="14"/>
                <w:szCs w:val="14"/>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191"/>
        </w:trPr>
        <w:tc>
          <w:tcPr>
            <w:tcW w:w="4820" w:type="dxa"/>
            <w:vAlign w:val="bottom"/>
            <w:gridSpan w:val="3"/>
          </w:tcPr>
          <w:p>
            <w:pPr>
              <w:jc w:val="center"/>
              <w:ind w:right="1520"/>
              <w:spacing w:after="0" w:line="191" w:lineRule="exact"/>
              <w:rPr>
                <w:sz w:val="20"/>
                <w:szCs w:val="20"/>
                <w:color w:val="auto"/>
              </w:rPr>
            </w:pPr>
            <w:r>
              <w:rPr>
                <w:rFonts w:ascii="Arial" w:cs="Arial" w:eastAsia="Arial" w:hAnsi="Arial"/>
                <w:sz w:val="18"/>
                <w:szCs w:val="18"/>
                <w:b w:val="1"/>
                <w:bCs w:val="1"/>
                <w:color w:val="auto"/>
                <w:w w:val="89"/>
              </w:rPr>
              <w:t>Common Stock, par value $0.001 per share</w:t>
            </w:r>
          </w:p>
        </w:tc>
        <w:tc>
          <w:tcPr>
            <w:tcW w:w="11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7"/>
              </w:rPr>
              <w:t>PNNT</w:t>
            </w:r>
          </w:p>
        </w:tc>
        <w:tc>
          <w:tcPr>
            <w:tcW w:w="1640" w:type="dxa"/>
            <w:vAlign w:val="bottom"/>
          </w:tcPr>
          <w:p>
            <w:pPr>
              <w:spacing w:after="0"/>
              <w:rPr>
                <w:sz w:val="16"/>
                <w:szCs w:val="16"/>
                <w:color w:val="auto"/>
              </w:rPr>
            </w:pPr>
          </w:p>
        </w:tc>
        <w:tc>
          <w:tcPr>
            <w:tcW w:w="28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r>
      <w:tr>
        <w:trPr>
          <w:trHeight w:val="234"/>
        </w:trPr>
        <w:tc>
          <w:tcPr>
            <w:tcW w:w="4820" w:type="dxa"/>
            <w:vAlign w:val="bottom"/>
            <w:gridSpan w:val="3"/>
          </w:tcPr>
          <w:p>
            <w:pPr>
              <w:jc w:val="center"/>
              <w:ind w:right="1520"/>
              <w:spacing w:after="0"/>
              <w:rPr>
                <w:sz w:val="20"/>
                <w:szCs w:val="20"/>
                <w:color w:val="auto"/>
              </w:rPr>
            </w:pPr>
            <w:r>
              <w:rPr>
                <w:rFonts w:ascii="Arial" w:cs="Arial" w:eastAsia="Arial" w:hAnsi="Arial"/>
                <w:sz w:val="18"/>
                <w:szCs w:val="18"/>
                <w:b w:val="1"/>
                <w:bCs w:val="1"/>
                <w:color w:val="auto"/>
                <w:w w:val="90"/>
              </w:rPr>
              <w:t>5.50% Notes due 2024</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rPr>
              <w:t>PNNTG</w:t>
            </w:r>
          </w:p>
        </w:tc>
        <w:tc>
          <w:tcPr>
            <w:tcW w:w="1640" w:type="dxa"/>
            <w:vAlign w:val="bottom"/>
          </w:tcPr>
          <w:p>
            <w:pPr>
              <w:spacing w:after="0"/>
              <w:rPr>
                <w:sz w:val="20"/>
                <w:szCs w:val="20"/>
                <w:color w:val="auto"/>
              </w:rPr>
            </w:pPr>
          </w:p>
        </w:tc>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r>
    </w:tbl>
    <w:p>
      <w:pPr>
        <w:spacing w:after="0" w:line="202" w:lineRule="exact"/>
        <w:rPr>
          <w:sz w:val="24"/>
          <w:szCs w:val="24"/>
          <w:color w:val="auto"/>
        </w:rPr>
      </w:pPr>
    </w:p>
    <w:p>
      <w:pPr>
        <w:ind w:left="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 230.405) or Rule 12b-2 of the Securities Exchange Act of 1934 (17 CFR § 240.12b-2).</w:t>
      </w:r>
    </w:p>
    <w:p>
      <w:pPr>
        <w:spacing w:after="0" w:line="30"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left="4" w:right="2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68" w:right="519" w:bottom="1440" w:gutter="0" w:footer="0" w:header="0"/>
          <w:type w:val="continuous"/>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ESTIMATES OF CERTAIN FINANCIAL HIGHLIGHTS</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PennantPark Investment Corporation (NASDAQ: PNNT) (“PNNT”, the “Company,” “we,” “us,” or “our”) today announced certain preliminary estimates of its financial results for the quarter ended March 31, 2021.</w:t>
      </w:r>
    </w:p>
    <w:p>
      <w:pPr>
        <w:spacing w:after="0" w:line="76" w:lineRule="exact"/>
        <w:rPr>
          <w:sz w:val="20"/>
          <w:szCs w:val="20"/>
          <w:color w:val="auto"/>
        </w:rPr>
      </w:pPr>
    </w:p>
    <w:p>
      <w:pPr>
        <w:ind w:left="960" w:right="20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net asset value per share is estimated to be between $9.15 and $9.25 per common share as of March 31, 2021. This compares to a GAAP net asset value per common share of $8.78 as of December 31, 2020.</w:t>
      </w:r>
    </w:p>
    <w:p>
      <w:pPr>
        <w:spacing w:after="0" w:line="75" w:lineRule="exact"/>
        <w:rPr>
          <w:rFonts w:ascii="Arial" w:cs="Arial" w:eastAsia="Arial" w:hAnsi="Arial"/>
          <w:sz w:val="18"/>
          <w:szCs w:val="18"/>
          <w:color w:val="auto"/>
        </w:rPr>
      </w:pPr>
    </w:p>
    <w:p>
      <w:pPr>
        <w:ind w:left="960" w:right="700" w:hanging="424"/>
        <w:spacing w:after="0" w:line="308" w:lineRule="auto"/>
        <w:tabs>
          <w:tab w:leader="none" w:pos="960" w:val="left"/>
        </w:tabs>
        <w:numPr>
          <w:ilvl w:val="0"/>
          <w:numId w:val="2"/>
        </w:numPr>
        <w:rPr>
          <w:rFonts w:ascii="Arial" w:cs="Arial" w:eastAsia="Arial" w:hAnsi="Arial"/>
          <w:sz w:val="17"/>
          <w:szCs w:val="17"/>
          <w:color w:val="auto"/>
        </w:rPr>
      </w:pPr>
      <w:r>
        <w:rPr>
          <w:rFonts w:ascii="Arial" w:cs="Arial" w:eastAsia="Arial" w:hAnsi="Arial"/>
          <w:sz w:val="17"/>
          <w:szCs w:val="17"/>
          <w:color w:val="auto"/>
        </w:rPr>
        <w:t>Net investment income is estimated to be between $0.12 and $0.14 per common share for the quarter ended March 31, 2021. This compares to net investment income of $0.12 per common share for the quarter ended December 31, 2020.</w:t>
      </w:r>
    </w:p>
    <w:p>
      <w:pPr>
        <w:spacing w:after="0" w:line="51" w:lineRule="exact"/>
        <w:rPr>
          <w:rFonts w:ascii="Arial" w:cs="Arial" w:eastAsia="Arial" w:hAnsi="Arial"/>
          <w:sz w:val="17"/>
          <w:szCs w:val="17"/>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loans were on non-accrual status as of March 31, 2021.</w:t>
      </w:r>
    </w:p>
    <w:p>
      <w:pPr>
        <w:spacing w:after="0" w:line="130" w:lineRule="exact"/>
        <w:rPr>
          <w:rFonts w:ascii="Arial" w:cs="Arial" w:eastAsia="Arial" w:hAnsi="Arial"/>
          <w:sz w:val="18"/>
          <w:szCs w:val="18"/>
          <w:color w:val="auto"/>
        </w:rPr>
      </w:pPr>
    </w:p>
    <w:p>
      <w:pPr>
        <w:ind w:left="960" w:right="120" w:hanging="424"/>
        <w:spacing w:after="0" w:line="311" w:lineRule="auto"/>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As of March 31, 2021, at cost, we had approximately $375.5 million of borrowings outstanding under our multi-currency, senior secured revolving credit facility with Truist Bank (formerly SunTrust Bank), approximately $86.3 million in aggregate principal amount of 5.50% Notes due 2024 outstanding and $108.5 million of indebtedness outstanding under our Small Business Administration debentures.</w:t>
      </w:r>
    </w:p>
    <w:p>
      <w:pPr>
        <w:spacing w:after="0" w:line="54" w:lineRule="exact"/>
        <w:rPr>
          <w:rFonts w:ascii="Arial" w:cs="Arial" w:eastAsia="Arial" w:hAnsi="Arial"/>
          <w:sz w:val="16"/>
          <w:szCs w:val="16"/>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of March 31, 2021, we had approximately $33.9 million in cash and cash equivalents.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These estimates are subject to the completion of our financial closing procedures and are not a comprehensive statement of our financial position, results of operations or cash flows for the quarter ended March 31, 2021. Final results may differ materially from these estimates as a result of the completion of our financial closing procedures, as well as any subsequent events, including the discovery of information affecting fair values of our portfolio investments as of March 31, 2021, arising between the date hereof and the completion of our financial statements and the filing of our Form 10-Q for the quarter then ended.</w:t>
      </w:r>
    </w:p>
    <w:p>
      <w:pPr>
        <w:spacing w:after="0" w:line="188"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color w:val="auto"/>
        </w:rPr>
        <w:t>The preliminary financial estimates provided herein have been prepared by, and are the responsibility of PNNT’s management. RSM US LLP, our independent registered public accounting firm, has not audited, reviewed, compiled, or performed any procedures with respect to the accompanying preliminary financial data. Accordingly, RSM US LLP does not express an opinion or any other form of assurance with respect thereto.</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This report on Form 8-K may contain “forward-looking statements” within the meaning of the Private Securities Litigation Reform Act of 1995. You should understand that under Section 27A(b)(2)(B) of the Securities Act of 1933, as amended, and Section 21E(b)(2)(B) of the Securities Exchange Act of 1934, as amended (the “Exchange Act”), the “safe harbor” provisions of the Private Securities Litigation Reform Act of 1995 do not apply to forward-looking statements made in periodic reports the Company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as well as changes in the economy and risks associated with possible disruption in the Company’s operations or the economy generally due to terrorism, natural disasters or pandemics such as COVID-19. The Company undertakes no duty to update any forward-looking statement made herein. You should not place undue influence on such forward-looking statements as such statements speak only as of the date on which they are made.</w:t>
      </w:r>
    </w:p>
    <w:p>
      <w:pPr>
        <w:spacing w:after="0" w:line="18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Company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ectPr>
          <w:pgSz w:w="11900" w:h="16838" w:orient="portrait"/>
          <w:cols w:equalWidth="0" w:num="1">
            <w:col w:w="11000"/>
          </w:cols>
          <w:pgMar w:left="440" w:top="270" w:right="45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April 13, 2021</w:t>
      </w:r>
      <w:r>
        <w:rPr>
          <w:sz w:val="20"/>
          <w:szCs w:val="20"/>
          <w:color w:val="auto"/>
        </w:rPr>
        <w:tab/>
      </w:r>
      <w:r>
        <w:rPr>
          <w:rFonts w:ascii="Arial" w:cs="Arial" w:eastAsia="Arial" w:hAnsi="Arial"/>
          <w:sz w:val="18"/>
          <w:szCs w:val="18"/>
          <w:b w:val="1"/>
          <w:bCs w:val="1"/>
          <w:color w:val="auto"/>
        </w:rPr>
        <w:t>PENNANTPARK INVESTMENT CORPORATION</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Aviv Efrat</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Chief Financial Officer &amp; Treasurer</w:t>
      </w:r>
    </w:p>
    <w:sectPr>
      <w:pgSz w:w="11900" w:h="16838" w:orient="portrait"/>
      <w:cols w:equalWidth="0" w:num="1">
        <w:col w:w="10880"/>
      </w:cols>
      <w:pgMar w:left="440" w:top="270"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2021-04-13T07:31:46Z</dcterms:created>
  <dcterms:modified xsi:type="dcterms:W3CDTF">2021-04-13T07:31:46Z</dcterms:modified>
</cp:coreProperties>
</file>