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07,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40"/>
        <w:spacing w:after="0"/>
        <w:rPr>
          <w:sz w:val="20"/>
          <w:szCs w:val="20"/>
          <w:color w:val="auto"/>
        </w:rPr>
      </w:pPr>
      <w:r>
        <w:rPr>
          <w:rFonts w:ascii="Arial" w:cs="Arial" w:eastAsia="Arial" w:hAnsi="Arial"/>
          <w:sz w:val="22"/>
          <w:szCs w:val="22"/>
          <w:color w:val="auto"/>
        </w:rPr>
        <w:t>On May 7, 2014, PennantPark Investment Corporation issued a press release announcing financial results for the second fiscal quarter ended March 31,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07, 2014</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07,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2014</w:t>
      </w:r>
    </w:p>
    <w:p>
      <w:pPr>
        <w:spacing w:after="0" w:line="21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NEW YORK, NY -- (Marketwired - May 07, 2014) - PennantPark Investment Corporation (NASDAQ: PNNT) announced today financial results for the second fiscal quarter ended March 31, 2014.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Quarter ended March 31, 2014</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 in</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millions, except per share amounts)</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1,257.0</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741.2</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 value per share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11.13</w:t>
            </w:r>
          </w:p>
        </w:tc>
      </w:tr>
      <w:tr>
        <w:trPr>
          <w:trHeight w:val="405"/>
        </w:trPr>
        <w:tc>
          <w:tcPr>
            <w:tcW w:w="6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Credit Facility (cost $313.8)</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313.7</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70.6</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debentures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Yield</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on debt investments at quarter-end</w:t>
            </w:r>
          </w:p>
        </w:tc>
        <w:tc>
          <w:tcPr>
            <w:tcW w:w="10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income per share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142.0</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116.8</w:t>
            </w:r>
          </w:p>
        </w:tc>
      </w:tr>
      <w:tr>
        <w:trPr>
          <w:trHeight w:val="405"/>
        </w:trPr>
        <w:tc>
          <w:tcPr>
            <w:tcW w:w="6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8, 2014</w:t>
      </w:r>
    </w:p>
    <w:p>
      <w:pPr>
        <w:spacing w:after="0" w:line="212"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PennantPark Investment Corporation ("we," "our," "us" or "Company") will host a conference call at 10:00 a.m. (Eastern Time) on Thursday, May 8, 2014 to discuss its financial results. All interested parties are welcome to participate. You can access the conference call by dialing (888) 339-3513 approximately 5-10 minutes prior to the call. International callers should dial (719) 325-2228. All callers should reference PennantPark Investment Corporation. An archived replay of the call will be available through May 22, 2014 by calling (888) 203-1112. International callers please dial (719) 457-0820. For all phone replays, please reference conference ID #9935995.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As of March 31, 2014, our portfolio totaled $1,257.0 million and consisted of $322.2 million of senior secured loans, $407.0 million of second lien secured debt, $378.1 million of subordinated debt and $149.7 million of preferred and common equity investments. Our debt portfolio consisted of 44% fixed-rate and 56% variable-rate investments (including 48% with a London Interbank Offered Rate, or LIBOR, or prime floor). Our overall portfolio consisted of 68 companies with an average investment size of $18.5 million, had a weighted average yield on debt investments of 12.7% and was invested 26% in senior secured loans, 32% in second lien secured debt, 30% in subordinated debt and 12% in preferred and common equity investments.</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50"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three months ended March 31, 2014, we invested $142.0 million in four new and six existing portfolio companies with a weighted average yield on debt investments of 12.0%. Sales and repayments of investments for the three months ended March 31, 2014 totaled $116.8 million. For the six months ended March 31, 2014, we invested $370.0 million in 13 new and 13 existing portfolio companies with a weighted average yield on debt investments of 12.2%. Sales and repayments of investments for the six months ended March 31, 2014 totaled $260.8 million.</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For the three months ended March 31, 2013, we invested $75.4 million in one new and seven existing portfolio companies with a weighted average yield on debt investments of 13.5%. Sales and repayments of investments for the three months ended March 31, 2013 totaled $42.5 million. During the three months ended March 31, 2013, we had one investment restructured after going on non-accrual status. For the six months ended March 31, 2013, we invested $243.8 million in six new and 14 existing portfolio companies with a weighted average yield on debt investments of 12.9%. Sales and repayments of investments for the six months ended March 31, 2013 totaled $153.4 million.</w:t>
      </w:r>
    </w:p>
    <w:p>
      <w:pPr>
        <w:sectPr>
          <w:pgSz w:w="11900" w:h="16838" w:orient="portrait"/>
          <w:cols w:equalWidth="0" w:num="1">
            <w:col w:w="11200"/>
          </w:cols>
          <w:pgMar w:left="320" w:top="111" w:right="379"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RESULTS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2014 and 2013.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Investment income for the three and six months ended March 31, 2014 was $37.9 million and $72.3 million, respectively, and was attributable to $10.6 million and $20.2 million from senior secured loans, $14.3 million and $26.6 million from second lien secured debt investments, $12.7 million and $24.1 million from subordinated debt investments, and $0.3 million and $1.4 million from equity investments, respectively. This compares to investment income for the three and six months ended March 31, 2013, which was $31.0 million and $64.0 million, respectively, and was attributable to $9.2 million and $18.0 million from senior secured loans, $8.6 million and $15.0 million from second lien secured debt investments, $13.2 million and $29.7 million from subordinated debt investments, and zero and $1.3 million from equity investments, respectively. The increase in investment income compared with the same period in the prior year was primarily due to the growth of our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Expenses for the three and six months ended March 31, 2014 totaled $17.8 million and $34.3 million, respectively. Base management fee for the same periods totaled $6.0 million and $11.8 million, incentive fees totaled $5.0 million and $9.5 million, debt related interest and expenses totaled $5.1 million and $9.7 million and general and administrative expenses totaled $1.7 million and $3.3 million, respectively. This compares to expenses for the three and six months ended March 31, 2013, which totaled $17.0 million and $31.8 million, respectively. Base management fee for the same periods totaled $5.3 million and $10.5 million, incentive fees totaled $3.6 million and $8.1 million, debt related interest and expenses (excluding the $2.4 million debt issuance expenses associated with our 2025 Notes) totaled $4.0 million and $7.1 million and general and administrative expenses and excise tax totaled $1.7 million and $3.7 million, respectively. The increase in expenses was primarily due to the higher financing costs.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14"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Net investment income totaled $20.0 million and $38.0 million, or $0.30 and $0.57 per share, for the three and six months ended March 31, 2014, respectively. Net investment income totaled $14.1 million and $32.2 million, or $0.21 and $0.49 per share, for the three and six months ended March 31, 2013, respectively. The increase in net investment income over the prior year was due to the growth of our portfolio and the absence of debt issuance costs during the most recent periods, which savings were partially offset by higher financing costs.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Sales and repayments of investments for the three and six months ended March 31, 2014 totaled $116.8 million and $260.8 million, respectively, and realized gains totaled $3.0 million and $5.7 million, respectively. Sales and repayments of investments for the three and six months ended March 31, 2013 totaled $42.5 million and $153.4 million, respectively, and realized losses totaled $1.8 million and $1.0 million, respectively. The increase in realized gains was driven by changes in market conditions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2025 Notes</w:t>
      </w:r>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For the three and six months ended March 31, 2014, we reported net unrealized appreciation on investments of $23.8 million and $38.5 million, respectively. For the three and six months ended March 31, 2013, we reported a net unrealized appreciation on investments of $15.2 million and $25.2 million, respectively. As of March 31, 2014 and September 30, 2013, our net unrealized appreciation (depreciation) on investments totaled $25.2 million and $(13.3) million, respectively. The increase over the prior year was the result of changes in the market values of our investments offset by reversals of unrealized appreciation upon exiting our investments.</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For the three and six months ended March 31, 2014, we reported net unrealized appreciation on our multi-currency, senior secured revolving credit facility, or the Credit Facility, and our 6.25% senior notes due in 2025, or the 2025 Notes, of $6.1 million and $2.0 million, respectively. For the three and six months ended March 31, 2013, we reported a net unrealized appreciation on our Credit Facility and 2025 Notes of $0.4 million and $1.0 million, respectively. Net change in unrealized appreciation on the Credit Facility and 2025 Notes over the prior year was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Net increase in net assets resulting from operations totaled $40.7 million and $80.1 million, or $0.61 and $1.20 per share, for the three and six months ended March 31, 2014, respectively. This compares to a net increase in net assets resulting from operations of $27.0 million and $55.5 million, or $0.41 and $0.84 per share, for the three and six months ended March 31, 2013, respectively. The increase compared to the prior periods was due to the continued growth of our portfolio and appreciation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w:t>
      </w:r>
    </w:p>
    <w:p>
      <w:pPr>
        <w:sectPr>
          <w:pgSz w:w="11900" w:h="16838" w:orient="portrait"/>
          <w:cols w:equalWidth="0" w:num="1">
            <w:col w:w="11240"/>
          </w:cols>
          <w:pgMar w:left="320" w:top="112" w:right="339" w:bottom="0" w:gutter="0" w:footer="0" w:header="0"/>
        </w:sectPr>
      </w:pPr>
    </w:p>
    <w:bookmarkStart w:id="4" w:name="page5"/>
    <w:bookmarkEnd w:id="4"/>
    <w:p>
      <w:pPr>
        <w:ind w:right="660"/>
        <w:spacing w:after="0" w:line="251" w:lineRule="auto"/>
        <w:rPr>
          <w:sz w:val="20"/>
          <w:szCs w:val="20"/>
          <w:color w:val="auto"/>
        </w:rPr>
      </w:pPr>
      <w:r>
        <w:rPr>
          <w:rFonts w:ascii="Arial" w:cs="Arial" w:eastAsia="Arial" w:hAnsi="Arial"/>
          <w:sz w:val="22"/>
          <w:szCs w:val="22"/>
          <w:color w:val="auto"/>
        </w:rPr>
        <w:t>continue to use, our debt and proceeds from the rotation of our portfolio and proceeds from public and private offerings of securities to finance our investment objectives.</w:t>
      </w:r>
    </w:p>
    <w:p>
      <w:pPr>
        <w:spacing w:after="0" w:line="173"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As of March 31, 2014 and September 30, 2013, there was $313.8 million (including a temporary draw of $10.0 million) and $145.5 million (including a temporary draw of $28.0 million), respectively, in outstanding borrowings under the Credit Facility, with a weighted average interest rate at the time of 3.07% and 3.33%, exclusive of the fee on undrawn commitments of 0.50%.</w:t>
      </w:r>
    </w:p>
    <w:p>
      <w:pPr>
        <w:spacing w:after="0" w:line="134"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As of March 31, 2014 and September 30, 2013, we had $71.3 million of 2025 Notes outstanding with a fixed interest rate of 6.25%, per year.</w:t>
      </w:r>
    </w:p>
    <w:p>
      <w:pPr>
        <w:spacing w:after="0" w:line="175"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As of March 31, 2014 and September 30, 2013, our consolidated subsidiaries, PennantPark SBIC LP and its general partner, PennantPark SBIC GP, LLC, and PennantPark SBIC II LP and its general partner, PennantPark SBIC GP II, LLC, had $225.0 million and $150.0 million was drawn for each period. The Small Business Administration, or SBA, debentures' upfront fees of</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3.43% consist of a commitment fee of 1.00% and an issuance discount of 2.43%. Both fees will be amortized over the lives of the loans.</w:t>
      </w:r>
    </w:p>
    <w:p>
      <w:pPr>
        <w:spacing w:after="0" w:line="187"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The annualized weighted average cost of debt for the six months ended March 31, 2014 and 2013, inclusive of the fee on the undrawn commitment on the Credit Facility and amortized upfront fees on SBA debentures, was 4.03% and 4.01%, respectively.</w:t>
      </w:r>
    </w:p>
    <w:p>
      <w:pPr>
        <w:spacing w:after="0" w:line="105"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Our operating activities used cash of $133.2 million for the six months ended March 31, 2014, primarily for net purchases of investments. Our financing activities provided cash of $131.1 million for the same period, primarily from net borrowings under our Credit Facility.</w:t>
      </w:r>
    </w:p>
    <w:p>
      <w:pPr>
        <w:spacing w:after="0" w:line="186" w:lineRule="exact"/>
        <w:rPr>
          <w:sz w:val="20"/>
          <w:szCs w:val="20"/>
          <w:color w:val="auto"/>
        </w:rPr>
      </w:pPr>
    </w:p>
    <w:p>
      <w:pPr>
        <w:jc w:val="both"/>
        <w:ind w:right="520"/>
        <w:spacing w:after="0"/>
        <w:rPr>
          <w:sz w:val="20"/>
          <w:szCs w:val="20"/>
          <w:color w:val="auto"/>
        </w:rPr>
      </w:pPr>
      <w:r>
        <w:rPr>
          <w:rFonts w:ascii="Arial" w:cs="Arial" w:eastAsia="Arial" w:hAnsi="Arial"/>
          <w:sz w:val="22"/>
          <w:szCs w:val="22"/>
          <w:color w:val="auto"/>
        </w:rPr>
        <w:t>Our operating activities used cash of $63.1 million for the six months ended March 31, 2013, primarily for net purchases of investments. Our financing activities provided cash of $72.9 million for the same period, primarily from the proceeds of the issuance of the 2025 Notes.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During the three and six months ended March 31, 2014, we declared to stockholders distributions of $0.28 and $0.56 per share, respectively, for total distributions of $18.6 million and $37.3 million, respectively. For the same periods in the prior year, we declared distributions of $0.28 and $0.56 per share, respectively, for total distributions of $18.6 million and $37.2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396"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0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March 31, 2014  September 30, 2013</w:t>
            </w:r>
          </w:p>
        </w:tc>
      </w:tr>
      <w:tr>
        <w:trPr>
          <w:trHeight w:val="203"/>
        </w:trPr>
        <w:tc>
          <w:tcPr>
            <w:tcW w:w="416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investments (cost-$1,021,017,312 and</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$928,078,589, 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$ 1,091,405,997</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968,471,042</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(cost-$107,758,689 and</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$99,021,141, 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81,022,008</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76,735,800</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(cost-$103,035,435 and $64,418,155,</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84,546,168</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32,968,711</w:t>
            </w:r>
          </w:p>
        </w:tc>
      </w:tr>
      <w:tr>
        <w:trPr>
          <w:trHeight w:val="203"/>
        </w:trPr>
        <w:tc>
          <w:tcPr>
            <w:tcW w:w="41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$1,231,811,436 and $1,091,517,885,</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1,256,974,173</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1,078,175,553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$56,300,349 and $58,440,829,</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56,302,305</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58,440,829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11,498,342</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10,894,893</w:t>
            </w:r>
          </w:p>
        </w:tc>
      </w:tr>
      <w:tr>
        <w:trPr>
          <w:trHeight w:val="202"/>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6,649,539</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5,815,817</w:t>
            </w:r>
          </w:p>
        </w:tc>
      </w:tr>
      <w:tr>
        <w:trPr>
          <w:trHeight w:val="203"/>
        </w:trPr>
        <w:tc>
          <w:tcPr>
            <w:tcW w:w="41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1,331,424,359</w:t>
            </w:r>
          </w:p>
        </w:tc>
        <w:tc>
          <w:tcPr>
            <w:tcW w:w="4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1,153,327,092</w:t>
            </w:r>
          </w:p>
        </w:tc>
      </w:tr>
      <w:tr>
        <w:trPr>
          <w:trHeight w:val="202"/>
        </w:trPr>
        <w:tc>
          <w:tcPr>
            <w:tcW w:w="41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1220"/>
          </w:cols>
          <w:pgMar w:left="320" w:top="118"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18,639,330</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18,619,812</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Payable for investments purchased</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52,544,704</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22,875,000</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7,241,667</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$313,809,200 and $145,500,000,</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313,686,977</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145,500,000</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SBA debentures payable (cost-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150,000,000</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70,566,000</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68,400,000</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6,027,293</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5,419,557</w:t>
            </w: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Performance-based incentive fee payable</w:t>
            </w: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5,007,264</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4,274,881</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1,687,100</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1,810,466</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1,772,583</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2,009,806</w:t>
            </w:r>
          </w:p>
        </w:tc>
      </w:tr>
      <w:tr>
        <w:trPr>
          <w:trHeight w:val="203"/>
        </w:trPr>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590,261,547</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455,820,893</w:t>
            </w:r>
          </w:p>
        </w:tc>
      </w:tr>
      <w:tr>
        <w:trPr>
          <w:trHeight w:val="203"/>
        </w:trPr>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Common stock, 66,569,036 and 66,499,327</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Par value $0.001 per share and</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100,000,000 shares authorized.</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66,569</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66,499</w:t>
            </w: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Paid-in capital in excess of par value</w:t>
            </w: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756,809,951</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756,017,096</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Distributions in excess of net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(3,963,461)</w:t>
            </w:r>
          </w:p>
        </w:tc>
        <w:tc>
          <w:tcPr>
            <w:tcW w:w="4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(4,675,217)</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(37,721,163)</w:t>
            </w:r>
          </w:p>
        </w:tc>
        <w:tc>
          <w:tcPr>
            <w:tcW w:w="4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(43,409,847)</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unrealized appreciation</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(depreciation) on investments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25,164,693</w:t>
            </w:r>
          </w:p>
        </w:tc>
        <w:tc>
          <w:tcPr>
            <w:tcW w:w="4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(13,342,332)</w:t>
            </w: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806,223</w:t>
            </w:r>
          </w:p>
        </w:tc>
        <w:tc>
          <w:tcPr>
            <w:tcW w:w="4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2,850,000</w:t>
            </w:r>
          </w:p>
        </w:tc>
      </w:tr>
      <w:tr>
        <w:trPr>
          <w:trHeight w:val="203"/>
        </w:trPr>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580" w:type="dxa"/>
            <w:vAlign w:val="bottom"/>
          </w:tcPr>
          <w:p>
            <w:pPr>
              <w:spacing w:after="0"/>
              <w:rPr>
                <w:sz w:val="17"/>
                <w:szCs w:val="17"/>
                <w:color w:val="auto"/>
              </w:rPr>
            </w:pPr>
          </w:p>
        </w:tc>
        <w:tc>
          <w:tcPr>
            <w:tcW w:w="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741,162,812</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697,506,199</w:t>
            </w:r>
          </w:p>
        </w:tc>
      </w:tr>
      <w:tr>
        <w:trPr>
          <w:trHeight w:val="203"/>
        </w:trPr>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$ 1,331,424,359</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1,153,327,092</w:t>
            </w:r>
          </w:p>
        </w:tc>
      </w:tr>
      <w:tr>
        <w:trPr>
          <w:trHeight w:val="203"/>
        </w:trPr>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580" w:type="dxa"/>
            <w:vAlign w:val="bottom"/>
          </w:tcPr>
          <w:p>
            <w:pPr>
              <w:spacing w:after="0"/>
              <w:rPr>
                <w:sz w:val="17"/>
                <w:szCs w:val="17"/>
                <w:color w:val="auto"/>
              </w:rPr>
            </w:pPr>
          </w:p>
        </w:tc>
        <w:tc>
          <w:tcPr>
            <w:tcW w:w="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11.13</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8020" w:type="dxa"/>
            <w:vAlign w:val="bottom"/>
            <w:gridSpan w:val="8"/>
          </w:tcPr>
          <w:p>
            <w:pPr>
              <w:jc w:val="center"/>
              <w:ind w:right="1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r>
      <w:tr>
        <w:trPr>
          <w:trHeight w:val="203"/>
        </w:trPr>
        <w:tc>
          <w:tcPr>
            <w:tcW w:w="2000" w:type="dxa"/>
            <w:vAlign w:val="bottom"/>
          </w:tcPr>
          <w:p>
            <w:pPr>
              <w:spacing w:after="0"/>
              <w:rPr>
                <w:sz w:val="17"/>
                <w:szCs w:val="17"/>
                <w:color w:val="auto"/>
              </w:rPr>
            </w:pPr>
          </w:p>
        </w:tc>
        <w:tc>
          <w:tcPr>
            <w:tcW w:w="4020" w:type="dxa"/>
            <w:vAlign w:val="bottom"/>
            <w:gridSpan w:val="5"/>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580" w:type="dxa"/>
            <w:vAlign w:val="bottom"/>
            <w:gridSpan w:val="3"/>
          </w:tcPr>
          <w:p>
            <w:pPr>
              <w:jc w:val="center"/>
              <w:ind w:left="12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Three Months Ended March 31,</w:t>
            </w:r>
          </w:p>
        </w:tc>
        <w:tc>
          <w:tcPr>
            <w:tcW w:w="30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Six Months Ended March 31,</w:t>
            </w:r>
          </w:p>
        </w:tc>
      </w:tr>
      <w:tr>
        <w:trPr>
          <w:trHeight w:val="203"/>
        </w:trPr>
        <w:tc>
          <w:tcPr>
            <w:tcW w:w="2000" w:type="dxa"/>
            <w:vAlign w:val="bottom"/>
          </w:tcPr>
          <w:p>
            <w:pPr>
              <w:spacing w:after="0"/>
              <w:rPr>
                <w:sz w:val="17"/>
                <w:szCs w:val="17"/>
                <w:color w:val="auto"/>
              </w:rPr>
            </w:pP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30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00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2014</w:t>
            </w:r>
          </w:p>
        </w:tc>
        <w:tc>
          <w:tcPr>
            <w:tcW w:w="5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2013</w:t>
            </w:r>
          </w:p>
        </w:tc>
        <w:tc>
          <w:tcPr>
            <w:tcW w:w="4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2014</w:t>
            </w:r>
          </w:p>
        </w:tc>
        <w:tc>
          <w:tcPr>
            <w:tcW w:w="4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200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31,858,467</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28,058,570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$ 60,823,402</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$ 53,827,187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and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2,336,170</w:t>
            </w:r>
          </w:p>
        </w:tc>
        <w:tc>
          <w:tcPr>
            <w:tcW w:w="5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876,680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4,851,027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5,242,954</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1,453,003</w:t>
            </w:r>
          </w:p>
        </w:tc>
        <w:tc>
          <w:tcPr>
            <w:tcW w:w="5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938,261</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2,717,613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2,330,764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227,800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2,231,179</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1,183,750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3,624,633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2,386,457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300,833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00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37,878,819</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31,057,261</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72,317,508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64,015,162</w:t>
            </w:r>
          </w:p>
        </w:tc>
      </w:tr>
      <w:tr>
        <w:trPr>
          <w:trHeight w:val="203"/>
        </w:trPr>
        <w:tc>
          <w:tcPr>
            <w:tcW w:w="200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6,027,293</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5,328,100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11,774,353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10,456,711</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Performance-based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5,007,264</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3,559,244</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9,496,043</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8,104,498</w:t>
            </w:r>
          </w:p>
        </w:tc>
      </w:tr>
      <w:tr>
        <w:trPr>
          <w:trHeight w:val="202"/>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expenses on debt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5,099,113</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3,984,909</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9,672,746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7,079,774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928,954</w:t>
            </w:r>
          </w:p>
        </w:tc>
        <w:tc>
          <w:tcPr>
            <w:tcW w:w="200" w:type="dxa"/>
            <w:vAlign w:val="bottom"/>
          </w:tcPr>
          <w:p>
            <w:pPr>
              <w:spacing w:after="0"/>
              <w:rPr>
                <w:sz w:val="17"/>
                <w:szCs w:val="17"/>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1,155,537</w:t>
            </w:r>
          </w:p>
        </w:tc>
        <w:tc>
          <w:tcPr>
            <w:tcW w:w="200" w:type="dxa"/>
            <w:vAlign w:val="bottom"/>
          </w:tcPr>
          <w:p>
            <w:pPr>
              <w:spacing w:after="0"/>
              <w:rPr>
                <w:sz w:val="17"/>
                <w:szCs w:val="17"/>
                <w:color w:val="auto"/>
              </w:rPr>
            </w:pP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1,840,550</w:t>
            </w:r>
          </w:p>
        </w:tc>
        <w:tc>
          <w:tcPr>
            <w:tcW w:w="220" w:type="dxa"/>
            <w:vAlign w:val="bottom"/>
          </w:tcPr>
          <w:p>
            <w:pPr>
              <w:spacing w:after="0"/>
              <w:rPr>
                <w:sz w:val="17"/>
                <w:szCs w:val="17"/>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2,327,859</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Other general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778,592</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719,423</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1,541,096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1,479,955</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17,841,216</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14,747,213</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34,324,788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29,448,797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8,548</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(190,197)</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8,548</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(114,896)</w:t>
            </w:r>
          </w:p>
        </w:tc>
      </w:tr>
      <w:tr>
        <w:trPr>
          <w:trHeight w:val="202"/>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2,437,500</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2,437,500</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17,849,764</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16,994,516</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34,333,336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31,771,401</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20,029,055</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14,062,745</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37,984,172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32,243,761</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3,029,573</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(1,830,764)</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5,688,684</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(959,632)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(depreciation) 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15,782,680</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26,227,226</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29,998,188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32,289,547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7,987,620</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(11,059,378)</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8,508,837</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(7,085,161)</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Debt appreciation</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(6,147,777)</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(427,500)</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(2,043,777)</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(975,000)</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17,622,523</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14,740,348</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36,463,248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24,229,386</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20,652,096</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12,909,584</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42,151,932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23,269,754</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Net increase in net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40,681,151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26,972,329</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$ 80,136,104</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$ 55,513,515</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Net increase in net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0.49</w:t>
            </w:r>
          </w:p>
        </w:tc>
      </w:tr>
      <w:tr>
        <w:trPr>
          <w:trHeight w:val="203"/>
        </w:trPr>
        <w:tc>
          <w:tcPr>
            <w:tcW w:w="20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w:t>
      </w:r>
    </w:p>
    <w:p>
      <w:pPr>
        <w:sectPr>
          <w:pgSz w:w="11900" w:h="16906" w:orient="portrait"/>
          <w:cols w:equalWidth="0" w:num="1">
            <w:col w:w="11220"/>
          </w:cols>
          <w:pgMar w:left="320" w:top="136" w:right="359" w:bottom="0" w:gutter="0" w:footer="0" w:header="0"/>
        </w:sectPr>
      </w:pPr>
    </w:p>
    <w:bookmarkStart w:id="7" w:name="page8"/>
    <w:bookmarkEnd w:id="7"/>
    <w:p>
      <w:pPr>
        <w:ind w:right="500"/>
        <w:spacing w:after="0" w:line="251" w:lineRule="auto"/>
        <w:rPr>
          <w:sz w:val="20"/>
          <w:szCs w:val="20"/>
          <w:color w:val="auto"/>
        </w:rPr>
      </w:pPr>
      <w:r>
        <w:rPr>
          <w:rFonts w:ascii="Arial" w:cs="Arial" w:eastAsia="Arial" w:hAnsi="Arial"/>
          <w:sz w:val="22"/>
          <w:szCs w:val="22"/>
          <w:color w:val="auto"/>
        </w:rPr>
        <w:t>from time to time in filings with the SEC. The Company undertakes no duty to update any forward-looking statement made herein. All forward-looking statements speak only as of the date of this press release.</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 "believes, " "expects, " "intends, " "seeks, " "plans, "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2020-05-05T15:07:17Z</dcterms:created>
  <dcterms:modified xsi:type="dcterms:W3CDTF">2020-05-05T15:07:17Z</dcterms:modified>
</cp:coreProperties>
</file>