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9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1029335" cy="351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29335" cy="351790"/>
                    </a:xfrm>
                    <a:prstGeom prst="rect">
                      <a:avLst/>
                    </a:prstGeom>
                    <a:noFill/>
                  </pic:spPr>
                </pic:pic>
              </a:graphicData>
            </a:graphic>
          </wp:anchor>
        </w:drawing>
        <w:t>1775 I Street, N.W.</w:t>
      </w:r>
    </w:p>
    <w:p>
      <w:pPr>
        <w:ind w:left="7900"/>
        <w:spacing w:after="0" w:line="221" w:lineRule="auto"/>
        <w:rPr>
          <w:sz w:val="20"/>
          <w:szCs w:val="20"/>
          <w:color w:val="auto"/>
        </w:rPr>
      </w:pPr>
      <w:r>
        <w:rPr>
          <w:rFonts w:ascii="Arial" w:cs="Arial" w:eastAsia="Arial" w:hAnsi="Arial"/>
          <w:sz w:val="14"/>
          <w:szCs w:val="14"/>
          <w:color w:val="auto"/>
        </w:rPr>
        <w:t>Washington, DC 20006-2401</w:t>
      </w:r>
    </w:p>
    <w:p>
      <w:pPr>
        <w:ind w:left="7900"/>
        <w:spacing w:after="0" w:line="221" w:lineRule="auto"/>
        <w:rPr>
          <w:sz w:val="20"/>
          <w:szCs w:val="20"/>
          <w:color w:val="auto"/>
        </w:rPr>
      </w:pPr>
      <w:r>
        <w:rPr>
          <w:rFonts w:ascii="Arial" w:cs="Arial" w:eastAsia="Arial" w:hAnsi="Arial"/>
          <w:sz w:val="14"/>
          <w:szCs w:val="14"/>
          <w:color w:val="auto"/>
        </w:rPr>
        <w:t>+1 202 261 3300 Main</w:t>
      </w:r>
    </w:p>
    <w:p>
      <w:pPr>
        <w:ind w:left="7900"/>
        <w:spacing w:after="0" w:line="222" w:lineRule="auto"/>
        <w:rPr>
          <w:sz w:val="20"/>
          <w:szCs w:val="20"/>
          <w:color w:val="auto"/>
        </w:rPr>
      </w:pPr>
      <w:r>
        <w:rPr>
          <w:rFonts w:ascii="Arial" w:cs="Arial" w:eastAsia="Arial" w:hAnsi="Arial"/>
          <w:sz w:val="14"/>
          <w:szCs w:val="14"/>
          <w:color w:val="auto"/>
        </w:rPr>
        <w:t>+1 202 261 3333 Fax</w:t>
      </w:r>
    </w:p>
    <w:p>
      <w:pPr>
        <w:ind w:left="7900"/>
        <w:spacing w:after="0"/>
        <w:rPr>
          <w:sz w:val="20"/>
          <w:szCs w:val="20"/>
          <w:color w:val="auto"/>
        </w:rPr>
      </w:pPr>
      <w:r>
        <w:rPr>
          <w:rFonts w:ascii="Arial" w:cs="Arial" w:eastAsia="Arial" w:hAnsi="Arial"/>
          <w:sz w:val="14"/>
          <w:szCs w:val="14"/>
          <w:color w:val="auto"/>
        </w:rPr>
        <w:t>www.dechert.com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5013325</wp:posOffset>
            </wp:positionH>
            <wp:positionV relativeFrom="paragraph">
              <wp:posOffset>120015</wp:posOffset>
            </wp:positionV>
            <wp:extent cx="1346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64" w:lineRule="exact"/>
        <w:rPr>
          <w:sz w:val="24"/>
          <w:szCs w:val="24"/>
          <w:color w:val="auto"/>
        </w:rPr>
      </w:pPr>
    </w:p>
    <w:p>
      <w:pPr>
        <w:ind w:left="7900"/>
        <w:spacing w:after="0"/>
        <w:rPr>
          <w:sz w:val="20"/>
          <w:szCs w:val="20"/>
          <w:color w:val="auto"/>
        </w:rPr>
      </w:pPr>
      <w:r>
        <w:rPr>
          <w:rFonts w:ascii="Arial" w:cs="Arial" w:eastAsia="Arial" w:hAnsi="Arial"/>
          <w:sz w:val="14"/>
          <w:szCs w:val="14"/>
          <w:b w:val="1"/>
          <w:bCs w:val="1"/>
          <w:color w:val="auto"/>
        </w:rPr>
        <w:t>Thomas Friedmann</w:t>
      </w:r>
    </w:p>
    <w:p>
      <w:pPr>
        <w:spacing w:after="0" w:line="70" w:lineRule="exact"/>
        <w:rPr>
          <w:sz w:val="24"/>
          <w:szCs w:val="24"/>
          <w:color w:val="auto"/>
        </w:rPr>
      </w:pPr>
    </w:p>
    <w:p>
      <w:pPr>
        <w:ind w:left="7900"/>
        <w:spacing w:after="0"/>
        <w:rPr>
          <w:sz w:val="20"/>
          <w:szCs w:val="20"/>
          <w:color w:val="auto"/>
        </w:rPr>
      </w:pPr>
      <w:r>
        <w:rPr>
          <w:rFonts w:ascii="Arial" w:cs="Arial" w:eastAsia="Arial" w:hAnsi="Arial"/>
          <w:sz w:val="14"/>
          <w:szCs w:val="14"/>
          <w:color w:val="auto"/>
        </w:rPr>
        <w:t>thomas.friedmann@dechert.com</w:t>
      </w:r>
    </w:p>
    <w:p>
      <w:pPr>
        <w:ind w:left="7900"/>
        <w:spacing w:after="0" w:line="221" w:lineRule="auto"/>
        <w:rPr>
          <w:sz w:val="20"/>
          <w:szCs w:val="20"/>
          <w:color w:val="auto"/>
        </w:rPr>
      </w:pPr>
      <w:r>
        <w:rPr>
          <w:rFonts w:ascii="Arial" w:cs="Arial" w:eastAsia="Arial" w:hAnsi="Arial"/>
          <w:sz w:val="14"/>
          <w:szCs w:val="14"/>
          <w:color w:val="auto"/>
        </w:rPr>
        <w:t>+1 (202) 261-3313 Direct</w:t>
      </w:r>
    </w:p>
    <w:p>
      <w:pPr>
        <w:ind w:left="7900"/>
        <w:spacing w:after="0"/>
        <w:rPr>
          <w:sz w:val="20"/>
          <w:szCs w:val="20"/>
          <w:color w:val="auto"/>
        </w:rPr>
      </w:pPr>
      <w:r>
        <w:rPr>
          <w:rFonts w:ascii="Arial" w:cs="Arial" w:eastAsia="Arial" w:hAnsi="Arial"/>
          <w:sz w:val="14"/>
          <w:szCs w:val="14"/>
          <w:color w:val="auto"/>
        </w:rPr>
        <w:t>+1 (202) 261-3016 Fax</w:t>
      </w:r>
    </w:p>
    <w:p>
      <w:pPr>
        <w:spacing w:after="0" w:line="383" w:lineRule="exact"/>
        <w:rPr>
          <w:sz w:val="24"/>
          <w:szCs w:val="24"/>
          <w:color w:val="auto"/>
        </w:rPr>
      </w:pPr>
    </w:p>
    <w:p>
      <w:pPr>
        <w:spacing w:after="0"/>
        <w:rPr>
          <w:sz w:val="20"/>
          <w:szCs w:val="20"/>
          <w:color w:val="auto"/>
        </w:rPr>
      </w:pPr>
      <w:r>
        <w:rPr>
          <w:rFonts w:ascii="Arial" w:cs="Arial" w:eastAsia="Arial" w:hAnsi="Arial"/>
          <w:sz w:val="18"/>
          <w:szCs w:val="18"/>
          <w:color w:val="auto"/>
        </w:rPr>
        <w:t>September 21, 2009</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Via EDGAR</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Christian T. Sandoe, Esq.</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PennantPark Investment Corp. (the “Fund”)</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Post-Effective Amendment No. 1 to the Registration Statement on Form N-2</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u w:val="single" w:color="auto"/>
          <w:color w:val="auto"/>
        </w:rPr>
        <w:t>File No. 333-150033</w:t>
      </w:r>
    </w:p>
    <w:p>
      <w:pPr>
        <w:spacing w:after="0" w:line="327" w:lineRule="exact"/>
        <w:rPr>
          <w:sz w:val="24"/>
          <w:szCs w:val="24"/>
          <w:color w:val="auto"/>
        </w:rPr>
      </w:pPr>
    </w:p>
    <w:p>
      <w:pPr>
        <w:spacing w:after="0"/>
        <w:rPr>
          <w:sz w:val="20"/>
          <w:szCs w:val="20"/>
          <w:color w:val="auto"/>
        </w:rPr>
      </w:pPr>
      <w:r>
        <w:rPr>
          <w:rFonts w:ascii="Arial" w:cs="Arial" w:eastAsia="Arial" w:hAnsi="Arial"/>
          <w:sz w:val="18"/>
          <w:szCs w:val="18"/>
          <w:color w:val="auto"/>
        </w:rPr>
        <w:t>Dear Mr. Sandoe:</w:t>
      </w:r>
    </w:p>
    <w:p>
      <w:pPr>
        <w:spacing w:after="0" w:line="90"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Thank you for your comments on September 18, 2009 regarding Post-Effective Amendment No.1 to the Fund’s Registration Statement on Form N-2 (Registration No. 333-150033)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on September 1, 2009. We describe below the changes that we have made in response to your comments to Post-Effective Amendment No. 2 (“</w:t>
      </w:r>
      <w:r>
        <w:rPr>
          <w:rFonts w:ascii="Arial" w:cs="Arial" w:eastAsia="Arial" w:hAnsi="Arial"/>
          <w:sz w:val="16"/>
          <w:szCs w:val="16"/>
          <w:u w:val="single" w:color="auto"/>
          <w:color w:val="auto"/>
        </w:rPr>
        <w:t>Amendment 2</w:t>
      </w:r>
      <w:r>
        <w:rPr>
          <w:rFonts w:ascii="Arial" w:cs="Arial" w:eastAsia="Arial" w:hAnsi="Arial"/>
          <w:sz w:val="16"/>
          <w:szCs w:val="16"/>
          <w:color w:val="auto"/>
        </w:rPr>
        <w:t>”) to the Registration Statement that the Fund filed on September 21, 2009. For your convenience, your comments are numbered and presented in italicized text below, and each comment is followed by our proposed response. The page references that we refer to in our responses are to Amendment 2. We will also provide you with courtesy copies of Amendment No. 2 as filed and marked with the changes from Post-Effective Amendment No. 1 to the Registration Statement.</w:t>
      </w:r>
    </w:p>
    <w:p>
      <w:pPr>
        <w:spacing w:after="0" w:line="19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Risk Factors—page 24</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Comment 1</w:t>
      </w:r>
      <w:r>
        <w:rPr>
          <w:rFonts w:ascii="Arial" w:cs="Arial" w:eastAsia="Arial" w:hAnsi="Arial"/>
          <w:sz w:val="18"/>
          <w:szCs w:val="18"/>
          <w:color w:val="auto"/>
        </w:rPr>
        <w:t>:</w:t>
      </w:r>
      <w:r>
        <w:rPr>
          <w:rFonts w:ascii="Arial" w:cs="Arial" w:eastAsia="Arial" w:hAnsi="Arial"/>
          <w:sz w:val="18"/>
          <w:szCs w:val="18"/>
          <w:i w:val="1"/>
          <w:iCs w:val="1"/>
          <w:color w:val="auto"/>
        </w:rPr>
        <w:t xml:space="preserve"> Make clear that the Fund has investment restrictions due to its status as a Regulated Investment Company </w:t>
      </w:r>
      <w:r>
        <w:rPr>
          <w:rFonts w:ascii="Arial" w:cs="Arial" w:eastAsia="Arial" w:hAnsi="Arial"/>
          <w:sz w:val="18"/>
          <w:szCs w:val="18"/>
          <w:color w:val="auto"/>
        </w:rPr>
        <w: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As requested, the Fund has revised the risk factor on page 24 as follows:</w:t>
      </w:r>
    </w:p>
    <w:p>
      <w:pPr>
        <w:spacing w:after="0" w:line="165" w:lineRule="exact"/>
        <w:rPr>
          <w:sz w:val="24"/>
          <w:szCs w:val="24"/>
          <w:color w:val="auto"/>
        </w:rPr>
      </w:pPr>
    </w:p>
    <w:p>
      <w:pPr>
        <w:ind w:right="140"/>
        <w:spacing w:after="0" w:line="378" w:lineRule="auto"/>
        <w:rPr>
          <w:sz w:val="20"/>
          <w:szCs w:val="20"/>
          <w:color w:val="auto"/>
        </w:rPr>
      </w:pPr>
      <w:r>
        <w:rPr>
          <w:rFonts w:ascii="Arial" w:cs="Arial" w:eastAsia="Arial" w:hAnsi="Arial"/>
          <w:sz w:val="15"/>
          <w:szCs w:val="15"/>
          <w:b w:val="1"/>
          <w:bCs w:val="1"/>
          <w:color w:val="auto"/>
        </w:rPr>
        <w:t>We are a non-diversified investment company within the meaning of the 1940 Act. The 1940 Act does not limit the proportion of our assets that may be invested in securities of a single issuer, although we are required to diversify our assets in order to meet the requirements for a RIC under the Code.</w:t>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4180"/>
        <w:spacing w:after="0" w:line="318" w:lineRule="auto"/>
        <w:rPr>
          <w:sz w:val="20"/>
          <w:szCs w:val="20"/>
          <w:color w:val="auto"/>
        </w:rPr>
      </w:pPr>
      <w:r>
        <w:rPr>
          <w:rFonts w:ascii="Arial" w:cs="Arial" w:eastAsia="Arial" w:hAnsi="Arial"/>
          <w:sz w:val="14"/>
          <w:szCs w:val="14"/>
          <w:color w:val="auto"/>
        </w:rPr>
        <w:t>US Austin Boston Charlotte Hartford New York Newport Beach Philadelphia Princeton San Francisco Silicon Valley Washington DC EUROPE Brussels London Luxembourg Moscow Munich Paris ASIA Beijing Hong Kong</w:t>
      </w:r>
    </w:p>
    <w:p>
      <w:pPr>
        <w:sectPr>
          <w:pgSz w:w="11900" w:h="16838" w:orient="portrait"/>
          <w:cols w:equalWidth="0" w:num="1">
            <w:col w:w="11420"/>
          </w:cols>
          <w:pgMar w:left="240" w:top="790" w:right="239" w:bottom="1440" w:gutter="0" w:footer="0" w:header="0"/>
        </w:sectPr>
      </w:pPr>
    </w:p>
    <w:bookmarkStart w:id="1" w:name="page2"/>
    <w:bookmarkEnd w:id="1"/>
    <w:p>
      <w:pPr>
        <w:ind w:left="9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Christian T. Sandoe,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029335" cy="351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9335" cy="351790"/>
                    </a:xfrm>
                    <a:prstGeom prst="rect">
                      <a:avLst/>
                    </a:prstGeom>
                    <a:noFill/>
                  </pic:spPr>
                </pic:pic>
              </a:graphicData>
            </a:graphic>
          </wp:anchor>
        </w:drawing>
      </w:r>
    </w:p>
    <w:p>
      <w:pPr>
        <w:spacing w:after="0" w:line="18" w:lineRule="exact"/>
        <w:rPr>
          <w:sz w:val="20"/>
          <w:szCs w:val="20"/>
          <w:color w:val="auto"/>
        </w:rPr>
      </w:pPr>
    </w:p>
    <w:p>
      <w:pPr>
        <w:ind w:left="9360"/>
        <w:spacing w:after="0"/>
        <w:rPr>
          <w:sz w:val="20"/>
          <w:szCs w:val="20"/>
          <w:color w:val="auto"/>
        </w:rPr>
      </w:pPr>
      <w:r>
        <w:rPr>
          <w:rFonts w:ascii="Arial" w:cs="Arial" w:eastAsia="Arial" w:hAnsi="Arial"/>
          <w:sz w:val="18"/>
          <w:szCs w:val="18"/>
          <w:color w:val="auto"/>
        </w:rPr>
        <w:t>September 21, 2009</w:t>
      </w:r>
    </w:p>
    <w:p>
      <w:pPr>
        <w:spacing w:after="0" w:line="9" w:lineRule="exact"/>
        <w:rPr>
          <w:sz w:val="20"/>
          <w:szCs w:val="20"/>
          <w:color w:val="auto"/>
        </w:rPr>
      </w:pPr>
    </w:p>
    <w:p>
      <w:pPr>
        <w:ind w:left="9360"/>
        <w:spacing w:after="0"/>
        <w:rPr>
          <w:sz w:val="20"/>
          <w:szCs w:val="20"/>
          <w:color w:val="auto"/>
        </w:rPr>
      </w:pPr>
      <w:r>
        <w:rPr>
          <w:rFonts w:ascii="Arial" w:cs="Arial" w:eastAsia="Arial" w:hAnsi="Arial"/>
          <w:sz w:val="18"/>
          <w:szCs w:val="18"/>
          <w:color w:val="auto"/>
        </w:rPr>
        <w:t>Page 2</w:t>
      </w:r>
    </w:p>
    <w:p>
      <w:pPr>
        <w:spacing w:after="0" w:line="3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stakeholdings in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As a RIC, we are required to diversify our assets, but we do not have any fixed guidelines for diversification under the 1940 Act.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Business-page 56</w:t>
      </w:r>
    </w:p>
    <w:p>
      <w:pPr>
        <w:spacing w:after="0" w:line="17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i w:val="1"/>
          <w:iCs w:val="1"/>
          <w:color w:val="auto"/>
        </w:rPr>
        <w:t>Provide more clear disclosure about how the Fund can partner with private equity to make investments. Please make the same change to the corresponding disclosure in the prospectus summary.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Fund has revised pages 2 and 56 as follows:</w:t>
      </w:r>
    </w:p>
    <w:p>
      <w:pPr>
        <w:spacing w:after="0" w:line="16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We believe there is a large pool of uninvested private equity capital which is likely to seek to combine their capital with sources of debt capital to complete private investments. </w:t>
      </w:r>
      <w:r>
        <w:rPr>
          <w:rFonts w:ascii="Arial" w:cs="Arial" w:eastAsia="Arial" w:hAnsi="Arial"/>
          <w:sz w:val="18"/>
          <w:szCs w:val="18"/>
          <w:color w:val="auto"/>
        </w:rPr>
        <w:t>We expect that private equity firms will continue to be active investors in middle-market companies. These private equity funds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seek to leverage their investments by combining their capital with mezzanine loans and/or senior secured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14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further comments, or if you require additional information, please do not hesitate to contact me at (202) 261-3313.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Thomas Friedmann</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Cc:</w:t>
        <w:tab/>
        <w:t>Arthur Penn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PennantPark Investment Corporation</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2019-12-11T02:51:24Z</dcterms:created>
  <dcterms:modified xsi:type="dcterms:W3CDTF">2019-12-11T02:51:24Z</dcterms:modified>
</cp:coreProperties>
</file>