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December 13, 2007</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540" w:type="dxa"/>
        <w:tblCellMar>
          <w:top w:w="0" w:type="dxa"/>
          <w:left w:w="0" w:type="dxa"/>
          <w:bottom w:w="0" w:type="dxa"/>
          <w:right w:w="0" w:type="dxa"/>
        </w:tblCellMar>
      </w:tblPr>
      <w:tr>
        <w:trPr>
          <w:trHeight w:val="253"/>
        </w:trPr>
        <w:tc>
          <w:tcPr>
            <w:tcW w:w="3880" w:type="dxa"/>
            <w:vAlign w:val="bottom"/>
          </w:tcPr>
          <w:p>
            <w:pPr>
              <w:jc w:val="center"/>
              <w:ind w:right="332"/>
              <w:spacing w:after="0"/>
              <w:rPr>
                <w:sz w:val="20"/>
                <w:szCs w:val="20"/>
                <w:color w:val="auto"/>
              </w:rPr>
            </w:pPr>
            <w:r>
              <w:rPr>
                <w:rFonts w:ascii="Arial" w:cs="Arial" w:eastAsia="Arial" w:hAnsi="Arial"/>
                <w:sz w:val="22"/>
                <w:szCs w:val="22"/>
                <w:b w:val="1"/>
                <w:bCs w:val="1"/>
                <w:color w:val="auto"/>
                <w:w w:val="95"/>
              </w:rPr>
              <w:t>Maryland</w:t>
            </w:r>
          </w:p>
        </w:tc>
        <w:tc>
          <w:tcPr>
            <w:tcW w:w="278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c>
          <w:tcPr>
            <w:tcW w:w="0" w:type="dxa"/>
            <w:vAlign w:val="bottom"/>
          </w:tcPr>
          <w:p>
            <w:pPr>
              <w:spacing w:after="0"/>
              <w:rPr>
                <w:sz w:val="1"/>
                <w:szCs w:val="1"/>
                <w:color w:val="auto"/>
              </w:rPr>
            </w:pPr>
          </w:p>
        </w:tc>
      </w:tr>
      <w:tr>
        <w:trPr>
          <w:trHeight w:val="243"/>
        </w:trPr>
        <w:tc>
          <w:tcPr>
            <w:tcW w:w="3880" w:type="dxa"/>
            <w:vAlign w:val="bottom"/>
          </w:tcPr>
          <w:p>
            <w:pPr>
              <w:jc w:val="center"/>
              <w:ind w:right="392"/>
              <w:spacing w:after="0" w:line="243" w:lineRule="exact"/>
              <w:rPr>
                <w:sz w:val="20"/>
                <w:szCs w:val="20"/>
                <w:color w:val="auto"/>
              </w:rPr>
            </w:pPr>
            <w:r>
              <w:rPr>
                <w:rFonts w:ascii="Arial" w:cs="Arial" w:eastAsia="Arial" w:hAnsi="Arial"/>
                <w:sz w:val="22"/>
                <w:szCs w:val="22"/>
                <w:color w:val="auto"/>
                <w:w w:val="90"/>
              </w:rPr>
              <w:t>(State or other jurisdiction</w:t>
            </w:r>
          </w:p>
        </w:tc>
        <w:tc>
          <w:tcPr>
            <w:tcW w:w="2780" w:type="dxa"/>
            <w:vAlign w:val="bottom"/>
          </w:tcPr>
          <w:p>
            <w:pPr>
              <w:jc w:val="center"/>
              <w:ind w:right="25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c>
          <w:tcPr>
            <w:tcW w:w="0" w:type="dxa"/>
            <w:vAlign w:val="bottom"/>
          </w:tcPr>
          <w:p>
            <w:pPr>
              <w:spacing w:after="0"/>
              <w:rPr>
                <w:sz w:val="1"/>
                <w:szCs w:val="1"/>
                <w:color w:val="auto"/>
              </w:rPr>
            </w:pPr>
          </w:p>
        </w:tc>
      </w:tr>
      <w:tr>
        <w:trPr>
          <w:trHeight w:val="274"/>
        </w:trPr>
        <w:tc>
          <w:tcPr>
            <w:tcW w:w="3880" w:type="dxa"/>
            <w:vAlign w:val="bottom"/>
          </w:tcPr>
          <w:p>
            <w:pPr>
              <w:jc w:val="center"/>
              <w:ind w:right="332"/>
              <w:spacing w:after="0"/>
              <w:rPr>
                <w:sz w:val="20"/>
                <w:szCs w:val="20"/>
                <w:color w:val="auto"/>
              </w:rPr>
            </w:pPr>
            <w:r>
              <w:rPr>
                <w:rFonts w:ascii="Arial" w:cs="Arial" w:eastAsia="Arial" w:hAnsi="Arial"/>
                <w:sz w:val="22"/>
                <w:szCs w:val="22"/>
                <w:color w:val="auto"/>
                <w:w w:val="93"/>
              </w:rPr>
              <w:t>of incorporation)</w:t>
            </w:r>
          </w:p>
        </w:tc>
        <w:tc>
          <w:tcPr>
            <w:tcW w:w="2780" w:type="dxa"/>
            <w:vAlign w:val="bottom"/>
          </w:tcPr>
          <w:p>
            <w:pPr>
              <w:jc w:val="center"/>
              <w:ind w:right="25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c>
          <w:tcPr>
            <w:tcW w:w="0" w:type="dxa"/>
            <w:vAlign w:val="bottom"/>
          </w:tcPr>
          <w:p>
            <w:pPr>
              <w:spacing w:after="0"/>
              <w:rPr>
                <w:sz w:val="1"/>
                <w:szCs w:val="1"/>
                <w:color w:val="auto"/>
              </w:rPr>
            </w:pPr>
          </w:p>
        </w:tc>
      </w:tr>
      <w:tr>
        <w:trPr>
          <w:trHeight w:val="449"/>
        </w:trPr>
        <w:tc>
          <w:tcPr>
            <w:tcW w:w="3880" w:type="dxa"/>
            <w:vAlign w:val="bottom"/>
          </w:tcPr>
          <w:p>
            <w:pPr>
              <w:jc w:val="center"/>
              <w:ind w:right="332"/>
              <w:spacing w:after="0"/>
              <w:rPr>
                <w:sz w:val="20"/>
                <w:szCs w:val="20"/>
                <w:color w:val="auto"/>
              </w:rPr>
            </w:pPr>
            <w:r>
              <w:rPr>
                <w:rFonts w:ascii="Arial" w:cs="Arial" w:eastAsia="Arial" w:hAnsi="Arial"/>
                <w:sz w:val="22"/>
                <w:szCs w:val="22"/>
                <w:b w:val="1"/>
                <w:bCs w:val="1"/>
                <w:color w:val="auto"/>
                <w:w w:val="89"/>
              </w:rPr>
              <w:t>590 Madison Avenue, 15th Floor</w:t>
            </w:r>
          </w:p>
        </w:tc>
        <w:tc>
          <w:tcPr>
            <w:tcW w:w="2780" w:type="dxa"/>
            <w:vAlign w:val="bottom"/>
          </w:tcPr>
          <w:p>
            <w:pPr>
              <w:spacing w:after="0"/>
              <w:rPr>
                <w:sz w:val="24"/>
                <w:szCs w:val="24"/>
                <w:color w:val="auto"/>
              </w:rPr>
            </w:pPr>
          </w:p>
        </w:tc>
        <w:tc>
          <w:tcPr>
            <w:tcW w:w="2800" w:type="dxa"/>
            <w:vAlign w:val="bottom"/>
            <w:vMerge w:val="restart"/>
          </w:tcPr>
          <w:p>
            <w:pPr>
              <w:jc w:val="right"/>
              <w:ind w:right="632"/>
              <w:spacing w:after="0"/>
              <w:rPr>
                <w:sz w:val="20"/>
                <w:szCs w:val="20"/>
                <w:color w:val="auto"/>
              </w:rPr>
            </w:pPr>
            <w:r>
              <w:rPr>
                <w:rFonts w:ascii="Arial" w:cs="Arial" w:eastAsia="Arial" w:hAnsi="Arial"/>
                <w:sz w:val="22"/>
                <w:szCs w:val="22"/>
                <w:b w:val="1"/>
                <w:bCs w:val="1"/>
                <w:color w:val="auto"/>
              </w:rPr>
              <w:t>10022</w:t>
            </w:r>
          </w:p>
        </w:tc>
        <w:tc>
          <w:tcPr>
            <w:tcW w:w="0" w:type="dxa"/>
            <w:vAlign w:val="bottom"/>
          </w:tcPr>
          <w:p>
            <w:pPr>
              <w:spacing w:after="0"/>
              <w:rPr>
                <w:sz w:val="1"/>
                <w:szCs w:val="1"/>
                <w:color w:val="auto"/>
              </w:rPr>
            </w:pPr>
          </w:p>
        </w:tc>
      </w:tr>
      <w:tr>
        <w:trPr>
          <w:trHeight w:val="127"/>
        </w:trPr>
        <w:tc>
          <w:tcPr>
            <w:tcW w:w="3880" w:type="dxa"/>
            <w:vAlign w:val="bottom"/>
            <w:vMerge w:val="restart"/>
          </w:tcPr>
          <w:p>
            <w:pPr>
              <w:jc w:val="center"/>
              <w:ind w:right="352"/>
              <w:spacing w:after="0" w:line="249" w:lineRule="exact"/>
              <w:rPr>
                <w:sz w:val="20"/>
                <w:szCs w:val="20"/>
                <w:color w:val="auto"/>
              </w:rPr>
            </w:pPr>
            <w:r>
              <w:rPr>
                <w:rFonts w:ascii="Arial" w:cs="Arial" w:eastAsia="Arial" w:hAnsi="Arial"/>
                <w:sz w:val="22"/>
                <w:szCs w:val="22"/>
                <w:b w:val="1"/>
                <w:bCs w:val="1"/>
                <w:color w:val="auto"/>
                <w:w w:val="93"/>
              </w:rPr>
              <w:t>New York, NY</w:t>
            </w:r>
          </w:p>
        </w:tc>
        <w:tc>
          <w:tcPr>
            <w:tcW w:w="2780" w:type="dxa"/>
            <w:vAlign w:val="bottom"/>
          </w:tcPr>
          <w:p>
            <w:pPr>
              <w:spacing w:after="0"/>
              <w:rPr>
                <w:sz w:val="11"/>
                <w:szCs w:val="11"/>
                <w:color w:val="auto"/>
              </w:rPr>
            </w:pPr>
          </w:p>
        </w:tc>
        <w:tc>
          <w:tcPr>
            <w:tcW w:w="2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880" w:type="dxa"/>
            <w:vAlign w:val="bottom"/>
            <w:vMerge w:val="continue"/>
          </w:tcPr>
          <w:p>
            <w:pPr>
              <w:spacing w:after="0"/>
              <w:rPr>
                <w:sz w:val="10"/>
                <w:szCs w:val="10"/>
                <w:color w:val="auto"/>
              </w:rPr>
            </w:pPr>
          </w:p>
        </w:tc>
        <w:tc>
          <w:tcPr>
            <w:tcW w:w="2780" w:type="dxa"/>
            <w:vAlign w:val="bottom"/>
          </w:tcPr>
          <w:p>
            <w:pPr>
              <w:spacing w:after="0"/>
              <w:rPr>
                <w:sz w:val="10"/>
                <w:szCs w:val="10"/>
                <w:color w:val="auto"/>
              </w:rPr>
            </w:pPr>
          </w:p>
        </w:tc>
        <w:tc>
          <w:tcPr>
            <w:tcW w:w="2800" w:type="dxa"/>
            <w:vAlign w:val="bottom"/>
            <w:vMerge w:val="restart"/>
          </w:tcPr>
          <w:p>
            <w:pPr>
              <w:jc w:val="center"/>
              <w:ind w:left="692"/>
              <w:spacing w:after="0"/>
              <w:rPr>
                <w:sz w:val="20"/>
                <w:szCs w:val="20"/>
                <w:color w:val="auto"/>
              </w:rPr>
            </w:pPr>
            <w:r>
              <w:rPr>
                <w:rFonts w:ascii="Arial" w:cs="Arial" w:eastAsia="Arial" w:hAnsi="Arial"/>
                <w:sz w:val="22"/>
                <w:szCs w:val="22"/>
                <w:color w:val="auto"/>
                <w:w w:val="92"/>
              </w:rPr>
              <w:t>(Zip Code)</w:t>
            </w:r>
          </w:p>
        </w:tc>
        <w:tc>
          <w:tcPr>
            <w:tcW w:w="0" w:type="dxa"/>
            <w:vAlign w:val="bottom"/>
          </w:tcPr>
          <w:p>
            <w:pPr>
              <w:spacing w:after="0"/>
              <w:rPr>
                <w:sz w:val="1"/>
                <w:szCs w:val="1"/>
                <w:color w:val="auto"/>
              </w:rPr>
            </w:pPr>
          </w:p>
        </w:tc>
      </w:tr>
      <w:tr>
        <w:trPr>
          <w:trHeight w:val="153"/>
        </w:trPr>
        <w:tc>
          <w:tcPr>
            <w:tcW w:w="3880" w:type="dxa"/>
            <w:vAlign w:val="bottom"/>
            <w:vMerge w:val="restart"/>
          </w:tcPr>
          <w:p>
            <w:pPr>
              <w:jc w:val="center"/>
              <w:ind w:right="352"/>
              <w:spacing w:after="0"/>
              <w:rPr>
                <w:sz w:val="20"/>
                <w:szCs w:val="20"/>
                <w:color w:val="auto"/>
              </w:rPr>
            </w:pPr>
            <w:r>
              <w:rPr>
                <w:rFonts w:ascii="Arial" w:cs="Arial" w:eastAsia="Arial" w:hAnsi="Arial"/>
                <w:sz w:val="22"/>
                <w:szCs w:val="22"/>
                <w:color w:val="auto"/>
                <w:w w:val="90"/>
              </w:rPr>
              <w:t>(Address of principal executive offices)</w:t>
            </w:r>
          </w:p>
        </w:tc>
        <w:tc>
          <w:tcPr>
            <w:tcW w:w="2780" w:type="dxa"/>
            <w:vAlign w:val="bottom"/>
          </w:tcPr>
          <w:p>
            <w:pPr>
              <w:spacing w:after="0"/>
              <w:rPr>
                <w:sz w:val="13"/>
                <w:szCs w:val="13"/>
                <w:color w:val="auto"/>
              </w:rPr>
            </w:pPr>
          </w:p>
        </w:tc>
        <w:tc>
          <w:tcPr>
            <w:tcW w:w="2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880" w:type="dxa"/>
            <w:vAlign w:val="bottom"/>
            <w:vMerge w:val="continue"/>
          </w:tcPr>
          <w:p>
            <w:pPr>
              <w:spacing w:after="0"/>
              <w:rPr>
                <w:sz w:val="10"/>
                <w:szCs w:val="10"/>
                <w:color w:val="auto"/>
              </w:rPr>
            </w:pPr>
          </w:p>
        </w:tc>
        <w:tc>
          <w:tcPr>
            <w:tcW w:w="27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spacing w:after="0" w:line="250" w:lineRule="auto"/>
        <w:rPr>
          <w:sz w:val="20"/>
          <w:szCs w:val="20"/>
          <w:color w:val="auto"/>
        </w:rPr>
      </w:pPr>
      <w:r>
        <w:rPr>
          <w:rFonts w:ascii="Arial" w:cs="Arial" w:eastAsia="Arial" w:hAnsi="Arial"/>
          <w:sz w:val="22"/>
          <w:szCs w:val="22"/>
          <w:color w:val="auto"/>
        </w:rPr>
        <w:t>PennantPark Investment Corporation Declares Regular Quarterly Dividend of $0.22 Per Share, and Announces Financial Results for Fiscal Year Ended September 30, 2007.</w:t>
      </w:r>
    </w:p>
    <w:p>
      <w:pPr>
        <w:spacing w:after="0" w:line="169"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3"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December 13, 2007</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left="40" w:right="2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4"/>
          <w:szCs w:val="24"/>
          <w:color w:val="auto"/>
        </w:rPr>
      </w:pPr>
    </w:p>
    <w:p>
      <w:pPr>
        <w:ind w:left="40"/>
        <w:spacing w:after="0"/>
        <w:tabs>
          <w:tab w:leader="none" w:pos="4920" w:val="left"/>
        </w:tabs>
        <w:rPr>
          <w:sz w:val="20"/>
          <w:szCs w:val="20"/>
          <w:color w:val="auto"/>
        </w:rPr>
      </w:pPr>
      <w:r>
        <w:rPr>
          <w:rFonts w:ascii="Arial" w:cs="Arial" w:eastAsia="Arial" w:hAnsi="Arial"/>
          <w:sz w:val="22"/>
          <w:szCs w:val="22"/>
          <w:color w:val="auto"/>
        </w:rPr>
        <w:t>Dated: December 13, 2007</w:t>
      </w:r>
      <w:r>
        <w:rPr>
          <w:sz w:val="20"/>
          <w:szCs w:val="20"/>
          <w:color w:val="auto"/>
        </w:rPr>
        <w:tab/>
      </w:r>
      <w:r>
        <w:rPr>
          <w:rFonts w:ascii="Arial" w:cs="Arial" w:eastAsia="Arial" w:hAnsi="Arial"/>
          <w:sz w:val="21"/>
          <w:szCs w:val="21"/>
          <w:b w:val="1"/>
          <w:bCs w:val="1"/>
          <w:color w:val="auto"/>
        </w:rPr>
        <w:t>PENNANTPARK INVESTMENT CORPORATION</w:t>
      </w:r>
    </w:p>
    <w:p>
      <w:pPr>
        <w:sectPr>
          <w:pgSz w:w="11900" w:h="16838" w:orient="portrait"/>
          <w:cols w:equalWidth="0" w:num="1">
            <w:col w:w="11200"/>
          </w:cols>
          <w:pgMar w:left="320" w:top="828" w:right="37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100" w:type="dxa"/>
            <w:vAlign w:val="bottom"/>
            <w:gridSpan w:val="5"/>
          </w:tcPr>
          <w:p>
            <w:pPr>
              <w:ind w:left="800"/>
              <w:spacing w:after="0"/>
              <w:rPr>
                <w:sz w:val="20"/>
                <w:szCs w:val="20"/>
                <w:color w:val="auto"/>
              </w:rPr>
            </w:pPr>
            <w:r>
              <w:rPr>
                <w:rFonts w:ascii="Arial" w:cs="Arial" w:eastAsia="Arial" w:hAnsi="Arial"/>
                <w:sz w:val="22"/>
                <w:szCs w:val="22"/>
                <w:color w:val="auto"/>
              </w:rPr>
              <w:t>By: /s/ Aviv Efrat</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100" w:type="dxa"/>
            <w:vAlign w:val="bottom"/>
            <w:gridSpan w:val="5"/>
          </w:tcPr>
          <w:p>
            <w:pPr>
              <w:ind w:left="1060"/>
              <w:spacing w:after="0" w:line="242" w:lineRule="exact"/>
              <w:rPr>
                <w:sz w:val="20"/>
                <w:szCs w:val="20"/>
                <w:color w:val="auto"/>
              </w:rPr>
            </w:pPr>
            <w:r>
              <w:rPr>
                <w:rFonts w:ascii="Arial" w:cs="Arial" w:eastAsia="Arial" w:hAnsi="Arial"/>
                <w:sz w:val="22"/>
                <w:szCs w:val="22"/>
                <w:color w:val="auto"/>
              </w:rPr>
              <w:t>Aviv Efrat</w:t>
            </w:r>
          </w:p>
        </w:tc>
        <w:tc>
          <w:tcPr>
            <w:tcW w:w="0" w:type="dxa"/>
            <w:vAlign w:val="bottom"/>
          </w:tcPr>
          <w:p>
            <w:pPr>
              <w:spacing w:after="0"/>
              <w:rPr>
                <w:sz w:val="1"/>
                <w:szCs w:val="1"/>
                <w:color w:val="auto"/>
              </w:rPr>
            </w:pPr>
          </w:p>
        </w:tc>
      </w:tr>
      <w:tr>
        <w:trPr>
          <w:trHeight w:val="274"/>
        </w:trPr>
        <w:tc>
          <w:tcPr>
            <w:tcW w:w="2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100" w:type="dxa"/>
            <w:vAlign w:val="bottom"/>
            <w:gridSpan w:val="5"/>
          </w:tcPr>
          <w:p>
            <w:pPr>
              <w:ind w:left="1060"/>
              <w:spacing w:after="0"/>
              <w:rPr>
                <w:sz w:val="20"/>
                <w:szCs w:val="20"/>
                <w:color w:val="auto"/>
              </w:rPr>
            </w:pPr>
            <w:r>
              <w:rPr>
                <w:rFonts w:ascii="Arial" w:cs="Arial" w:eastAsia="Arial" w:hAnsi="Arial"/>
                <w:sz w:val="22"/>
                <w:szCs w:val="22"/>
                <w:i w:val="1"/>
                <w:iCs w:val="1"/>
                <w:color w:val="auto"/>
              </w:rPr>
              <w:t>Chief Financial Officer and Treasurer</w:t>
            </w:r>
          </w:p>
        </w:tc>
        <w:tc>
          <w:tcPr>
            <w:tcW w:w="0" w:type="dxa"/>
            <w:vAlign w:val="bottom"/>
          </w:tcPr>
          <w:p>
            <w:pPr>
              <w:spacing w:after="0"/>
              <w:rPr>
                <w:sz w:val="1"/>
                <w:szCs w:val="1"/>
                <w:color w:val="auto"/>
              </w:rPr>
            </w:pPr>
          </w:p>
        </w:tc>
      </w:tr>
      <w:tr>
        <w:trPr>
          <w:trHeight w:val="146"/>
        </w:trPr>
        <w:tc>
          <w:tcPr>
            <w:tcW w:w="23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23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2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02"/>
        </w:trPr>
        <w:tc>
          <w:tcPr>
            <w:tcW w:w="2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100" w:type="dxa"/>
            <w:vAlign w:val="bottom"/>
            <w:gridSpan w:val="5"/>
          </w:tcPr>
          <w:p>
            <w:pPr>
              <w:ind w:left="86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230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7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3360" w:type="dxa"/>
            <w:vAlign w:val="bottom"/>
            <w:gridSpan w:val="2"/>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940" w:type="dxa"/>
            <w:vAlign w:val="bottom"/>
            <w:gridSpan w:val="4"/>
          </w:tcPr>
          <w:p>
            <w:pPr>
              <w:jc w:val="center"/>
              <w:ind w:left="19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336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940" w:type="dxa"/>
            <w:vAlign w:val="bottom"/>
            <w:gridSpan w:val="4"/>
            <w:vMerge w:val="restart"/>
          </w:tcPr>
          <w:p>
            <w:pPr>
              <w:jc w:val="center"/>
              <w:ind w:left="212"/>
              <w:spacing w:after="0"/>
              <w:rPr>
                <w:sz w:val="20"/>
                <w:szCs w:val="20"/>
                <w:color w:val="auto"/>
              </w:rPr>
            </w:pPr>
            <w:r>
              <w:rPr>
                <w:rFonts w:ascii="Arial" w:cs="Arial" w:eastAsia="Arial" w:hAnsi="Arial"/>
                <w:sz w:val="22"/>
                <w:szCs w:val="22"/>
                <w:color w:val="auto"/>
                <w:w w:val="87"/>
              </w:rPr>
              <w:t>December 13, 2007</w:t>
            </w:r>
          </w:p>
        </w:tc>
        <w:tc>
          <w:tcPr>
            <w:tcW w:w="0" w:type="dxa"/>
            <w:vAlign w:val="bottom"/>
          </w:tcPr>
          <w:p>
            <w:pPr>
              <w:spacing w:after="0"/>
              <w:rPr>
                <w:sz w:val="1"/>
                <w:szCs w:val="1"/>
                <w:color w:val="auto"/>
              </w:rPr>
            </w:pPr>
          </w:p>
        </w:tc>
      </w:tr>
      <w:tr>
        <w:trPr>
          <w:trHeight w:val="122"/>
        </w:trPr>
        <w:tc>
          <w:tcPr>
            <w:tcW w:w="2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9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-794385</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-803275</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 w:right="339" w:bottom="1440" w:gutter="0" w:footer="0" w:header="0"/>
        </w:sectPr>
      </w:pPr>
    </w:p>
    <w:bookmarkStart w:id="2" w:name="page3"/>
    <w:bookmarkEnd w:id="2"/>
    <w:p>
      <w:pPr>
        <w:jc w:val="center"/>
        <w:ind w:right="20"/>
        <w:spacing w:after="0" w:line="257" w:lineRule="auto"/>
        <w:rPr>
          <w:sz w:val="20"/>
          <w:szCs w:val="20"/>
          <w:color w:val="auto"/>
        </w:rPr>
      </w:pPr>
      <w:r>
        <w:rPr>
          <w:rFonts w:ascii="Arial" w:cs="Arial" w:eastAsia="Arial" w:hAnsi="Arial"/>
          <w:sz w:val="22"/>
          <w:szCs w:val="22"/>
          <w:b w:val="1"/>
          <w:bCs w:val="1"/>
          <w:color w:val="auto"/>
        </w:rPr>
        <w:t>PennantPark Investment Corporation Declares Regular Quarterly Dividend of $0.22 per Share, and Announces Financial Results for Fiscal Year Ended September 30, 2007</w:t>
      </w:r>
    </w:p>
    <w:p>
      <w:pPr>
        <w:spacing w:after="0" w:line="167" w:lineRule="exact"/>
        <w:rPr>
          <w:sz w:val="20"/>
          <w:szCs w:val="20"/>
          <w:color w:val="auto"/>
        </w:rPr>
      </w:pPr>
    </w:p>
    <w:p>
      <w:pPr>
        <w:jc w:val="center"/>
        <w:spacing w:after="0" w:line="287" w:lineRule="auto"/>
        <w:rPr>
          <w:sz w:val="20"/>
          <w:szCs w:val="20"/>
          <w:color w:val="auto"/>
        </w:rPr>
      </w:pPr>
      <w:r>
        <w:rPr>
          <w:rFonts w:ascii="Arial" w:cs="Arial" w:eastAsia="Arial" w:hAnsi="Arial"/>
          <w:sz w:val="19"/>
          <w:szCs w:val="19"/>
          <w:color w:val="auto"/>
        </w:rPr>
        <w:t>NEW YORK, NY -- 12/13/2007 -- PennantPark Investment Corporation (the "Company") (NASDAQ: PNNT) today declares its first fiscal quarter 2008 dividend of $0.22 per share, payable on December 31, 2007 to shareholders of record as of December 24, 2007. The ex-dividend date is December 20, 2007. Dividends are being paid from taxable earnings and from other sources whose specific tax characteristics will be reported to shareholders on Form 1099-DIV after the end of the calendar year.</w:t>
      </w:r>
    </w:p>
    <w:p>
      <w:pPr>
        <w:spacing w:after="0" w:line="143" w:lineRule="exact"/>
        <w:rPr>
          <w:sz w:val="20"/>
          <w:szCs w:val="20"/>
          <w:color w:val="auto"/>
        </w:rPr>
      </w:pPr>
    </w:p>
    <w:p>
      <w:pPr>
        <w:jc w:val="center"/>
        <w:spacing w:after="0" w:line="238" w:lineRule="auto"/>
        <w:rPr>
          <w:sz w:val="20"/>
          <w:szCs w:val="20"/>
          <w:color w:val="auto"/>
        </w:rPr>
      </w:pPr>
      <w:r>
        <w:rPr>
          <w:rFonts w:ascii="Arial" w:cs="Arial" w:eastAsia="Arial" w:hAnsi="Arial"/>
          <w:sz w:val="22"/>
          <w:szCs w:val="22"/>
          <w:color w:val="auto"/>
        </w:rPr>
        <w:t>The Company will make available on its website its Annual Report on Form 10-K, which also serves as its annual report to shareholders. The Company has filed its Annual Report on Form 10-K with the Securities Exchange Commission, and shareholders may find the report on www.pennantpark.com. Shareholders may receive a hard copy of the report free of charge by submitting a written request to the Company.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Company also announces financial results for its fourth quarter and fiscal year ended September 30, 2007.</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HIGHLIGHTS</w:t>
      </w:r>
    </w:p>
    <w:p>
      <w:pPr>
        <w:jc w:val="center"/>
        <w:spacing w:after="0" w:line="238" w:lineRule="auto"/>
        <w:rPr>
          <w:sz w:val="20"/>
          <w:szCs w:val="20"/>
          <w:color w:val="auto"/>
        </w:rPr>
      </w:pPr>
      <w:r>
        <w:rPr>
          <w:rFonts w:ascii="Courier New" w:cs="Courier New" w:eastAsia="Courier New" w:hAnsi="Courier New"/>
          <w:sz w:val="18"/>
          <w:szCs w:val="18"/>
          <w:color w:val="auto"/>
        </w:rPr>
        <w:t>Fiscal year ended September 30, 2007</w:t>
      </w:r>
    </w:p>
    <w:p>
      <w:pPr>
        <w:jc w:val="center"/>
        <w:spacing w:after="0" w:line="238" w:lineRule="auto"/>
        <w:rPr>
          <w:sz w:val="20"/>
          <w:szCs w:val="20"/>
          <w:color w:val="auto"/>
        </w:rPr>
      </w:pPr>
      <w:r>
        <w:rPr>
          <w:rFonts w:ascii="Courier New" w:cs="Courier New" w:eastAsia="Courier New" w:hAnsi="Courier New"/>
          <w:sz w:val="18"/>
          <w:szCs w:val="18"/>
          <w:color w:val="auto"/>
        </w:rPr>
        <w:t>(in millions, except per share amounts)</w:t>
      </w:r>
    </w:p>
    <w:p>
      <w:pPr>
        <w:spacing w:after="0" w:line="202"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5060" w:type="dxa"/>
            <w:vAlign w:val="bottom"/>
          </w:tcPr>
          <w:p>
            <w:pPr>
              <w:spacing w:after="0"/>
              <w:rPr>
                <w:sz w:val="20"/>
                <w:szCs w:val="20"/>
                <w:color w:val="auto"/>
              </w:rPr>
            </w:pPr>
            <w:r>
              <w:rPr>
                <w:rFonts w:ascii="Courier New" w:cs="Courier New" w:eastAsia="Courier New" w:hAnsi="Courier New"/>
                <w:sz w:val="18"/>
                <w:szCs w:val="18"/>
                <w:color w:val="auto"/>
              </w:rPr>
              <w:t>Investment Portfolio:</w:t>
            </w: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2"/>
              </w:rPr>
              <w:t>291.0</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270.4</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12.83</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Equity capital raised:</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2"/>
              </w:rPr>
              <w:t>294.1</w:t>
            </w:r>
          </w:p>
        </w:tc>
      </w:tr>
      <w:tr>
        <w:trPr>
          <w:trHeight w:val="202"/>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facility closed:</w:t>
            </w: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300.0</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Amount drawn under credit facility:</w:t>
            </w: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405"/>
        </w:trPr>
        <w:tc>
          <w:tcPr>
            <w:tcW w:w="5860" w:type="dxa"/>
            <w:vAlign w:val="bottom"/>
            <w:gridSpan w:val="2"/>
          </w:tcPr>
          <w:p>
            <w:pPr>
              <w:ind w:left="2480"/>
              <w:spacing w:after="0"/>
              <w:rPr>
                <w:sz w:val="20"/>
                <w:szCs w:val="20"/>
                <w:color w:val="auto"/>
              </w:rPr>
            </w:pPr>
            <w:r>
              <w:rPr>
                <w:rFonts w:ascii="Courier New" w:cs="Courier New" w:eastAsia="Courier New" w:hAnsi="Courier New"/>
                <w:sz w:val="18"/>
                <w:szCs w:val="18"/>
                <w:color w:val="auto"/>
              </w:rPr>
              <w:t>Total investment portfolio:</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5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First lien secured loan portfolio:</w:t>
            </w: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158.9</w:t>
            </w:r>
          </w:p>
        </w:tc>
      </w:tr>
      <w:tr>
        <w:trPr>
          <w:trHeight w:val="405"/>
        </w:trPr>
        <w:tc>
          <w:tcPr>
            <w:tcW w:w="6620" w:type="dxa"/>
            <w:vAlign w:val="bottom"/>
            <w:gridSpan w:val="3"/>
          </w:tcPr>
          <w:p>
            <w:pPr>
              <w:jc w:val="center"/>
              <w:ind w:left="1632"/>
              <w:spacing w:after="0"/>
              <w:rPr>
                <w:sz w:val="20"/>
                <w:szCs w:val="20"/>
                <w:color w:val="auto"/>
              </w:rPr>
            </w:pPr>
            <w:r>
              <w:rPr>
                <w:rFonts w:ascii="Courier New" w:cs="Courier New" w:eastAsia="Courier New" w:hAnsi="Courier New"/>
                <w:sz w:val="18"/>
                <w:szCs w:val="18"/>
                <w:color w:val="auto"/>
                <w:w w:val="97"/>
              </w:rPr>
              <w:t>Second lien secured debt, subordinated debt</w:t>
            </w: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5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and equity investments:</w:t>
            </w: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132.1</w:t>
            </w:r>
          </w:p>
        </w:tc>
      </w:tr>
      <w:tr>
        <w:trPr>
          <w:trHeight w:val="405"/>
        </w:trPr>
        <w:tc>
          <w:tcPr>
            <w:tcW w:w="6620" w:type="dxa"/>
            <w:vAlign w:val="bottom"/>
            <w:gridSpan w:val="3"/>
          </w:tcPr>
          <w:p>
            <w:pPr>
              <w:jc w:val="center"/>
              <w:ind w:left="1632"/>
              <w:spacing w:after="0"/>
              <w:rPr>
                <w:sz w:val="20"/>
                <w:szCs w:val="20"/>
                <w:color w:val="auto"/>
              </w:rPr>
            </w:pPr>
            <w:r>
              <w:rPr>
                <w:rFonts w:ascii="Courier New" w:cs="Courier New" w:eastAsia="Courier New" w:hAnsi="Courier New"/>
                <w:sz w:val="18"/>
                <w:szCs w:val="18"/>
                <w:color w:val="auto"/>
                <w:w w:val="97"/>
              </w:rPr>
              <w:t>Weighted average yield on total debt</w:t>
            </w: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50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portfolio:</w:t>
            </w: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w:t>
            </w:r>
          </w:p>
        </w:tc>
      </w:tr>
      <w:tr>
        <w:trPr>
          <w:trHeight w:val="405"/>
        </w:trPr>
        <w:tc>
          <w:tcPr>
            <w:tcW w:w="6620" w:type="dxa"/>
            <w:vAlign w:val="bottom"/>
            <w:gridSpan w:val="3"/>
          </w:tcPr>
          <w:p>
            <w:pPr>
              <w:jc w:val="center"/>
              <w:ind w:left="1632"/>
              <w:spacing w:after="0"/>
              <w:rPr>
                <w:sz w:val="20"/>
                <w:szCs w:val="20"/>
                <w:color w:val="auto"/>
              </w:rPr>
            </w:pPr>
            <w:r>
              <w:rPr>
                <w:rFonts w:ascii="Courier New" w:cs="Courier New" w:eastAsia="Courier New" w:hAnsi="Courier New"/>
                <w:sz w:val="18"/>
                <w:szCs w:val="18"/>
                <w:color w:val="auto"/>
                <w:w w:val="97"/>
              </w:rPr>
              <w:t>Weighted average yield on first lien secured</w:t>
            </w: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50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loan portfolio:</w:t>
            </w: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r>
      <w:tr>
        <w:trPr>
          <w:trHeight w:val="405"/>
        </w:trPr>
        <w:tc>
          <w:tcPr>
            <w:tcW w:w="6620" w:type="dxa"/>
            <w:vAlign w:val="bottom"/>
            <w:gridSpan w:val="3"/>
          </w:tcPr>
          <w:p>
            <w:pPr>
              <w:jc w:val="center"/>
              <w:ind w:left="1632"/>
              <w:spacing w:after="0"/>
              <w:rPr>
                <w:sz w:val="20"/>
                <w:szCs w:val="20"/>
                <w:color w:val="auto"/>
              </w:rPr>
            </w:pPr>
            <w:r>
              <w:rPr>
                <w:rFonts w:ascii="Courier New" w:cs="Courier New" w:eastAsia="Courier New" w:hAnsi="Courier New"/>
                <w:sz w:val="18"/>
                <w:szCs w:val="18"/>
                <w:color w:val="auto"/>
                <w:w w:val="97"/>
              </w:rPr>
              <w:t>Weighted average yield on second lien</w:t>
            </w: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50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secured and subordinated portfolio:</w:t>
            </w: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w:t>
            </w:r>
          </w:p>
        </w:tc>
      </w:tr>
      <w:tr>
        <w:trPr>
          <w:trHeight w:val="810"/>
        </w:trPr>
        <w:tc>
          <w:tcPr>
            <w:tcW w:w="5060" w:type="dxa"/>
            <w:vAlign w:val="bottom"/>
          </w:tcPr>
          <w:p>
            <w:pPr>
              <w:ind w:left="2960"/>
              <w:spacing w:after="0"/>
              <w:rPr>
                <w:sz w:val="20"/>
                <w:szCs w:val="20"/>
                <w:color w:val="auto"/>
              </w:rPr>
            </w:pPr>
            <w:r>
              <w:rPr>
                <w:rFonts w:ascii="Courier New" w:cs="Courier New" w:eastAsia="Courier New" w:hAnsi="Courier New"/>
                <w:sz w:val="18"/>
                <w:szCs w:val="18"/>
                <w:color w:val="auto"/>
              </w:rPr>
              <w:t>Operating Results:</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5060" w:type="dxa"/>
            <w:vAlign w:val="bottom"/>
          </w:tcPr>
          <w:p>
            <w:pPr>
              <w:spacing w:after="0"/>
              <w:rPr>
                <w:sz w:val="17"/>
                <w:szCs w:val="17"/>
                <w:color w:val="auto"/>
              </w:rPr>
            </w:pPr>
          </w:p>
        </w:tc>
        <w:tc>
          <w:tcPr>
            <w:tcW w:w="15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Fiscal Year</w:t>
            </w:r>
          </w:p>
        </w:tc>
        <w:tc>
          <w:tcPr>
            <w:tcW w:w="12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Quarter</w:t>
            </w:r>
          </w:p>
        </w:tc>
      </w:tr>
      <w:tr>
        <w:trPr>
          <w:trHeight w:val="203"/>
        </w:trPr>
        <w:tc>
          <w:tcPr>
            <w:tcW w:w="5060" w:type="dxa"/>
            <w:vAlign w:val="bottom"/>
          </w:tcPr>
          <w:p>
            <w:pPr>
              <w:spacing w:after="0"/>
              <w:rPr>
                <w:sz w:val="17"/>
                <w:szCs w:val="17"/>
                <w:color w:val="auto"/>
              </w:rPr>
            </w:pPr>
          </w:p>
        </w:tc>
        <w:tc>
          <w:tcPr>
            <w:tcW w:w="1560" w:type="dxa"/>
            <w:vAlign w:val="bottom"/>
            <w:gridSpan w:val="2"/>
          </w:tcPr>
          <w:p>
            <w:pPr>
              <w:jc w:val="right"/>
              <w:ind w:right="312"/>
              <w:spacing w:after="0" w:line="203" w:lineRule="exact"/>
              <w:rPr>
                <w:sz w:val="20"/>
                <w:szCs w:val="20"/>
                <w:color w:val="auto"/>
              </w:rPr>
            </w:pPr>
            <w:r>
              <w:rPr>
                <w:rFonts w:ascii="Courier New" w:cs="Courier New" w:eastAsia="Courier New" w:hAnsi="Courier New"/>
                <w:sz w:val="18"/>
                <w:szCs w:val="18"/>
                <w:color w:val="auto"/>
              </w:rPr>
              <w:t>Ended</w:t>
            </w:r>
          </w:p>
        </w:tc>
        <w:tc>
          <w:tcPr>
            <w:tcW w:w="12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5060" w:type="dxa"/>
            <w:vAlign w:val="bottom"/>
          </w:tcPr>
          <w:p>
            <w:pPr>
              <w:spacing w:after="0"/>
              <w:rPr>
                <w:sz w:val="17"/>
                <w:szCs w:val="17"/>
                <w:color w:val="auto"/>
              </w:rPr>
            </w:pPr>
          </w:p>
        </w:tc>
        <w:tc>
          <w:tcPr>
            <w:tcW w:w="15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September</w:t>
            </w:r>
          </w:p>
        </w:tc>
        <w:tc>
          <w:tcPr>
            <w:tcW w:w="12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September</w:t>
            </w:r>
          </w:p>
        </w:tc>
      </w:tr>
      <w:tr>
        <w:trPr>
          <w:trHeight w:val="203"/>
        </w:trPr>
        <w:tc>
          <w:tcPr>
            <w:tcW w:w="50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c>
          <w:tcPr>
            <w:tcW w:w="7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2007</w:t>
            </w:r>
          </w:p>
        </w:tc>
        <w:tc>
          <w:tcPr>
            <w:tcW w:w="6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2007</w:t>
            </w:r>
          </w:p>
        </w:tc>
      </w:tr>
      <w:tr>
        <w:trPr>
          <w:trHeight w:val="203"/>
        </w:trPr>
        <w:tc>
          <w:tcPr>
            <w:tcW w:w="5060" w:type="dxa"/>
            <w:vAlign w:val="bottom"/>
          </w:tcPr>
          <w:p>
            <w:pPr>
              <w:spacing w:after="0"/>
              <w:rPr>
                <w:sz w:val="17"/>
                <w:szCs w:val="17"/>
                <w:color w:val="auto"/>
              </w:rPr>
            </w:pPr>
          </w:p>
        </w:tc>
        <w:tc>
          <w:tcPr>
            <w:tcW w:w="1560" w:type="dxa"/>
            <w:vAlign w:val="bottom"/>
            <w:gridSpan w:val="2"/>
          </w:tcPr>
          <w:p>
            <w:pPr>
              <w:jc w:val="right"/>
              <w:ind w:right="92"/>
              <w:spacing w:after="0" w:line="203" w:lineRule="exact"/>
              <w:rPr>
                <w:sz w:val="20"/>
                <w:szCs w:val="20"/>
                <w:color w:val="auto"/>
              </w:rPr>
            </w:pPr>
            <w:r>
              <w:rPr>
                <w:rFonts w:ascii="Courier New" w:cs="Courier New" w:eastAsia="Courier New" w:hAnsi="Courier New"/>
                <w:sz w:val="18"/>
                <w:szCs w:val="18"/>
                <w:color w:val="auto"/>
              </w:rPr>
              <w:t>-----------</w:t>
            </w:r>
          </w:p>
        </w:tc>
        <w:tc>
          <w:tcPr>
            <w:tcW w:w="12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760" w:type="dxa"/>
            <w:vAlign w:val="bottom"/>
          </w:tcPr>
          <w:p>
            <w:pPr>
              <w:jc w:val="right"/>
              <w:ind w:right="92"/>
              <w:spacing w:after="0" w:line="203" w:lineRule="exact"/>
              <w:rPr>
                <w:sz w:val="20"/>
                <w:szCs w:val="20"/>
                <w:color w:val="auto"/>
              </w:rPr>
            </w:pPr>
            <w:r>
              <w:rPr>
                <w:rFonts w:ascii="Courier New" w:cs="Courier New" w:eastAsia="Courier New" w:hAnsi="Courier New"/>
                <w:sz w:val="18"/>
                <w:szCs w:val="18"/>
                <w:color w:val="auto"/>
              </w:rPr>
              <w:t>7.3</w:t>
            </w:r>
          </w:p>
        </w:tc>
        <w:tc>
          <w:tcPr>
            <w:tcW w:w="6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760" w:type="dxa"/>
            <w:vAlign w:val="bottom"/>
          </w:tcPr>
          <w:p>
            <w:pPr>
              <w:jc w:val="right"/>
              <w:ind w:right="92"/>
              <w:spacing w:after="0" w:line="203" w:lineRule="exact"/>
              <w:rPr>
                <w:sz w:val="20"/>
                <w:szCs w:val="20"/>
                <w:color w:val="auto"/>
              </w:rPr>
            </w:pPr>
            <w:r>
              <w:rPr>
                <w:rFonts w:ascii="Courier New" w:cs="Courier New" w:eastAsia="Courier New" w:hAnsi="Courier New"/>
                <w:sz w:val="18"/>
                <w:szCs w:val="18"/>
                <w:color w:val="auto"/>
              </w:rPr>
              <w:t>0.35</w:t>
            </w:r>
          </w:p>
        </w:tc>
        <w:tc>
          <w:tcPr>
            <w:tcW w:w="6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0.21</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to stockholders per share: *</w:t>
            </w:r>
          </w:p>
        </w:tc>
        <w:tc>
          <w:tcPr>
            <w:tcW w:w="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760" w:type="dxa"/>
            <w:vAlign w:val="bottom"/>
          </w:tcPr>
          <w:p>
            <w:pPr>
              <w:jc w:val="right"/>
              <w:ind w:right="92"/>
              <w:spacing w:after="0" w:line="203" w:lineRule="exact"/>
              <w:rPr>
                <w:sz w:val="20"/>
                <w:szCs w:val="20"/>
                <w:color w:val="auto"/>
              </w:rPr>
            </w:pPr>
            <w:r>
              <w:rPr>
                <w:rFonts w:ascii="Courier New" w:cs="Courier New" w:eastAsia="Courier New" w:hAnsi="Courier New"/>
                <w:sz w:val="18"/>
                <w:szCs w:val="18"/>
                <w:color w:val="auto"/>
              </w:rPr>
              <w:t>0.36</w:t>
            </w:r>
          </w:p>
        </w:tc>
        <w:tc>
          <w:tcPr>
            <w:tcW w:w="6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0.22</w:t>
            </w:r>
          </w:p>
        </w:tc>
      </w:tr>
    </w:tbl>
    <w:p>
      <w:pPr>
        <w:spacing w:after="0" w:line="197" w:lineRule="exact"/>
        <w:rPr>
          <w:sz w:val="20"/>
          <w:szCs w:val="20"/>
          <w:color w:val="auto"/>
        </w:rPr>
      </w:pPr>
    </w:p>
    <w:p>
      <w:pPr>
        <w:jc w:val="center"/>
        <w:ind w:right="20"/>
        <w:spacing w:after="0" w:line="250" w:lineRule="auto"/>
        <w:rPr>
          <w:sz w:val="20"/>
          <w:szCs w:val="20"/>
          <w:color w:val="auto"/>
        </w:rPr>
      </w:pPr>
      <w:r>
        <w:rPr>
          <w:rFonts w:ascii="Arial" w:cs="Arial" w:eastAsia="Arial" w:hAnsi="Arial"/>
          <w:sz w:val="22"/>
          <w:szCs w:val="22"/>
          <w:color w:val="auto"/>
        </w:rPr>
        <w:t>*Dividends are higher than Net Investment Income primarily due to the company's election to be treated as a RIC as of May 1, 2007.</w:t>
      </w:r>
    </w:p>
    <w:p>
      <w:pPr>
        <w:spacing w:after="0" w:line="175"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CONFERENCE CALL AT 10:00 A.M. ET ON DECEMBER 14, 2007</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9"/>
          <w:szCs w:val="19"/>
          <w:color w:val="auto"/>
        </w:rPr>
        <w:t>PennantPark Investment Corporation, (the "Company") will host a conference call at 10:00 a.m. (Eastern Time) on Friday,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December 14, 2007 to discuss its fourth quarter and fiscal year 2007 results. All interested parties are welcome to participate. You</w:t>
      </w:r>
    </w:p>
    <w:p>
      <w:pPr>
        <w:spacing w:after="0" w:line="25" w:lineRule="exact"/>
        <w:rPr>
          <w:sz w:val="20"/>
          <w:szCs w:val="20"/>
          <w:color w:val="auto"/>
        </w:rPr>
      </w:pPr>
    </w:p>
    <w:p>
      <w:pPr>
        <w:jc w:val="center"/>
        <w:spacing w:after="0" w:line="233" w:lineRule="auto"/>
        <w:rPr>
          <w:sz w:val="20"/>
          <w:szCs w:val="20"/>
          <w:color w:val="auto"/>
        </w:rPr>
      </w:pPr>
      <w:r>
        <w:rPr>
          <w:rFonts w:ascii="Arial" w:cs="Arial" w:eastAsia="Arial" w:hAnsi="Arial"/>
          <w:sz w:val="22"/>
          <w:szCs w:val="22"/>
          <w:color w:val="auto"/>
        </w:rPr>
        <w:t>can access the conference call by dialing (866) 542-4238 approximately 5-10 minutes prior to the call. International callers should dial (416) 641-6125. All callers should reference "PennantPark Investment Corporation." An archived replay of the call will be available through December 28, 2007 by calling (800) 408-3053. International callers please dial (416) 695-5800. For all replays, please reference pin #3243029.</w:t>
      </w:r>
    </w:p>
    <w:p>
      <w:pPr>
        <w:spacing w:after="0" w:line="188"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PORTFOLIO AND INVESTMENT ACTIVITY</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9"/>
          <w:szCs w:val="19"/>
          <w:color w:val="auto"/>
        </w:rPr>
        <w:t>We completed our first fiscal year on September 30, 2007 with our portfolio invested $57.3 million in subordinated debt, $67.8</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million in second lien secured debt, $7.0 million in equity investments and $158.9 million in first lien secured loans. Our</w:t>
      </w:r>
    </w:p>
    <w:p>
      <w:pPr>
        <w:spacing w:after="0" w:line="2" w:lineRule="exact"/>
        <w:rPr>
          <w:sz w:val="20"/>
          <w:szCs w:val="20"/>
          <w:color w:val="auto"/>
        </w:rPr>
      </w:pPr>
    </w:p>
    <w:p>
      <w:pPr>
        <w:jc w:val="center"/>
        <w:ind w:right="20"/>
        <w:spacing w:after="0" w:line="280" w:lineRule="auto"/>
        <w:rPr>
          <w:sz w:val="20"/>
          <w:szCs w:val="20"/>
          <w:color w:val="auto"/>
        </w:rPr>
      </w:pPr>
      <w:r>
        <w:rPr>
          <w:rFonts w:ascii="Arial" w:cs="Arial" w:eastAsia="Arial" w:hAnsi="Arial"/>
          <w:sz w:val="19"/>
          <w:szCs w:val="19"/>
          <w:color w:val="auto"/>
        </w:rPr>
        <w:t>portfolio consisted of 38 companies and was invested 20% in subordinated debt, 23% in second lien secured debt, 2% in equity investments and 55% in first lien secured loans. The portfolio had unrealized depreciation of $23.9 million due to recent erosion in the market prices of leveraged finance instruments. On September 30, 2007, our core assets totaled $132.1 million and consisted of investments in eight different companies with an average investment size of $16.5 million per company and a</w:t>
      </w:r>
    </w:p>
    <w:p>
      <w:pPr>
        <w:sectPr>
          <w:pgSz w:w="11900" w:h="16838" w:orient="portrait"/>
          <w:cols w:equalWidth="0" w:num="1">
            <w:col w:w="11220"/>
          </w:cols>
          <w:pgMar w:left="340" w:top="111" w:right="339" w:bottom="0" w:gutter="0" w:footer="0" w:header="0"/>
        </w:sectPr>
      </w:pPr>
    </w:p>
    <w:bookmarkStart w:id="3" w:name="page4"/>
    <w:bookmarkEnd w:id="3"/>
    <w:p>
      <w:pPr>
        <w:jc w:val="center"/>
        <w:spacing w:after="0" w:line="274" w:lineRule="auto"/>
        <w:rPr>
          <w:sz w:val="20"/>
          <w:szCs w:val="20"/>
          <w:color w:val="auto"/>
        </w:rPr>
      </w:pPr>
      <w:r>
        <w:rPr>
          <w:rFonts w:ascii="Arial" w:cs="Arial" w:eastAsia="Arial" w:hAnsi="Arial"/>
          <w:sz w:val="21"/>
          <w:szCs w:val="21"/>
          <w:color w:val="auto"/>
        </w:rPr>
        <w:t>weighted average yield on the core debt portfolio of 13.0%. Our first lien secured loan portfolio consisted of 30 different companies with an average investment size of $5.3 million, and a weighted average yield of 7.5%.</w:t>
      </w:r>
    </w:p>
    <w:p>
      <w:pPr>
        <w:spacing w:after="0" w:line="151" w:lineRule="exact"/>
        <w:rPr>
          <w:sz w:val="20"/>
          <w:szCs w:val="20"/>
          <w:color w:val="auto"/>
        </w:rPr>
      </w:pPr>
    </w:p>
    <w:p>
      <w:pPr>
        <w:jc w:val="both"/>
        <w:ind w:left="200" w:right="140" w:hanging="64"/>
        <w:spacing w:after="0" w:line="276" w:lineRule="auto"/>
        <w:rPr>
          <w:sz w:val="20"/>
          <w:szCs w:val="20"/>
          <w:color w:val="auto"/>
        </w:rPr>
      </w:pPr>
      <w:r>
        <w:rPr>
          <w:rFonts w:ascii="Arial" w:cs="Arial" w:eastAsia="Arial" w:hAnsi="Arial"/>
          <w:sz w:val="19"/>
          <w:szCs w:val="19"/>
          <w:color w:val="auto"/>
        </w:rPr>
        <w:t>"We are well positioned to capture the opportunity in the marketplace today through the combination of our sourcing network, long-term capital resources and our disciplined, value orientation," said Arthur Penn, Chairman and Chief Executive Officer.</w:t>
      </w:r>
    </w:p>
    <w:p>
      <w:pPr>
        <w:spacing w:after="0" w:line="1" w:lineRule="exact"/>
        <w:rPr>
          <w:sz w:val="20"/>
          <w:szCs w:val="20"/>
          <w:color w:val="auto"/>
        </w:rPr>
      </w:pPr>
    </w:p>
    <w:p>
      <w:pPr>
        <w:jc w:val="center"/>
        <w:ind w:right="20"/>
        <w:spacing w:after="0" w:line="236" w:lineRule="auto"/>
        <w:rPr>
          <w:sz w:val="20"/>
          <w:szCs w:val="20"/>
          <w:color w:val="auto"/>
        </w:rPr>
      </w:pPr>
      <w:r>
        <w:rPr>
          <w:rFonts w:ascii="Arial" w:cs="Arial" w:eastAsia="Arial" w:hAnsi="Arial"/>
          <w:sz w:val="22"/>
          <w:szCs w:val="22"/>
          <w:color w:val="auto"/>
        </w:rPr>
        <w:t>"Accordingly, we have the opportunity to selectively deploy capital on increasingly attractive terms and provide strong dividends to our shareholders."</w:t>
      </w:r>
    </w:p>
    <w:p>
      <w:pPr>
        <w:spacing w:after="0" w:line="187"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RESULTS OF OPERATIONS</w:t>
      </w:r>
    </w:p>
    <w:p>
      <w:pPr>
        <w:spacing w:after="0" w:line="206"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Results comparisons are for the quarter and fiscal year ended September 30, 2007.</w:t>
      </w:r>
    </w:p>
    <w:p>
      <w:pPr>
        <w:spacing w:after="0" w:line="206"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Investment Income</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For the quarter and fiscal year ended September 30, 2007, gross investment income totaled $6.9 million and $13.1 million,</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Expenses</w:t>
      </w:r>
    </w:p>
    <w:p>
      <w:pPr>
        <w:spacing w:after="0" w:line="206" w:lineRule="exact"/>
        <w:rPr>
          <w:sz w:val="20"/>
          <w:szCs w:val="20"/>
          <w:color w:val="auto"/>
        </w:rPr>
      </w:pPr>
    </w:p>
    <w:p>
      <w:pPr>
        <w:jc w:val="center"/>
        <w:ind w:right="20"/>
        <w:spacing w:after="0" w:line="236" w:lineRule="auto"/>
        <w:rPr>
          <w:sz w:val="20"/>
          <w:szCs w:val="20"/>
          <w:color w:val="auto"/>
        </w:rPr>
      </w:pPr>
      <w:r>
        <w:rPr>
          <w:rFonts w:ascii="Arial" w:cs="Arial" w:eastAsia="Arial" w:hAnsi="Arial"/>
          <w:sz w:val="22"/>
          <w:szCs w:val="22"/>
          <w:color w:val="auto"/>
        </w:rPr>
        <w:t>For the quarter and fiscal year ended September 30, 2007 expenses totaled $2.6 million and $5.8 million, respectively, of which approximately $1.1 million and $1.9 million, respectively, was for base management fees, and $0.2 million and $1.8 million, respectively, was for interest and other credit facility related expenses. Expense exclusive of base management fees, interest and other credit facility and non-recurring expenses for the quarter and fiscal year ended September 30, 2007 was $1.2 million and $1.7 million, respectively.</w:t>
      </w:r>
    </w:p>
    <w:p>
      <w:pPr>
        <w:spacing w:after="0" w:line="187"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Net Investment Income</w:t>
      </w:r>
    </w:p>
    <w:p>
      <w:pPr>
        <w:spacing w:after="0" w:line="206" w:lineRule="exact"/>
        <w:rPr>
          <w:sz w:val="20"/>
          <w:szCs w:val="20"/>
          <w:color w:val="auto"/>
        </w:rPr>
      </w:pPr>
    </w:p>
    <w:p>
      <w:pPr>
        <w:ind w:left="140"/>
        <w:spacing w:after="0"/>
        <w:rPr>
          <w:sz w:val="20"/>
          <w:szCs w:val="20"/>
          <w:color w:val="auto"/>
        </w:rPr>
      </w:pPr>
      <w:r>
        <w:rPr>
          <w:rFonts w:ascii="Arial" w:cs="Arial" w:eastAsia="Arial" w:hAnsi="Arial"/>
          <w:sz w:val="19"/>
          <w:szCs w:val="19"/>
          <w:color w:val="auto"/>
        </w:rPr>
        <w:t>For the quarter and fiscal year ended September 30, 2007, the Company's net investment income totaled $4.3 million and $7.3</w:t>
      </w:r>
    </w:p>
    <w:p>
      <w:pPr>
        <w:spacing w:after="0" w:line="43"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million, respectively.</w:t>
      </w:r>
    </w:p>
    <w:p>
      <w:pPr>
        <w:spacing w:after="0" w:line="188"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Net Realized Losses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For the quarter and fiscal year ended September 30, 2007, the Company had investment sales and paydowns totaling $7.0 million</w:t>
      </w:r>
    </w:p>
    <w:p>
      <w:pPr>
        <w:spacing w:after="0" w:line="43" w:lineRule="exact"/>
        <w:rPr>
          <w:sz w:val="20"/>
          <w:szCs w:val="20"/>
          <w:color w:val="auto"/>
        </w:rPr>
      </w:pPr>
    </w:p>
    <w:p>
      <w:pPr>
        <w:jc w:val="center"/>
        <w:ind w:right="20"/>
        <w:spacing w:after="0" w:line="426" w:lineRule="auto"/>
        <w:rPr>
          <w:sz w:val="20"/>
          <w:szCs w:val="20"/>
          <w:color w:val="auto"/>
        </w:rPr>
      </w:pPr>
      <w:r>
        <w:rPr>
          <w:rFonts w:ascii="Arial" w:cs="Arial" w:eastAsia="Arial" w:hAnsi="Arial"/>
          <w:sz w:val="22"/>
          <w:szCs w:val="22"/>
          <w:color w:val="auto"/>
        </w:rPr>
        <w:t>and $99.6 million, respectively, and net realized losses of approximately $66,000 and $82,000, respectively. Net Unrealized Depreciation on Investments and Cash Equivalents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For the quarter and fiscal year ended September 30, 2007, net unrealized depreciation on the Company's investments increased $18.8 million and $23.9 million, respectively. The increase in net unrealized depreciation was primarily due to recent erosion in the market prices of leveraged finance instruments.</w:t>
      </w:r>
    </w:p>
    <w:p>
      <w:pPr>
        <w:spacing w:after="0" w:line="186"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Net Decrease in Net Assets from Operations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9"/>
          <w:szCs w:val="19"/>
          <w:color w:val="auto"/>
        </w:rPr>
        <w:t>For the quarter and fiscal year ended September 30, 2007, the Company had a decrease in net assets resulting from operations of</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$14.5 million and $16.7 million, respectively, or $0.70 and $0.80 per share,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LIQUIDITY AND CAPITAL RESOURCES</w:t>
      </w:r>
    </w:p>
    <w:p>
      <w:pPr>
        <w:spacing w:after="0" w:line="206" w:lineRule="exact"/>
        <w:rPr>
          <w:sz w:val="20"/>
          <w:szCs w:val="20"/>
          <w:color w:val="auto"/>
        </w:rPr>
      </w:pPr>
    </w:p>
    <w:p>
      <w:pPr>
        <w:jc w:val="center"/>
        <w:spacing w:after="0" w:line="235" w:lineRule="auto"/>
        <w:rPr>
          <w:sz w:val="20"/>
          <w:szCs w:val="20"/>
          <w:color w:val="auto"/>
        </w:rPr>
      </w:pPr>
      <w:r>
        <w:rPr>
          <w:rFonts w:ascii="Arial" w:cs="Arial" w:eastAsia="Arial" w:hAnsi="Arial"/>
          <w:sz w:val="22"/>
          <w:szCs w:val="22"/>
          <w:color w:val="auto"/>
        </w:rPr>
        <w:t>The Company's liquidity and capital resources are generated primarily through its senior secured, multi-currency, five-year, revolving credit facility maturing in June 2012 as well as from cash flows from operations. During the fiscal year ended September 30, 2007, we issued common stock in an initial public offering, completed a private placement of common stock and exercised the underwriters' over-allotment option, resulting in an aggregate of $294.1 million in net proceeds. During the fiscal year, we also entered into a $300.0 million credit facility at LIBOR plus 100 basis points. At September 30, 2007, we had drawn $10.0 million under the credit facility.</w:t>
      </w:r>
    </w:p>
    <w:p>
      <w:pPr>
        <w:spacing w:after="0" w:line="188"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DIVIDENDS</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9"/>
          <w:szCs w:val="19"/>
          <w:color w:val="auto"/>
        </w:rPr>
        <w:t>Dividends paid to stockholders for the quarter and fiscal year ended September 30, 2007 totaled $4.6 million and $7.6 million,</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respectively, or $0.22 and $0.36 per share, respectively.</w:t>
      </w:r>
    </w:p>
    <w:p>
      <w:pPr>
        <w:spacing w:after="0" w:line="206" w:lineRule="exact"/>
        <w:rPr>
          <w:sz w:val="20"/>
          <w:szCs w:val="20"/>
          <w:color w:val="auto"/>
        </w:rPr>
      </w:pPr>
    </w:p>
    <w:p>
      <w:pPr>
        <w:ind w:left="4840"/>
        <w:spacing w:after="0"/>
        <w:rPr>
          <w:sz w:val="20"/>
          <w:szCs w:val="20"/>
          <w:color w:val="auto"/>
        </w:rPr>
      </w:pPr>
      <w:r>
        <w:rPr>
          <w:rFonts w:ascii="Courier New" w:cs="Courier New" w:eastAsia="Courier New" w:hAnsi="Courier New"/>
          <w:sz w:val="18"/>
          <w:szCs w:val="18"/>
          <w:color w:val="auto"/>
        </w:rPr>
        <w:t>PENNANTPARK INVESTMENT CORPORATION</w:t>
      </w:r>
    </w:p>
    <w:p>
      <w:pPr>
        <w:ind w:left="3740"/>
        <w:spacing w:after="0" w:line="238" w:lineRule="auto"/>
        <w:rPr>
          <w:sz w:val="20"/>
          <w:szCs w:val="20"/>
          <w:color w:val="auto"/>
        </w:rPr>
      </w:pPr>
      <w:r>
        <w:rPr>
          <w:rFonts w:ascii="Courier New" w:cs="Courier New" w:eastAsia="Courier New" w:hAnsi="Courier New"/>
          <w:sz w:val="18"/>
          <w:szCs w:val="18"/>
          <w:color w:val="auto"/>
        </w:rPr>
        <w:t>CONSOLIDATED STATEMENT OF ASSETS AND LIABILITIES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680" w:type="dxa"/>
        <w:tblCellMar>
          <w:top w:w="0" w:type="dxa"/>
          <w:left w:w="0" w:type="dxa"/>
          <w:bottom w:w="0" w:type="dxa"/>
          <w:right w:w="0" w:type="dxa"/>
        </w:tblCellMar>
      </w:tblPr>
      <w:tr>
        <w:trPr>
          <w:trHeight w:val="204"/>
        </w:trPr>
        <w:tc>
          <w:tcPr>
            <w:tcW w:w="580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September 30,</w:t>
            </w:r>
          </w:p>
        </w:tc>
      </w:tr>
      <w:tr>
        <w:trPr>
          <w:trHeight w:val="203"/>
        </w:trPr>
        <w:tc>
          <w:tcPr>
            <w:tcW w:w="5800" w:type="dxa"/>
            <w:vAlign w:val="bottom"/>
          </w:tcPr>
          <w:p>
            <w:pPr>
              <w:spacing w:after="0"/>
              <w:rPr>
                <w:sz w:val="17"/>
                <w:szCs w:val="17"/>
                <w:color w:val="auto"/>
              </w:rPr>
            </w:pP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2007</w:t>
            </w:r>
          </w:p>
        </w:tc>
      </w:tr>
      <w:tr>
        <w:trPr>
          <w:trHeight w:val="203"/>
        </w:trPr>
        <w:tc>
          <w:tcPr>
            <w:tcW w:w="5800" w:type="dxa"/>
            <w:vAlign w:val="bottom"/>
          </w:tcPr>
          <w:p>
            <w:pPr>
              <w:ind w:left="3580"/>
              <w:spacing w:after="0" w:line="203" w:lineRule="exact"/>
              <w:rPr>
                <w:sz w:val="20"/>
                <w:szCs w:val="20"/>
                <w:color w:val="auto"/>
              </w:rPr>
            </w:pPr>
            <w:r>
              <w:rPr>
                <w:rFonts w:ascii="Courier New" w:cs="Courier New" w:eastAsia="Courier New" w:hAnsi="Courier New"/>
                <w:sz w:val="18"/>
                <w:szCs w:val="18"/>
                <w:color w:val="auto"/>
              </w:rPr>
              <w:t>Assets</w:t>
            </w:r>
          </w:p>
        </w:tc>
        <w:tc>
          <w:tcPr>
            <w:tcW w:w="2000" w:type="dxa"/>
            <w:vAlign w:val="bottom"/>
          </w:tcPr>
          <w:p>
            <w:pPr>
              <w:spacing w:after="0"/>
              <w:rPr>
                <w:sz w:val="17"/>
                <w:szCs w:val="17"/>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 (cost-$314,881,870)(1)</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$ 291,016,608</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 (cost-$258,016,351)</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257,959,635</w:t>
            </w:r>
          </w:p>
        </w:tc>
      </w:tr>
      <w:tr>
        <w:trPr>
          <w:trHeight w:val="202"/>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4,517,850</w:t>
            </w:r>
          </w:p>
        </w:tc>
      </w:tr>
      <w:tr>
        <w:trPr>
          <w:trHeight w:val="202"/>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1,513,583</w:t>
            </w:r>
          </w:p>
        </w:tc>
      </w:tr>
    </w:tbl>
    <w:p>
      <w:pPr>
        <w:sectPr>
          <w:pgSz w:w="11900" w:h="16838" w:orient="portrait"/>
          <w:cols w:equalWidth="0" w:num="1">
            <w:col w:w="11180"/>
          </w:cols>
          <w:pgMar w:left="360" w:top="118" w:right="359" w:bottom="0" w:gutter="0" w:footer="0" w:header="0"/>
        </w:sectPr>
      </w:pPr>
    </w:p>
    <w:bookmarkStart w:id="4" w:name="page5"/>
    <w:bookmarkEnd w:id="4"/>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04"/>
        </w:trPr>
        <w:tc>
          <w:tcPr>
            <w:tcW w:w="620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6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Total assets</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$ 555,007,676</w:t>
            </w:r>
          </w:p>
        </w:tc>
      </w:tr>
      <w:tr>
        <w:trPr>
          <w:trHeight w:val="203"/>
        </w:trPr>
        <w:tc>
          <w:tcPr>
            <w:tcW w:w="6200" w:type="dxa"/>
            <w:vAlign w:val="bottom"/>
          </w:tcPr>
          <w:p>
            <w:pPr>
              <w:spacing w:after="0"/>
              <w:rPr>
                <w:sz w:val="17"/>
                <w:szCs w:val="17"/>
                <w:color w:val="auto"/>
              </w:rPr>
            </w:pP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00" w:type="dxa"/>
            <w:vAlign w:val="bottom"/>
          </w:tcPr>
          <w:p>
            <w:pPr>
              <w:jc w:val="center"/>
              <w:ind w:left="1592"/>
              <w:spacing w:after="0"/>
              <w:rPr>
                <w:sz w:val="20"/>
                <w:szCs w:val="20"/>
                <w:color w:val="auto"/>
              </w:rPr>
            </w:pPr>
            <w:r>
              <w:rPr>
                <w:rFonts w:ascii="Courier New" w:cs="Courier New" w:eastAsia="Courier New" w:hAnsi="Courier New"/>
                <w:sz w:val="18"/>
                <w:szCs w:val="18"/>
                <w:color w:val="auto"/>
                <w:w w:val="97"/>
              </w:rPr>
              <w:t>Liabilities</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6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Payable for cash equivalents purchased</w:t>
            </w:r>
          </w:p>
        </w:tc>
        <w:tc>
          <w:tcPr>
            <w:tcW w:w="4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252,759,931</w:t>
            </w:r>
          </w:p>
        </w:tc>
      </w:tr>
      <w:tr>
        <w:trPr>
          <w:trHeight w:val="202"/>
        </w:trPr>
        <w:tc>
          <w:tcPr>
            <w:tcW w:w="6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4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16,583,921</w:t>
            </w:r>
          </w:p>
        </w:tc>
      </w:tr>
      <w:tr>
        <w:trPr>
          <w:trHeight w:val="203"/>
        </w:trPr>
        <w:tc>
          <w:tcPr>
            <w:tcW w:w="6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4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3,989,948</w:t>
            </w:r>
          </w:p>
        </w:tc>
      </w:tr>
      <w:tr>
        <w:trPr>
          <w:trHeight w:val="203"/>
        </w:trPr>
        <w:tc>
          <w:tcPr>
            <w:tcW w:w="6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Credit facility payable</w:t>
            </w:r>
          </w:p>
        </w:tc>
        <w:tc>
          <w:tcPr>
            <w:tcW w:w="4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10,000,000</w:t>
            </w:r>
          </w:p>
        </w:tc>
      </w:tr>
      <w:tr>
        <w:trPr>
          <w:trHeight w:val="203"/>
        </w:trPr>
        <w:tc>
          <w:tcPr>
            <w:tcW w:w="6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Interest payable</w:t>
            </w:r>
          </w:p>
        </w:tc>
        <w:tc>
          <w:tcPr>
            <w:tcW w:w="4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170,989</w:t>
            </w:r>
          </w:p>
        </w:tc>
      </w:tr>
      <w:tr>
        <w:trPr>
          <w:trHeight w:val="203"/>
        </w:trPr>
        <w:tc>
          <w:tcPr>
            <w:tcW w:w="6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4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1,109,793</w:t>
            </w:r>
          </w:p>
        </w:tc>
      </w:tr>
      <w:tr>
        <w:trPr>
          <w:trHeight w:val="203"/>
        </w:trPr>
        <w:tc>
          <w:tcPr>
            <w:tcW w:w="6200" w:type="dxa"/>
            <w:vAlign w:val="bottom"/>
          </w:tcPr>
          <w:p>
            <w:pPr>
              <w:spacing w:after="0"/>
              <w:rPr>
                <w:sz w:val="17"/>
                <w:szCs w:val="17"/>
                <w:color w:val="auto"/>
              </w:rPr>
            </w:pP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$ 284,614,582</w:t>
            </w:r>
          </w:p>
        </w:tc>
      </w:tr>
      <w:tr>
        <w:trPr>
          <w:trHeight w:val="203"/>
        </w:trPr>
        <w:tc>
          <w:tcPr>
            <w:tcW w:w="6200" w:type="dxa"/>
            <w:vAlign w:val="bottom"/>
          </w:tcPr>
          <w:p>
            <w:pPr>
              <w:spacing w:after="0"/>
              <w:rPr>
                <w:sz w:val="17"/>
                <w:szCs w:val="17"/>
                <w:color w:val="auto"/>
              </w:rPr>
            </w:pP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00" w:type="dxa"/>
            <w:vAlign w:val="bottom"/>
          </w:tcPr>
          <w:p>
            <w:pPr>
              <w:jc w:val="center"/>
              <w:ind w:left="1612"/>
              <w:spacing w:after="0"/>
              <w:rPr>
                <w:sz w:val="20"/>
                <w:szCs w:val="20"/>
                <w:color w:val="auto"/>
              </w:rPr>
            </w:pPr>
            <w:r>
              <w:rPr>
                <w:rFonts w:ascii="Courier New" w:cs="Courier New" w:eastAsia="Courier New" w:hAnsi="Courier New"/>
                <w:sz w:val="18"/>
                <w:szCs w:val="18"/>
                <w:color w:val="auto"/>
                <w:w w:val="98"/>
              </w:rPr>
              <w:t>Net Assets</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7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Common stock, par value $.001 per share, 100,000,000 shares</w:t>
            </w:r>
          </w:p>
        </w:tc>
      </w:tr>
      <w:tr>
        <w:trPr>
          <w:trHeight w:val="203"/>
        </w:trPr>
        <w:tc>
          <w:tcPr>
            <w:tcW w:w="6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authorized and 21,068,772 shares issued and outstanding</w:t>
            </w:r>
          </w:p>
        </w:tc>
        <w:tc>
          <w:tcPr>
            <w:tcW w:w="4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21,069</w:t>
            </w:r>
          </w:p>
        </w:tc>
      </w:tr>
      <w:tr>
        <w:trPr>
          <w:trHeight w:val="203"/>
        </w:trPr>
        <w:tc>
          <w:tcPr>
            <w:tcW w:w="6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Paid-in capital in excess of par</w:t>
            </w:r>
          </w:p>
        </w:tc>
        <w:tc>
          <w:tcPr>
            <w:tcW w:w="4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294,586,604</w:t>
            </w:r>
          </w:p>
        </w:tc>
      </w:tr>
      <w:tr>
        <w:trPr>
          <w:trHeight w:val="203"/>
        </w:trPr>
        <w:tc>
          <w:tcPr>
            <w:tcW w:w="62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 in excess of net investment income</w:t>
            </w:r>
          </w:p>
        </w:tc>
        <w:tc>
          <w:tcPr>
            <w:tcW w:w="4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(196,769)</w:t>
            </w:r>
          </w:p>
        </w:tc>
      </w:tr>
      <w:tr>
        <w:trPr>
          <w:trHeight w:val="203"/>
        </w:trPr>
        <w:tc>
          <w:tcPr>
            <w:tcW w:w="620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net realized loss</w:t>
            </w:r>
          </w:p>
        </w:tc>
        <w:tc>
          <w:tcPr>
            <w:tcW w:w="4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(95,832)</w:t>
            </w:r>
          </w:p>
        </w:tc>
      </w:tr>
      <w:tr>
        <w:trPr>
          <w:trHeight w:val="203"/>
        </w:trPr>
        <w:tc>
          <w:tcPr>
            <w:tcW w:w="6620" w:type="dxa"/>
            <w:vAlign w:val="bottom"/>
            <w:gridSpan w:val="2"/>
          </w:tcPr>
          <w:p>
            <w:pPr>
              <w:jc w:val="center"/>
              <w:ind w:left="1172"/>
              <w:spacing w:after="0" w:line="203" w:lineRule="exact"/>
              <w:rPr>
                <w:sz w:val="20"/>
                <w:szCs w:val="20"/>
                <w:color w:val="auto"/>
              </w:rPr>
            </w:pPr>
            <w:r>
              <w:rPr>
                <w:rFonts w:ascii="Courier New" w:cs="Courier New" w:eastAsia="Courier New" w:hAnsi="Courier New"/>
                <w:sz w:val="18"/>
                <w:szCs w:val="18"/>
                <w:color w:val="auto"/>
                <w:w w:val="97"/>
              </w:rPr>
              <w:t>Net unrealized depreciation on investments and cash</w:t>
            </w:r>
          </w:p>
        </w:tc>
        <w:tc>
          <w:tcPr>
            <w:tcW w:w="1280" w:type="dxa"/>
            <w:vAlign w:val="bottom"/>
          </w:tcPr>
          <w:p>
            <w:pPr>
              <w:spacing w:after="0"/>
              <w:rPr>
                <w:sz w:val="17"/>
                <w:szCs w:val="17"/>
                <w:color w:val="auto"/>
              </w:rPr>
            </w:pPr>
          </w:p>
        </w:tc>
      </w:tr>
      <w:tr>
        <w:trPr>
          <w:trHeight w:val="203"/>
        </w:trPr>
        <w:tc>
          <w:tcPr>
            <w:tcW w:w="6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equivalents</w:t>
            </w:r>
          </w:p>
        </w:tc>
        <w:tc>
          <w:tcPr>
            <w:tcW w:w="4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(23,921,978)</w:t>
            </w:r>
          </w:p>
        </w:tc>
      </w:tr>
      <w:tr>
        <w:trPr>
          <w:trHeight w:val="203"/>
        </w:trPr>
        <w:tc>
          <w:tcPr>
            <w:tcW w:w="6200" w:type="dxa"/>
            <w:vAlign w:val="bottom"/>
          </w:tcPr>
          <w:p>
            <w:pPr>
              <w:spacing w:after="0"/>
              <w:rPr>
                <w:sz w:val="17"/>
                <w:szCs w:val="17"/>
                <w:color w:val="auto"/>
              </w:rPr>
            </w:pP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00" w:type="dxa"/>
            <w:vAlign w:val="bottom"/>
          </w:tcPr>
          <w:p>
            <w:pPr>
              <w:ind w:left="40"/>
              <w:spacing w:after="0"/>
              <w:rPr>
                <w:sz w:val="20"/>
                <w:szCs w:val="20"/>
                <w:color w:val="auto"/>
              </w:rPr>
            </w:pPr>
            <w:r>
              <w:rPr>
                <w:rFonts w:ascii="Courier New" w:cs="Courier New" w:eastAsia="Courier New" w:hAnsi="Courier New"/>
                <w:sz w:val="18"/>
                <w:szCs w:val="18"/>
                <w:color w:val="auto"/>
              </w:rPr>
              <w:t>Total net assets</w:t>
            </w:r>
          </w:p>
        </w:tc>
        <w:tc>
          <w:tcPr>
            <w:tcW w:w="4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270,393,094</w:t>
            </w:r>
          </w:p>
        </w:tc>
      </w:tr>
      <w:tr>
        <w:trPr>
          <w:trHeight w:val="203"/>
        </w:trPr>
        <w:tc>
          <w:tcPr>
            <w:tcW w:w="6200" w:type="dxa"/>
            <w:vAlign w:val="bottom"/>
          </w:tcPr>
          <w:p>
            <w:pPr>
              <w:spacing w:after="0"/>
              <w:rPr>
                <w:sz w:val="17"/>
                <w:szCs w:val="17"/>
                <w:color w:val="auto"/>
              </w:rPr>
            </w:pP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$ 555,007,676</w:t>
            </w:r>
          </w:p>
        </w:tc>
      </w:tr>
      <w:tr>
        <w:trPr>
          <w:trHeight w:val="203"/>
        </w:trPr>
        <w:tc>
          <w:tcPr>
            <w:tcW w:w="6200" w:type="dxa"/>
            <w:vAlign w:val="bottom"/>
          </w:tcPr>
          <w:p>
            <w:pPr>
              <w:spacing w:after="0"/>
              <w:rPr>
                <w:sz w:val="17"/>
                <w:szCs w:val="17"/>
                <w:color w:val="auto"/>
              </w:rPr>
            </w:pP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00" w:type="dxa"/>
            <w:vAlign w:val="bottom"/>
          </w:tcPr>
          <w:p>
            <w:pPr>
              <w:ind w:left="2040"/>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12.83</w:t>
            </w:r>
          </w:p>
        </w:tc>
      </w:tr>
      <w:tr>
        <w:trPr>
          <w:trHeight w:val="203"/>
        </w:trPr>
        <w:tc>
          <w:tcPr>
            <w:tcW w:w="6200" w:type="dxa"/>
            <w:vAlign w:val="bottom"/>
          </w:tcPr>
          <w:p>
            <w:pPr>
              <w:spacing w:after="0"/>
              <w:rPr>
                <w:sz w:val="17"/>
                <w:szCs w:val="17"/>
                <w:color w:val="auto"/>
              </w:rPr>
            </w:pP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left="880" w:right="679" w:hanging="220"/>
        <w:spacing w:after="0" w:line="268" w:lineRule="auto"/>
        <w:tabs>
          <w:tab w:leader="none" w:pos="109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our portfolio companies is controlled by, or affiliated with, PennantPark Investment Corporation as defined by the Investment Company</w:t>
      </w:r>
    </w:p>
    <w:p>
      <w:pPr>
        <w:jc w:val="center"/>
        <w:ind w:right="-200"/>
        <w:spacing w:after="0" w:line="233" w:lineRule="auto"/>
        <w:rPr>
          <w:sz w:val="20"/>
          <w:szCs w:val="20"/>
          <w:color w:val="auto"/>
        </w:rPr>
      </w:pPr>
      <w:r>
        <w:rPr>
          <w:rFonts w:ascii="Courier New" w:cs="Courier New" w:eastAsia="Courier New" w:hAnsi="Courier New"/>
          <w:sz w:val="18"/>
          <w:szCs w:val="18"/>
          <w:color w:val="auto"/>
        </w:rPr>
        <w:t>Act of 1940,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760"/>
        <w:spacing w:after="0"/>
        <w:rPr>
          <w:sz w:val="20"/>
          <w:szCs w:val="20"/>
          <w:color w:val="auto"/>
        </w:rPr>
      </w:pPr>
      <w:r>
        <w:rPr>
          <w:rFonts w:ascii="Courier New" w:cs="Courier New" w:eastAsia="Courier New" w:hAnsi="Courier New"/>
          <w:sz w:val="18"/>
          <w:szCs w:val="18"/>
          <w:color w:val="auto"/>
        </w:rPr>
        <w:t>PENNANTPARK INVESTMENT CORPORATION</w:t>
      </w:r>
    </w:p>
    <w:p>
      <w:pPr>
        <w:ind w:left="3600"/>
        <w:spacing w:after="0" w:line="238" w:lineRule="auto"/>
        <w:rPr>
          <w:sz w:val="20"/>
          <w:szCs w:val="20"/>
          <w:color w:val="auto"/>
        </w:rPr>
      </w:pPr>
      <w:r>
        <w:rPr>
          <w:rFonts w:ascii="Courier New" w:cs="Courier New" w:eastAsia="Courier New" w:hAnsi="Courier New"/>
          <w:sz w:val="18"/>
          <w:szCs w:val="18"/>
          <w:color w:val="auto"/>
        </w:rPr>
        <w:t>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080"/>
        <w:spacing w:after="0"/>
        <w:rPr>
          <w:sz w:val="20"/>
          <w:szCs w:val="20"/>
          <w:color w:val="auto"/>
        </w:rPr>
      </w:pPr>
      <w:r>
        <w:rPr>
          <w:rFonts w:ascii="Courier New" w:cs="Courier New" w:eastAsia="Courier New" w:hAnsi="Courier New"/>
          <w:sz w:val="18"/>
          <w:szCs w:val="18"/>
          <w:color w:val="auto"/>
        </w:rPr>
        <w:t>Period from</w:t>
      </w:r>
    </w:p>
    <w:p>
      <w:pPr>
        <w:ind w:left="6720"/>
        <w:spacing w:after="0" w:line="238" w:lineRule="auto"/>
        <w:rPr>
          <w:sz w:val="20"/>
          <w:szCs w:val="20"/>
          <w:color w:val="auto"/>
        </w:rPr>
      </w:pPr>
      <w:r>
        <w:rPr>
          <w:rFonts w:ascii="Courier New" w:cs="Courier New" w:eastAsia="Courier New" w:hAnsi="Courier New"/>
          <w:sz w:val="18"/>
          <w:szCs w:val="18"/>
          <w:color w:val="auto"/>
        </w:rPr>
        <w:t>January 11, 2007</w:t>
      </w:r>
    </w:p>
    <w:p>
      <w:pPr>
        <w:ind w:left="7080"/>
        <w:spacing w:after="0" w:line="238" w:lineRule="auto"/>
        <w:rPr>
          <w:sz w:val="20"/>
          <w:szCs w:val="20"/>
          <w:color w:val="auto"/>
        </w:rPr>
      </w:pPr>
      <w:r>
        <w:rPr>
          <w:rFonts w:ascii="Courier New" w:cs="Courier New" w:eastAsia="Courier New" w:hAnsi="Courier New"/>
          <w:sz w:val="18"/>
          <w:szCs w:val="18"/>
          <w:color w:val="auto"/>
        </w:rPr>
        <w:t>(inception)</w:t>
      </w:r>
    </w:p>
    <w:tbl>
      <w:tblPr>
        <w:tblLayout w:type="fixed"/>
        <w:tblInd w:w="98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through</w:t>
            </w:r>
          </w:p>
        </w:tc>
      </w:tr>
      <w:tr>
        <w:trPr>
          <w:trHeight w:val="203"/>
        </w:trPr>
        <w:tc>
          <w:tcPr>
            <w:tcW w:w="5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5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2007</w:t>
            </w:r>
          </w:p>
        </w:tc>
      </w:tr>
      <w:tr>
        <w:trPr>
          <w:trHeight w:val="203"/>
        </w:trPr>
        <w:tc>
          <w:tcPr>
            <w:tcW w:w="5160" w:type="dxa"/>
            <w:vAlign w:val="bottom"/>
          </w:tcPr>
          <w:p>
            <w:pPr>
              <w:spacing w:after="0"/>
              <w:rPr>
                <w:sz w:val="17"/>
                <w:szCs w:val="17"/>
                <w:color w:val="auto"/>
              </w:rPr>
            </w:pP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ind w:left="2580"/>
              <w:spacing w:after="0"/>
              <w:rPr>
                <w:sz w:val="20"/>
                <w:szCs w:val="20"/>
                <w:color w:val="auto"/>
              </w:rPr>
            </w:pPr>
            <w:r>
              <w:rPr>
                <w:rFonts w:ascii="Courier New" w:cs="Courier New" w:eastAsia="Courier New" w:hAnsi="Courier New"/>
                <w:sz w:val="18"/>
                <w:szCs w:val="18"/>
                <w:color w:val="auto"/>
              </w:rPr>
              <w:t>Investment Income:</w:t>
            </w:r>
          </w:p>
        </w:tc>
        <w:tc>
          <w:tcPr>
            <w:tcW w:w="7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3"/>
        </w:trPr>
        <w:tc>
          <w:tcPr>
            <w:tcW w:w="5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Interest</w:t>
            </w:r>
          </w:p>
        </w:tc>
        <w:tc>
          <w:tcPr>
            <w:tcW w:w="7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13,107,341</w:t>
            </w:r>
          </w:p>
        </w:tc>
      </w:tr>
      <w:tr>
        <w:trPr>
          <w:trHeight w:val="203"/>
        </w:trPr>
        <w:tc>
          <w:tcPr>
            <w:tcW w:w="5160" w:type="dxa"/>
            <w:vAlign w:val="bottom"/>
          </w:tcPr>
          <w:p>
            <w:pPr>
              <w:spacing w:after="0"/>
              <w:rPr>
                <w:sz w:val="17"/>
                <w:szCs w:val="17"/>
                <w:color w:val="auto"/>
              </w:rPr>
            </w:pP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Total Investment income</w:t>
            </w:r>
          </w:p>
        </w:tc>
        <w:tc>
          <w:tcPr>
            <w:tcW w:w="76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13,107,341</w:t>
            </w:r>
          </w:p>
        </w:tc>
      </w:tr>
      <w:tr>
        <w:trPr>
          <w:trHeight w:val="203"/>
        </w:trPr>
        <w:tc>
          <w:tcPr>
            <w:tcW w:w="5160" w:type="dxa"/>
            <w:vAlign w:val="bottom"/>
          </w:tcPr>
          <w:p>
            <w:pPr>
              <w:spacing w:after="0"/>
              <w:rPr>
                <w:sz w:val="17"/>
                <w:szCs w:val="17"/>
                <w:color w:val="auto"/>
              </w:rPr>
            </w:pP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ind w:left="3060"/>
              <w:spacing w:after="0"/>
              <w:rPr>
                <w:sz w:val="20"/>
                <w:szCs w:val="20"/>
                <w:color w:val="auto"/>
              </w:rPr>
            </w:pPr>
            <w:r>
              <w:rPr>
                <w:rFonts w:ascii="Courier New" w:cs="Courier New" w:eastAsia="Courier New" w:hAnsi="Courier New"/>
                <w:sz w:val="18"/>
                <w:szCs w:val="18"/>
                <w:color w:val="auto"/>
              </w:rPr>
              <w:t>Expenses:</w:t>
            </w:r>
          </w:p>
        </w:tc>
        <w:tc>
          <w:tcPr>
            <w:tcW w:w="7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3"/>
        </w:trPr>
        <w:tc>
          <w:tcPr>
            <w:tcW w:w="5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Management fees</w:t>
            </w:r>
          </w:p>
        </w:tc>
        <w:tc>
          <w:tcPr>
            <w:tcW w:w="76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2,565,085</w:t>
            </w:r>
          </w:p>
        </w:tc>
      </w:tr>
      <w:tr>
        <w:trPr>
          <w:trHeight w:val="203"/>
        </w:trPr>
        <w:tc>
          <w:tcPr>
            <w:tcW w:w="5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Interest and other credit facility expenses</w:t>
            </w:r>
          </w:p>
        </w:tc>
        <w:tc>
          <w:tcPr>
            <w:tcW w:w="76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1,835,816</w:t>
            </w:r>
          </w:p>
        </w:tc>
      </w:tr>
      <w:tr>
        <w:trPr>
          <w:trHeight w:val="203"/>
        </w:trPr>
        <w:tc>
          <w:tcPr>
            <w:tcW w:w="5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Administrative services expenses</w:t>
            </w:r>
          </w:p>
        </w:tc>
        <w:tc>
          <w:tcPr>
            <w:tcW w:w="76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778,587</w:t>
            </w:r>
          </w:p>
        </w:tc>
      </w:tr>
      <w:tr>
        <w:trPr>
          <w:trHeight w:val="203"/>
        </w:trPr>
        <w:tc>
          <w:tcPr>
            <w:tcW w:w="5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Professional fees</w:t>
            </w:r>
          </w:p>
        </w:tc>
        <w:tc>
          <w:tcPr>
            <w:tcW w:w="76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420,186</w:t>
            </w:r>
          </w:p>
        </w:tc>
      </w:tr>
      <w:tr>
        <w:trPr>
          <w:trHeight w:val="203"/>
        </w:trPr>
        <w:tc>
          <w:tcPr>
            <w:tcW w:w="5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Directors' fees</w:t>
            </w:r>
          </w:p>
        </w:tc>
        <w:tc>
          <w:tcPr>
            <w:tcW w:w="76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211,128</w:t>
            </w:r>
          </w:p>
        </w:tc>
      </w:tr>
      <w:tr>
        <w:trPr>
          <w:trHeight w:val="203"/>
        </w:trPr>
        <w:tc>
          <w:tcPr>
            <w:tcW w:w="5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Organizational expenses</w:t>
            </w:r>
          </w:p>
        </w:tc>
        <w:tc>
          <w:tcPr>
            <w:tcW w:w="76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207,126</w:t>
            </w:r>
          </w:p>
        </w:tc>
      </w:tr>
      <w:tr>
        <w:trPr>
          <w:trHeight w:val="203"/>
        </w:trPr>
        <w:tc>
          <w:tcPr>
            <w:tcW w:w="5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Insurance</w:t>
            </w:r>
          </w:p>
        </w:tc>
        <w:tc>
          <w:tcPr>
            <w:tcW w:w="76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162,387</w:t>
            </w:r>
          </w:p>
        </w:tc>
      </w:tr>
      <w:tr>
        <w:trPr>
          <w:trHeight w:val="202"/>
        </w:trPr>
        <w:tc>
          <w:tcPr>
            <w:tcW w:w="5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Other general and administrative expenses</w:t>
            </w:r>
          </w:p>
        </w:tc>
        <w:tc>
          <w:tcPr>
            <w:tcW w:w="76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157,923</w:t>
            </w:r>
          </w:p>
        </w:tc>
      </w:tr>
      <w:tr>
        <w:trPr>
          <w:trHeight w:val="203"/>
        </w:trPr>
        <w:tc>
          <w:tcPr>
            <w:tcW w:w="5160" w:type="dxa"/>
            <w:vAlign w:val="bottom"/>
          </w:tcPr>
          <w:p>
            <w:pPr>
              <w:spacing w:after="0"/>
              <w:rPr>
                <w:sz w:val="17"/>
                <w:szCs w:val="17"/>
                <w:color w:val="auto"/>
              </w:rPr>
            </w:pP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80" w:type="dxa"/>
            <w:vAlign w:val="bottom"/>
            <w:gridSpan w:val="3"/>
          </w:tcPr>
          <w:p>
            <w:pPr>
              <w:jc w:val="right"/>
              <w:ind w:right="972"/>
              <w:spacing w:after="0" w:line="203" w:lineRule="exact"/>
              <w:rPr>
                <w:sz w:val="20"/>
                <w:szCs w:val="20"/>
                <w:color w:val="auto"/>
              </w:rPr>
            </w:pPr>
            <w:r>
              <w:rPr>
                <w:rFonts w:ascii="Courier New" w:cs="Courier New" w:eastAsia="Courier New" w:hAnsi="Courier New"/>
                <w:sz w:val="18"/>
                <w:szCs w:val="18"/>
                <w:color w:val="auto"/>
              </w:rPr>
              <w:t>Expenses before management fee waiver and income</w:t>
            </w:r>
          </w:p>
        </w:tc>
      </w:tr>
      <w:tr>
        <w:trPr>
          <w:trHeight w:val="202"/>
        </w:trPr>
        <w:tc>
          <w:tcPr>
            <w:tcW w:w="51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tax</w:t>
            </w:r>
          </w:p>
        </w:tc>
        <w:tc>
          <w:tcPr>
            <w:tcW w:w="76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6,338,238</w:t>
            </w:r>
          </w:p>
        </w:tc>
      </w:tr>
      <w:tr>
        <w:trPr>
          <w:trHeight w:val="203"/>
        </w:trPr>
        <w:tc>
          <w:tcPr>
            <w:tcW w:w="5160" w:type="dxa"/>
            <w:vAlign w:val="bottom"/>
          </w:tcPr>
          <w:p>
            <w:pPr>
              <w:spacing w:after="0"/>
              <w:rPr>
                <w:sz w:val="17"/>
                <w:szCs w:val="17"/>
                <w:color w:val="auto"/>
              </w:rPr>
            </w:pP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waiver</w:t>
            </w:r>
          </w:p>
        </w:tc>
        <w:tc>
          <w:tcPr>
            <w:tcW w:w="76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(641,273)</w:t>
            </w:r>
          </w:p>
        </w:tc>
      </w:tr>
      <w:tr>
        <w:trPr>
          <w:trHeight w:val="203"/>
        </w:trPr>
        <w:tc>
          <w:tcPr>
            <w:tcW w:w="5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Income tax expense</w:t>
            </w:r>
          </w:p>
        </w:tc>
        <w:tc>
          <w:tcPr>
            <w:tcW w:w="76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105,880</w:t>
            </w:r>
          </w:p>
        </w:tc>
      </w:tr>
      <w:tr>
        <w:trPr>
          <w:trHeight w:val="203"/>
        </w:trPr>
        <w:tc>
          <w:tcPr>
            <w:tcW w:w="5160" w:type="dxa"/>
            <w:vAlign w:val="bottom"/>
          </w:tcPr>
          <w:p>
            <w:pPr>
              <w:spacing w:after="0"/>
              <w:rPr>
                <w:sz w:val="17"/>
                <w:szCs w:val="17"/>
                <w:color w:val="auto"/>
              </w:rPr>
            </w:pP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ind w:left="40"/>
              <w:spacing w:after="0"/>
              <w:rPr>
                <w:sz w:val="20"/>
                <w:szCs w:val="20"/>
                <w:color w:val="auto"/>
              </w:rPr>
            </w:pPr>
            <w:r>
              <w:rPr>
                <w:rFonts w:ascii="Courier New" w:cs="Courier New" w:eastAsia="Courier New" w:hAnsi="Courier New"/>
                <w:sz w:val="18"/>
                <w:szCs w:val="18"/>
                <w:color w:val="auto"/>
              </w:rPr>
              <w:t>Net Expenses</w:t>
            </w:r>
          </w:p>
        </w:tc>
        <w:tc>
          <w:tcPr>
            <w:tcW w:w="7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8"/>
                <w:szCs w:val="18"/>
                <w:color w:val="auto"/>
              </w:rPr>
              <w:t>5,802,845</w:t>
            </w:r>
          </w:p>
        </w:tc>
      </w:tr>
      <w:tr>
        <w:trPr>
          <w:trHeight w:val="202"/>
        </w:trPr>
        <w:tc>
          <w:tcPr>
            <w:tcW w:w="5160" w:type="dxa"/>
            <w:vAlign w:val="bottom"/>
          </w:tcPr>
          <w:p>
            <w:pPr>
              <w:spacing w:after="0"/>
              <w:rPr>
                <w:sz w:val="17"/>
                <w:szCs w:val="17"/>
                <w:color w:val="auto"/>
              </w:rPr>
            </w:pP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ind w:left="40"/>
              <w:spacing w:after="0"/>
              <w:rPr>
                <w:sz w:val="20"/>
                <w:szCs w:val="20"/>
                <w:color w:val="auto"/>
              </w:rPr>
            </w:pPr>
            <w:r>
              <w:rPr>
                <w:rFonts w:ascii="Courier New" w:cs="Courier New" w:eastAsia="Courier New" w:hAnsi="Courier New"/>
                <w:sz w:val="18"/>
                <w:szCs w:val="18"/>
                <w:color w:val="auto"/>
              </w:rPr>
              <w:t>Net investment income</w:t>
            </w:r>
          </w:p>
        </w:tc>
        <w:tc>
          <w:tcPr>
            <w:tcW w:w="7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8"/>
                <w:szCs w:val="18"/>
                <w:color w:val="auto"/>
              </w:rPr>
              <w:t>7,304,496</w:t>
            </w:r>
          </w:p>
        </w:tc>
      </w:tr>
      <w:tr>
        <w:trPr>
          <w:trHeight w:val="203"/>
        </w:trPr>
        <w:tc>
          <w:tcPr>
            <w:tcW w:w="5160" w:type="dxa"/>
            <w:vAlign w:val="bottom"/>
          </w:tcPr>
          <w:p>
            <w:pPr>
              <w:spacing w:after="0"/>
              <w:rPr>
                <w:sz w:val="17"/>
                <w:szCs w:val="17"/>
                <w:color w:val="auto"/>
              </w:rPr>
            </w:pP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9019"/>
          </w:cols>
          <w:pgMar w:left="1440" w:top="136" w:right="1440" w:bottom="0" w:gutter="0" w:footer="0" w:header="0"/>
        </w:sectPr>
      </w:pPr>
    </w:p>
    <w:bookmarkStart w:id="5" w:name="page6"/>
    <w:bookmarkEnd w:id="5"/>
    <w:p>
      <w:pPr>
        <w:jc w:val="center"/>
        <w:spacing w:after="0"/>
        <w:rPr>
          <w:sz w:val="20"/>
          <w:szCs w:val="20"/>
          <w:color w:val="auto"/>
        </w:rPr>
      </w:pPr>
      <w:r>
        <w:rPr>
          <w:rFonts w:ascii="Courier New" w:cs="Courier New" w:eastAsia="Courier New" w:hAnsi="Courier New"/>
          <w:sz w:val="18"/>
          <w:szCs w:val="18"/>
          <w:color w:val="auto"/>
        </w:rPr>
        <w:t>Realized and unrealized loss on investments and cash</w:t>
      </w:r>
    </w:p>
    <w:tbl>
      <w:tblPr>
        <w:tblLayout w:type="fixed"/>
        <w:tblInd w:w="1640" w:type="dxa"/>
        <w:tblCellMar>
          <w:top w:w="0" w:type="dxa"/>
          <w:left w:w="0" w:type="dxa"/>
          <w:bottom w:w="0" w:type="dxa"/>
          <w:right w:w="0" w:type="dxa"/>
        </w:tblCellMar>
      </w:tblPr>
      <w:tr>
        <w:trPr>
          <w:trHeight w:val="203"/>
        </w:trPr>
        <w:tc>
          <w:tcPr>
            <w:tcW w:w="6100" w:type="dxa"/>
            <w:vAlign w:val="bottom"/>
          </w:tcPr>
          <w:p>
            <w:pPr>
              <w:ind w:left="3360"/>
              <w:spacing w:after="0" w:line="203" w:lineRule="exact"/>
              <w:rPr>
                <w:sz w:val="20"/>
                <w:szCs w:val="20"/>
                <w:color w:val="auto"/>
              </w:rPr>
            </w:pPr>
            <w:r>
              <w:rPr>
                <w:rFonts w:ascii="Courier New" w:cs="Courier New" w:eastAsia="Courier New" w:hAnsi="Courier New"/>
                <w:sz w:val="18"/>
                <w:szCs w:val="18"/>
                <w:color w:val="auto"/>
              </w:rPr>
              <w:t>equivalents:</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1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Net realized loss on investments and cash equivalents</w:t>
            </w:r>
          </w:p>
        </w:tc>
        <w:tc>
          <w:tcPr>
            <w:tcW w:w="32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(81,769)</w:t>
            </w:r>
          </w:p>
        </w:tc>
      </w:tr>
      <w:tr>
        <w:trPr>
          <w:trHeight w:val="203"/>
        </w:trPr>
        <w:tc>
          <w:tcPr>
            <w:tcW w:w="7900" w:type="dxa"/>
            <w:vAlign w:val="bottom"/>
            <w:gridSpan w:val="3"/>
          </w:tcPr>
          <w:p>
            <w:pPr>
              <w:jc w:val="right"/>
              <w:ind w:right="912"/>
              <w:spacing w:after="0" w:line="203" w:lineRule="exact"/>
              <w:rPr>
                <w:sz w:val="20"/>
                <w:szCs w:val="20"/>
                <w:color w:val="auto"/>
              </w:rPr>
            </w:pPr>
            <w:r>
              <w:rPr>
                <w:rFonts w:ascii="Courier New" w:cs="Courier New" w:eastAsia="Courier New" w:hAnsi="Courier New"/>
                <w:sz w:val="18"/>
                <w:szCs w:val="18"/>
                <w:color w:val="auto"/>
              </w:rPr>
              <w:t>Change in net unrealized depreciation on investments</w:t>
            </w:r>
          </w:p>
        </w:tc>
      </w:tr>
      <w:tr>
        <w:trPr>
          <w:trHeight w:val="203"/>
        </w:trPr>
        <w:tc>
          <w:tcPr>
            <w:tcW w:w="6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and cash equivalents</w:t>
            </w:r>
          </w:p>
        </w:tc>
        <w:tc>
          <w:tcPr>
            <w:tcW w:w="32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(23,921,978)</w:t>
            </w:r>
          </w:p>
        </w:tc>
      </w:tr>
      <w:tr>
        <w:trPr>
          <w:trHeight w:val="203"/>
        </w:trPr>
        <w:tc>
          <w:tcPr>
            <w:tcW w:w="610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100" w:type="dxa"/>
            <w:vAlign w:val="bottom"/>
          </w:tcPr>
          <w:p>
            <w:pPr>
              <w:ind w:left="2200"/>
              <w:spacing w:after="0" w:line="203" w:lineRule="exact"/>
              <w:rPr>
                <w:sz w:val="20"/>
                <w:szCs w:val="20"/>
                <w:color w:val="auto"/>
              </w:rPr>
            </w:pPr>
            <w:r>
              <w:rPr>
                <w:rFonts w:ascii="Courier New" w:cs="Courier New" w:eastAsia="Courier New" w:hAnsi="Courier New"/>
                <w:sz w:val="18"/>
                <w:szCs w:val="18"/>
                <w:color w:val="auto"/>
                <w:w w:val="97"/>
              </w:rPr>
              <w:t>Net realized and unrealized loss from</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investments and cash equivalents</w:t>
            </w:r>
          </w:p>
        </w:tc>
        <w:tc>
          <w:tcPr>
            <w:tcW w:w="32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(24,003,747)</w:t>
            </w:r>
          </w:p>
        </w:tc>
      </w:tr>
      <w:tr>
        <w:trPr>
          <w:trHeight w:val="202"/>
        </w:trPr>
        <w:tc>
          <w:tcPr>
            <w:tcW w:w="610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1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decrease in net assets resulting from operations</w:t>
            </w:r>
          </w:p>
        </w:tc>
        <w:tc>
          <w:tcPr>
            <w:tcW w:w="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73"/>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(16,699,251)</w:t>
            </w:r>
          </w:p>
        </w:tc>
      </w:tr>
      <w:tr>
        <w:trPr>
          <w:trHeight w:val="203"/>
        </w:trPr>
        <w:tc>
          <w:tcPr>
            <w:tcW w:w="610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10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common share</w:t>
            </w:r>
          </w:p>
        </w:tc>
        <w:tc>
          <w:tcPr>
            <w:tcW w:w="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73"/>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(0.80)</w:t>
            </w:r>
          </w:p>
        </w:tc>
      </w:tr>
      <w:tr>
        <w:trPr>
          <w:trHeight w:val="203"/>
        </w:trPr>
        <w:tc>
          <w:tcPr>
            <w:tcW w:w="610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center"/>
        <w:ind w:right="20"/>
        <w:spacing w:after="0" w:line="238" w:lineRule="auto"/>
        <w:rPr>
          <w:sz w:val="20"/>
          <w:szCs w:val="20"/>
          <w:color w:val="auto"/>
        </w:rPr>
      </w:pPr>
      <w:r>
        <w:rPr>
          <w:rFonts w:ascii="Arial" w:cs="Arial" w:eastAsia="Arial" w:hAnsi="Arial"/>
          <w:sz w:val="22"/>
          <w:szCs w:val="22"/>
          <w:color w:val="auto"/>
        </w:rPr>
        <w:t>PennantPark Investment Corporation is a business development company which invests primarily in U.S. middle-market private companies in the form of mezzanine debt, senior secured loans and equity investments. From time to time, the Company may also invest in the securities of public companies whose securities are thinly traded. PennantPark Investment Corporation is managed by PennantPark Investment Advisers, LLC.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cente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50" w:lineRule="exact"/>
        <w:rPr>
          <w:sz w:val="20"/>
          <w:szCs w:val="20"/>
          <w:color w:val="auto"/>
        </w:rPr>
      </w:pPr>
    </w:p>
    <w:p>
      <w:pPr>
        <w:jc w:val="center"/>
        <w:spacing w:after="0" w:line="235" w:lineRule="auto"/>
        <w:rPr>
          <w:sz w:val="20"/>
          <w:szCs w:val="20"/>
          <w:color w:val="auto"/>
        </w:rPr>
      </w:pPr>
      <w:r>
        <w:rPr>
          <w:rFonts w:ascii="Arial" w:cs="Arial" w:eastAsia="Arial" w:hAnsi="Arial"/>
          <w:sz w:val="22"/>
          <w:szCs w:val="22"/>
          <w:color w:val="auto"/>
        </w:rPr>
        <w:t>We may use words such as "anticipates," "believes," "expects," "intends," "will," "should," "may"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Undue reliance should not be placed on such forward-looking statements as such statements speak only as of the date on which they are made. We do not undertake to update our forward-looking statements unless required by law.</w:t>
      </w:r>
    </w:p>
    <w:p>
      <w:pPr>
        <w:spacing w:after="0" w:line="20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Contact:</w:t>
      </w:r>
    </w:p>
    <w:p>
      <w:pPr>
        <w:jc w:val="center"/>
        <w:spacing w:after="0" w:line="238" w:lineRule="auto"/>
        <w:rPr>
          <w:sz w:val="20"/>
          <w:szCs w:val="20"/>
          <w:color w:val="auto"/>
        </w:rPr>
      </w:pPr>
      <w:r>
        <w:rPr>
          <w:rFonts w:ascii="Courier New" w:cs="Courier New" w:eastAsia="Courier New" w:hAnsi="Courier New"/>
          <w:sz w:val="18"/>
          <w:szCs w:val="18"/>
          <w:color w:val="auto"/>
        </w:rPr>
        <w:t>Aviv Efrat</w:t>
      </w:r>
    </w:p>
    <w:p>
      <w:pPr>
        <w:jc w:val="cente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jc w:val="center"/>
        <w:spacing w:after="0"/>
        <w:rPr>
          <w:sz w:val="20"/>
          <w:szCs w:val="20"/>
          <w:color w:val="auto"/>
        </w:rPr>
      </w:pPr>
      <w:r>
        <w:rPr>
          <w:rFonts w:ascii="Courier New" w:cs="Courier New" w:eastAsia="Courier New" w:hAnsi="Courier New"/>
          <w:sz w:val="18"/>
          <w:szCs w:val="18"/>
          <w:color w:val="auto"/>
        </w:rPr>
        <w:t>(212) 905-1000</w:t>
      </w:r>
    </w:p>
    <w:p>
      <w:pPr>
        <w:jc w:val="center"/>
        <w:ind w:right="20"/>
        <w:spacing w:after="0"/>
        <w:tabs>
          <w:tab w:leader="none" w:pos="200" w:val="left"/>
        </w:tabs>
        <w:rPr>
          <w:sz w:val="20"/>
          <w:szCs w:val="20"/>
          <w:color w:val="auto"/>
        </w:rPr>
      </w:pPr>
      <w:r>
        <w:rPr>
          <w:rFonts w:ascii="Courier New" w:cs="Courier New" w:eastAsia="Courier New" w:hAnsi="Courier New"/>
          <w:sz w:val="18"/>
          <w:szCs w:val="18"/>
          <w:color w:val="auto"/>
        </w:rPr>
        <w:t>Or visit us on the web at:</w:t>
      </w:r>
      <w:r>
        <w:rPr>
          <w:sz w:val="20"/>
          <w:szCs w:val="20"/>
          <w:color w:val="auto"/>
        </w:rPr>
        <w:tab/>
      </w:r>
      <w:r>
        <w:rPr>
          <w:rFonts w:ascii="Courier New" w:cs="Courier New" w:eastAsia="Courier New" w:hAnsi="Courier New"/>
          <w:sz w:val="16"/>
          <w:szCs w:val="16"/>
          <w:color w:val="auto"/>
        </w:rPr>
        <w:t>www.pennantpark.com</w:t>
      </w:r>
    </w:p>
    <w:sectPr>
      <w:pgSz w:w="11900" w:h="16838" w:orient="portrait"/>
      <w:cols w:equalWidth="0" w:num="1">
        <w:col w:w="11180"/>
      </w:cols>
      <w:pgMar w:left="360" w:top="13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2020-05-05T15:06:45Z</dcterms:created>
  <dcterms:modified xsi:type="dcterms:W3CDTF">2020-05-05T15:06:45Z</dcterms:modified>
</cp:coreProperties>
</file>